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W03.13.0354/II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december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0388E" w:rsidRDefault="00EA7971">
              <w:r>
                <w:t>Bij Kabinetsmissive van 3 oktober 2013, no.13.002060, heeft Uwe Majesteit, op voordracht van de Minister van Veiligheid en Justitie, mede namens de Minister van Binnenlandse Zaken en Koninkrijksrelaties, bij de Afdeling advisering van de Raad van State ter overweging aanhangig gemaakt het voorstel van wet tot wijziging van de Gemeentewet en het Wetboek van Strafrecht ter aanscherping van de maatregelen ter bestrijding van voetbalvandalisme en ernstige overlast,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606276784"/>
                <w:lock w:val="sdtLocked"/>
              </w:sdtPr>
              <w:sdtEndPr/>
              <w:sdtContent>
                <w:p w:rsidR="00C45F5B" w:rsidP="00C45F5B" w:rsidRDefault="00EA7971">
                  <w:r>
                    <w:t>Het voorstel geeft de burgemeester, de officier van justitie en de strafrechter meer bevoegdheden voor het bestrijden van ernstige overlast in de publieke ruimte.</w:t>
                  </w:r>
                </w:p>
                <w:p w:rsidR="00C45F5B" w:rsidP="00C45F5B" w:rsidRDefault="00EA7971">
                  <w:r>
                    <w:t>Die bevoegdheden zijn thans geregeld in de Wet maatregelen bestrijding voet</w:t>
                  </w:r>
                  <w:r>
                    <w:softHyphen/>
                    <w:t>bal</w:t>
                  </w:r>
                  <w:r>
                    <w:softHyphen/>
                    <w:t xml:space="preserve">vandalisme en ernstige overlast (Wet mbveo). De burgemeester kan, bij </w:t>
                  </w:r>
                  <w:r w:rsidRPr="00BD6BB7">
                    <w:t>herhaalde</w:t>
                  </w:r>
                  <w:r>
                    <w:softHyphen/>
                  </w:r>
                  <w:r w:rsidRPr="00BD6BB7">
                    <w:t>lijk</w:t>
                  </w:r>
                  <w:r>
                    <w:t>e</w:t>
                  </w:r>
                  <w:r w:rsidRPr="00BD6BB7">
                    <w:t xml:space="preserve"> </w:t>
                  </w:r>
                  <w:r>
                    <w:t>verstoring van</w:t>
                  </w:r>
                  <w:r w:rsidRPr="00BD6BB7">
                    <w:t xml:space="preserve"> de openbare orde </w:t>
                  </w:r>
                  <w:r>
                    <w:t>en</w:t>
                  </w:r>
                  <w:r w:rsidRPr="00BD6BB7">
                    <w:t xml:space="preserve"> ernstige vrees voor verdere verstoring</w:t>
                  </w:r>
                  <w:r>
                    <w:t>, een gebiedsverbod, een groepsverbod en een meldingsplicht opleggen. Aan kin</w:t>
                  </w:r>
                  <w:r>
                    <w:softHyphen/>
                    <w:t>deren jonger dan twaalf jaar kan hij ook een avondklok opleggen.</w:t>
                  </w:r>
                  <w:r>
                    <w:rPr>
                      <w:rStyle w:val="Voetnootmarkering"/>
                    </w:rPr>
                    <w:footnoteReference w:id="1"/>
                  </w:r>
                  <w:r>
                    <w:t xml:space="preserve"> De officier van justitie kan in soortgelijke situaties aan verdachten een gebiedsver</w:t>
                  </w:r>
                  <w:r>
                    <w:softHyphen/>
                    <w:t>bod, een con</w:t>
                  </w:r>
                  <w:r>
                    <w:softHyphen/>
                    <w:t>tactverbod, een meldingsplicht en een begeleidingsplicht opleggen.</w:t>
                  </w:r>
                  <w:r>
                    <w:rPr>
                      <w:rStyle w:val="Voetnootmarkering"/>
                    </w:rPr>
                    <w:footnoteReference w:id="2"/>
                  </w:r>
                  <w:r>
                    <w:t xml:space="preserve"> De strafrech</w:t>
                  </w:r>
                  <w:r>
                    <w:softHyphen/>
                    <w:t>ter kan bij een veroordeling een zogeheten vrijheidsbeperkende maatregel opleg</w:t>
                  </w:r>
                  <w:r>
                    <w:softHyphen/>
                    <w:t>gen: een gebiedsver</w:t>
                  </w:r>
                  <w:r>
                    <w:softHyphen/>
                    <w:t>bod, een contactverbod of een meldingsplicht.</w:t>
                  </w:r>
                  <w:r>
                    <w:rPr>
                      <w:rStyle w:val="Voetnootmarkering"/>
                    </w:rPr>
                    <w:footnoteReference w:id="3"/>
                  </w:r>
                </w:p>
                <w:p w:rsidR="00C45F5B" w:rsidP="00C45F5B" w:rsidRDefault="00480A70"/>
                <w:p w:rsidR="00C45F5B" w:rsidP="00C45F5B" w:rsidRDefault="00EA7971">
                  <w:r>
                    <w:t>In het voorstel krijgt de burgemeester de bevoegdheid om een gebieds</w:t>
                  </w:r>
                  <w:r>
                    <w:softHyphen/>
                    <w:t>verbod, groepsverbod of meldingsplicht op te leggen ook als iemand slechts één keer betrok</w:t>
                  </w:r>
                  <w:r>
                    <w:softHyphen/>
                    <w:t xml:space="preserve">ken is geweest bij groepsgewijze ordeverstoring of als hem door de KNVB of een voetbalclub een stadionverbod is opgelegd. Verder krijgt de strafrechter de bevoegdheid om een gebiedsgebod (bijvoorbeeld huisarrest) op te leggen. Bovendien wordt de maximale duur van de vrijheidsbeperkende maatregelen die de strafrechter kan opleggen verhoogd van twee naar vijf jaar. </w:t>
                  </w:r>
                </w:p>
                <w:p w:rsidR="00C45F5B" w:rsidP="00C45F5B" w:rsidRDefault="00480A70"/>
                <w:p w:rsidR="00C45F5B" w:rsidP="00C45F5B" w:rsidRDefault="00EA7971">
                  <w:r w:rsidRPr="001C1925">
                    <w:t xml:space="preserve">De Afdeling advisering van de Raad van State </w:t>
                  </w:r>
                  <w:r>
                    <w:t xml:space="preserve">maakt </w:t>
                  </w:r>
                  <w:r w:rsidRPr="009C1598">
                    <w:t>naar aanleiding van het wetsvoorstel opmerkingen over</w:t>
                  </w:r>
                  <w:r>
                    <w:t xml:space="preserve"> de noodzaak om – reeds nu – de Wet mbveo te wijzigen. De Afdeling onderkent dat voetbalgerelateerd geweld een groot maatschappelijk probleem is, maar merkt op dat uit de evaluatie van de Wet mbveo niet blijkt van een structureel tekort aan (wettelijke) instrumenten om ernstige overlast in de publieke ruimte te bestrijden. De noodzaak om tot wetswijziging over te gaan is daarmee niet overtuigend gemotiveerd. Dit is te meer van belang omdat de Wet mbveo nog maar kort bestaat.</w:t>
                  </w:r>
                </w:p>
                <w:p w:rsidR="009A4BBF" w:rsidP="00C45F5B" w:rsidRDefault="00EA7971">
                  <w:r>
                    <w:t>Bij het burgemeestersbevel vervalt de eis van recidive. De Afdeling adviseert deze eis in de wet te handhaven, omdat het schrappen daarvan vragen oproept over het vereiste van proportionaliteit.</w:t>
                  </w:r>
                </w:p>
                <w:p w:rsidR="00872541" w:rsidP="00C45F5B" w:rsidRDefault="00480A70"/>
                <w:p w:rsidR="00C45F5B" w:rsidP="004B55E1" w:rsidRDefault="00EA7971">
                  <w:r>
                    <w:t xml:space="preserve">De Afdeling merkt op dat de mogelijkheid om vrijheidsbeperkende maatregelen op te leggen als iemand  door de KNVB of een voetbalclub een stadionverbod is opgelegd, niet kan afdoen aan de plicht van de burgemeester tot het deugdelijk voorbereiden en motiveren van besluiten. Ten slotte merkt de Afdeling op dat het voorgestelde </w:t>
                  </w:r>
                  <w:r>
                    <w:lastRenderedPageBreak/>
                    <w:t>strafrechtelijke gebiedsgebod een veel verdergaande maatregel is dan de bestaande vrijheidsbe</w:t>
                  </w:r>
                  <w:r>
                    <w:softHyphen/>
                    <w:t>perkende maatregelen. Voorts wordt deze ongeclausuleerd in de wet opgeno</w:t>
                  </w:r>
                  <w:r>
                    <w:softHyphen/>
                    <w:t>men. Het kan daarbij gaan om vrijheidsontneming in de zin van artikel 5 van het Europees Verdrag tot bescherming van de rechten van de mens en de fundamen</w:t>
                  </w:r>
                  <w:r>
                    <w:softHyphen/>
                    <w:t>tele vrijheden (EVRM). De Afde</w:t>
                  </w:r>
                  <w:r>
                    <w:softHyphen/>
                    <w:t>ling adviseert in de toelichting in te gaan op de verhouding tussen het voorgestelde gebiedsgebod en artikel 5 EVRM en mede met het oog daarop het voorstel nader toe te spitsen op een gebiedsgebod dat in duur en intensiteit beperkt is.</w:t>
                  </w:r>
                </w:p>
                <w:p w:rsidR="00C45F5B" w:rsidP="00C45F5B" w:rsidRDefault="00EA7971">
                  <w:r w:rsidRPr="009C1598">
                    <w:t xml:space="preserve">De Afdeling is van oordeel dat het voorstel in verband </w:t>
                  </w:r>
                  <w:r>
                    <w:t>met deze opmerkingen</w:t>
                  </w:r>
                  <w:r w:rsidRPr="009C1598">
                    <w:t xml:space="preserve"> nader dient te worden overwogen.</w:t>
                  </w:r>
                </w:p>
                <w:p w:rsidR="00C45F5B" w:rsidP="00C45F5B" w:rsidRDefault="00480A70"/>
                <w:p w:rsidRPr="00BD6BB7" w:rsidR="00C45F5B" w:rsidP="00C45F5B" w:rsidRDefault="00EA7971">
                  <w:pPr>
                    <w:keepNext/>
                    <w:rPr>
                      <w:u w:val="single"/>
                    </w:rPr>
                  </w:pPr>
                  <w:r>
                    <w:t>1.</w:t>
                  </w:r>
                  <w:r>
                    <w:tab/>
                  </w:r>
                  <w:r>
                    <w:rPr>
                      <w:u w:val="single"/>
                    </w:rPr>
                    <w:t xml:space="preserve">Noodzaak </w:t>
                  </w:r>
                </w:p>
                <w:p w:rsidR="00C45F5B" w:rsidP="00C45F5B" w:rsidRDefault="00480A70">
                  <w:pPr>
                    <w:keepNext/>
                  </w:pPr>
                </w:p>
                <w:p w:rsidR="00C45F5B" w:rsidP="007330F8" w:rsidRDefault="00EA7971">
                  <w:r>
                    <w:t xml:space="preserve">Aanleiding voor het wetsvoorstel is de uitkomst van de </w:t>
                  </w:r>
                  <w:r w:rsidRPr="007D47FB">
                    <w:t>ver</w:t>
                  </w:r>
                  <w:r>
                    <w:softHyphen/>
                  </w:r>
                  <w:r w:rsidRPr="007D47FB">
                    <w:t>vroegd</w:t>
                  </w:r>
                  <w:r>
                    <w:t>e</w:t>
                  </w:r>
                  <w:r w:rsidRPr="007D47FB">
                    <w:t xml:space="preserve"> </w:t>
                  </w:r>
                  <w:r>
                    <w:t>evaluatie van de Wet mbveo in verband met enkele incidenten in het betaalde voetbal</w:t>
                  </w:r>
                  <w:r w:rsidRPr="007D47FB">
                    <w:t>.</w:t>
                  </w:r>
                  <w:r>
                    <w:t xml:space="preserve"> Deze wet heeft een korte geschiedenis. Niettemin zijn er in die korte tijd de nodige veranderingen en voorstellen tot verandering geweest: </w:t>
                  </w:r>
                </w:p>
                <w:p w:rsidR="00C45F5B" w:rsidP="00C45F5B" w:rsidRDefault="00EA7971">
                  <w:pPr>
                    <w:pStyle w:val="Lijstalinea"/>
                    <w:numPr>
                      <w:ilvl w:val="0"/>
                      <w:numId w:val="2"/>
                    </w:numPr>
                  </w:pPr>
                  <w:r>
                    <w:t>De wet is op 1 september 2010 in werking getreden.</w:t>
                  </w:r>
                </w:p>
                <w:p w:rsidR="00C45F5B" w:rsidP="00C45F5B" w:rsidRDefault="00EA7971">
                  <w:pPr>
                    <w:pStyle w:val="Lijstalinea"/>
                    <w:numPr>
                      <w:ilvl w:val="0"/>
                      <w:numId w:val="2"/>
                    </w:numPr>
                  </w:pPr>
                  <w:r>
                    <w:t>Op 1 juli 2011 heeft de minister het eerste inspectierapport van de (toenma</w:t>
                  </w:r>
                  <w:r>
                    <w:softHyphen/>
                    <w:t xml:space="preserve">lige) </w:t>
                  </w:r>
                  <w:r w:rsidRPr="007D47FB">
                    <w:t>Inspectie Openbare Orde en Veiligheid</w:t>
                  </w:r>
                  <w:r>
                    <w:t xml:space="preserve"> aangeboden aan de Tweede Kamer.</w:t>
                  </w:r>
                </w:p>
                <w:p w:rsidR="00C45F5B" w:rsidP="00C45F5B" w:rsidRDefault="00EA7971">
                  <w:pPr>
                    <w:pStyle w:val="Lijstalinea"/>
                    <w:numPr>
                      <w:ilvl w:val="0"/>
                      <w:numId w:val="2"/>
                    </w:numPr>
                  </w:pPr>
                  <w:r>
                    <w:t>Met ingang van 1 april 2012 werden de wettelijke bevoegdheden uitge</w:t>
                  </w:r>
                  <w:r>
                    <w:softHyphen/>
                    <w:t>breid: de strafrechter kreeg de bevoegdheid om in het veroordelende von</w:t>
                  </w:r>
                  <w:r>
                    <w:softHyphen/>
                    <w:t>nis, bij wijze van maatregel, een gebiedsverbod, een contactverbod en een meldplicht op te leggen.</w:t>
                  </w:r>
                  <w:r>
                    <w:rPr>
                      <w:rStyle w:val="Voetnootmarkering"/>
                    </w:rPr>
                    <w:footnoteReference w:id="4"/>
                  </w:r>
                </w:p>
                <w:p w:rsidR="00C45F5B" w:rsidP="00C45F5B" w:rsidRDefault="00EA7971">
                  <w:pPr>
                    <w:pStyle w:val="Lijstalinea"/>
                    <w:numPr>
                      <w:ilvl w:val="0"/>
                      <w:numId w:val="2"/>
                    </w:numPr>
                  </w:pPr>
                  <w:r>
                    <w:t xml:space="preserve">Naar aanleiding van enkele incidenten </w:t>
                  </w:r>
                  <w:r w:rsidRPr="007D47FB">
                    <w:t xml:space="preserve">in het betaalde voetbal is de </w:t>
                  </w:r>
                  <w:r>
                    <w:t xml:space="preserve">wet </w:t>
                  </w:r>
                  <w:r w:rsidRPr="007D47FB">
                    <w:t>ver</w:t>
                  </w:r>
                  <w:r>
                    <w:softHyphen/>
                  </w:r>
                  <w:r w:rsidRPr="007D47FB">
                    <w:t>vroegd geëvalueerd.</w:t>
                  </w:r>
                  <w:r>
                    <w:t xml:space="preserve"> De evaluatie, met als titel </w:t>
                  </w:r>
                  <w:r>
                    <w:rPr>
                      <w:i/>
                    </w:rPr>
                    <w:t>Op doel?</w:t>
                  </w:r>
                  <w:r>
                    <w:t>, is in het voorjaar van 2012 uitgevoerd door de Rijksuniversiteit Groningen, tegelijk met de tweede rapportage van de (huidige) Inspectie Veiligheid en Justitie.</w:t>
                  </w:r>
                </w:p>
                <w:p w:rsidR="00C45F5B" w:rsidP="00C45F5B" w:rsidRDefault="00EA7971">
                  <w:pPr>
                    <w:pStyle w:val="Lijstalinea"/>
                    <w:numPr>
                      <w:ilvl w:val="0"/>
                      <w:numId w:val="2"/>
                    </w:numPr>
                  </w:pPr>
                  <w:r>
                    <w:t>Op 31 mei 2012 hebben de leden van de Tweede Kamer De Mos, Van Dek</w:t>
                  </w:r>
                  <w:r>
                    <w:softHyphen/>
                    <w:t xml:space="preserve">ken en </w:t>
                  </w:r>
                  <w:r w:rsidRPr="007D47FB">
                    <w:t xml:space="preserve">Çörüz </w:t>
                  </w:r>
                  <w:r>
                    <w:t>een initiatiefnota opgesteld met een aantal suggesties voor uitbreiding van de Wet mbveo, speciaal gericht op voetbal.</w:t>
                  </w:r>
                  <w:r>
                    <w:rPr>
                      <w:rStyle w:val="Voetnootmarkering"/>
                    </w:rPr>
                    <w:footnoteReference w:id="5"/>
                  </w:r>
                </w:p>
                <w:p w:rsidR="00C45F5B" w:rsidP="00C45F5B" w:rsidRDefault="00480A70"/>
                <w:p w:rsidR="00193CAE" w:rsidP="00C45F5B" w:rsidRDefault="00EA7971">
                  <w:r>
                    <w:t xml:space="preserve">Het wetsvoorstel bevat aanpassingen van de Wet mbveo om de in de evaluatie gesignaleerde knelpunten weg te nemen. </w:t>
                  </w:r>
                </w:p>
                <w:p w:rsidR="00193CAE" w:rsidP="00C45F5B" w:rsidRDefault="00480A70"/>
                <w:p w:rsidR="00C45F5B" w:rsidP="00B06F23" w:rsidRDefault="00EA7971">
                  <w:r>
                    <w:t xml:space="preserve">Over de noodzaak van de voorgestelde wijzigingen merkt de Afdeling het volgende op. De Wet mbveo dient te worden bezien in het licht van de openbare orde-wetgeving als geheel. Uit de tweede rapportage van de Inspectie Veiligheid en Justitie en uit </w:t>
                  </w:r>
                  <w:r>
                    <w:rPr>
                      <w:i/>
                    </w:rPr>
                    <w:t>Op doel?</w:t>
                  </w:r>
                  <w:r>
                    <w:t xml:space="preserve"> blijkt dat zowel gemeenten als arrondissementen vinden dat er veel wetten en instrumenten zijn om overlast te bestrijden. Deze wetten hebben vaak veel over</w:t>
                  </w:r>
                  <w:r>
                    <w:softHyphen/>
                    <w:t>lap, de onderlinge meerwaarde is niet altijd aan te tonen, en vaak ontbreekt inzicht in de samenhang, aldus de rapportage. “</w:t>
                  </w:r>
                  <w:r w:rsidRPr="001E0A2D">
                    <w:t>De gereedschapskist voor burgemeesters is de laatste jaren overvol geraakt.</w:t>
                  </w:r>
                  <w:r>
                    <w:t xml:space="preserve">” Bestaande instrumenten ter bestrijding van (dreigende) ernstige overlast in de Gemeentewet zijn onder andere de aanwijzing van veiligheidsrisicogebieden en preventief fouilleren, cameratoezicht, bestuurlijke ophouding, de bestuurlijke boete overlast openbare ruimte, de dwangbevoegdheid, </w:t>
                  </w:r>
                  <w:r>
                    <w:lastRenderedPageBreak/>
                    <w:t>(lichte) bevelsbevoegdheid, het noodbevel.</w:t>
                  </w:r>
                  <w:r>
                    <w:rPr>
                      <w:rStyle w:val="Voetnootmarkering"/>
                    </w:rPr>
                    <w:footnoteReference w:id="6"/>
                  </w:r>
                  <w:r>
                    <w:t xml:space="preserve"> Ook in bijzondere wetten zijn openbare ordebevoegdheden voor de burgemeester opgenomen, zoals in de Opiumwet, de Wet Victor, de Wet openbare manifestaties, de </w:t>
                  </w:r>
                  <w:r w:rsidRPr="00D55CA2">
                    <w:t>Wet bijzondere maatregelen grootstedelijke problematiek</w:t>
                  </w:r>
                  <w:r>
                    <w:t>, de Wet tijdelijk huisverbod en de Drank- en horecawet). Daarnaast kunnen gemeenten openbare ordebevoegdheden opnemen in de APV. Er is volgens betrokkenen in het licht van het hiervoor geschetste samenstel van onderling samenhangende wettelijke bepalingen behoefte aan een integrale herziening van alle openbare ordebevoegdheden.</w:t>
                  </w:r>
                  <w:r>
                    <w:rPr>
                      <w:rStyle w:val="Voetnootmarkering"/>
                    </w:rPr>
                    <w:footnoteReference w:id="7"/>
                  </w:r>
                </w:p>
                <w:p w:rsidR="00F45CE3" w:rsidP="00C45F5B" w:rsidRDefault="00480A70"/>
                <w:p w:rsidR="00C45F5B" w:rsidP="00C45F5B" w:rsidRDefault="00EA7971">
                  <w:r>
                    <w:t xml:space="preserve">Verder zijn de ervaringen met de Wet mbveo zelf van belang. Uit de evaluatie blijkt dat de bevoegdheden nog weinig worden gebruikt: van de steekproef van 53 gemeenten en negentien arrondissementen, uitgevoerd door de Inspectie, hadden tien gemeenten en vier arrondissementen de wet toegepast. Voor een deel hangt dit samen met onwennigheid en koudwatervrees. Veel bestuurders wachten af tot er meer ervaring met de wet is opgedaan. </w:t>
                  </w:r>
                </w:p>
                <w:p w:rsidR="00797E59" w:rsidP="00C45F5B" w:rsidRDefault="00480A70"/>
                <w:p w:rsidR="00C45F5B" w:rsidP="00C45F5B" w:rsidRDefault="00EA7971">
                  <w:r>
                    <w:t xml:space="preserve">De Afdeling merkt op dat uit de evaluatie niet blijkt van een structureel tekort aan (wettelijke) instrumenten om ernstige overlast in de publieke ruimte te bestrijden. De noodzaak om tot wetswijziging over te gaan is daarmee niet overtuigend gemotiveerd. Daar komt bij dat de voorgestelde wijzigingen op onderdelen diep ingrijpen in de persoonlijke vrijheid van de betrokkenen. De noodzaak daarvan dient grondig gemotiveerd te worden. Dit geldt te meer omdat de Wet mbveo nog maar kort in werking is. Een regeling moet de tijd worden gegund om zich in de praktijk te bewijzen. De opgedane ervaringen met deze wet bestrijken nog een te korte periode om zinvolle conclusies te trekken. Ten slotte hebben herhaaldelijke wetswijzigingen tot gevolg dat het bestuur zich telkens opnieuw moet oriënteren op de gewijzigde regels. </w:t>
                  </w:r>
                </w:p>
                <w:p w:rsidR="00C45F5B" w:rsidP="00C45F5B" w:rsidRDefault="00480A70"/>
                <w:p w:rsidR="00C45F5B" w:rsidP="00C45F5B" w:rsidRDefault="00EA7971">
                  <w:r>
                    <w:t>Het verdient aanbeveling dat de Wet mbveo op de gebruikelijke termijn (bij voorbeeld vijf jaar na invoering) uitvoerig wordt geëvalueerd. Bij die gelegenheid kan een samen</w:t>
                  </w:r>
                  <w:r>
                    <w:softHyphen/>
                    <w:t xml:space="preserve">hangende analyse worden uitgevoerd van de problemen waarop de wet zich richt en van alle bestuurlijke en strafvorderlijke bevoegdheden die de overheid daarbij in de Wet mbveo en in andere wetten ten dienste staan. </w:t>
                  </w:r>
                </w:p>
                <w:p w:rsidR="00C45F5B" w:rsidP="00C45F5B" w:rsidRDefault="00480A70"/>
                <w:p w:rsidR="00C45F5B" w:rsidP="00C45F5B" w:rsidRDefault="00EA7971">
                  <w:pPr>
                    <w:keepNext/>
                  </w:pPr>
                  <w:r>
                    <w:t>De Afdeling adviseert in de toelichting dragend te motiveren waarom de voorgestelde wijzigingen op dit moment noodzakelijk zijn en anders het voorstel te heroverwegen.</w:t>
                  </w:r>
                </w:p>
                <w:p w:rsidR="00C45F5B" w:rsidP="00C45F5B" w:rsidRDefault="00480A70">
                  <w:pPr>
                    <w:keepNext/>
                  </w:pPr>
                </w:p>
                <w:p w:rsidR="00C45F5B" w:rsidP="00C45F5B" w:rsidRDefault="00EA7971">
                  <w:pPr>
                    <w:keepNext/>
                  </w:pPr>
                  <w:r>
                    <w:t>Onverminderd het voorgaande merkt de Afdeling het volgende op.</w:t>
                  </w:r>
                </w:p>
                <w:p w:rsidR="00C45F5B" w:rsidP="00C45F5B" w:rsidRDefault="00480A70">
                  <w:pPr>
                    <w:keepNext/>
                  </w:pPr>
                </w:p>
                <w:p w:rsidR="00C45F5B" w:rsidP="00C45F5B" w:rsidRDefault="00EA7971">
                  <w:pPr>
                    <w:keepNext/>
                  </w:pPr>
                  <w:r>
                    <w:t>2.</w:t>
                  </w:r>
                  <w:r>
                    <w:tab/>
                  </w:r>
                  <w:r w:rsidRPr="001455A1">
                    <w:rPr>
                      <w:u w:val="single"/>
                    </w:rPr>
                    <w:t>Eén enkel feit voldoende voor het burgemeestersbevel</w:t>
                  </w:r>
                </w:p>
                <w:p w:rsidR="00C45F5B" w:rsidP="00C45F5B" w:rsidRDefault="00480A70">
                  <w:pPr>
                    <w:keepNext/>
                  </w:pPr>
                </w:p>
                <w:p w:rsidR="00C45F5B" w:rsidP="00C45F5B" w:rsidRDefault="00EA7971">
                  <w:r>
                    <w:t>Thans kan de burgemeester een gebiedsverbod, een groepsverbod en een meldingsplicht alleen opleggen:</w:t>
                  </w:r>
                </w:p>
                <w:p w:rsidR="00C45F5B" w:rsidP="00C45F5B" w:rsidRDefault="00EA7971">
                  <w:pPr>
                    <w:pStyle w:val="Lijstalinea"/>
                    <w:numPr>
                      <w:ilvl w:val="0"/>
                      <w:numId w:val="3"/>
                    </w:numPr>
                  </w:pPr>
                  <w:r>
                    <w:t xml:space="preserve">aan iemand die herhaaldelijk individueel of groepsgewijs de openbare orde heeft verstoord </w:t>
                  </w:r>
                  <w:r w:rsidRPr="001455A1">
                    <w:t>of</w:t>
                  </w:r>
                  <w:r>
                    <w:t xml:space="preserve"> aan iemand die bij groepsgewijze verstoring van de openbare orde een leidende rol heeft gehad, en</w:t>
                  </w:r>
                </w:p>
                <w:p w:rsidR="00C45F5B" w:rsidP="00C45F5B" w:rsidRDefault="00EA7971">
                  <w:pPr>
                    <w:pStyle w:val="Lijstalinea"/>
                    <w:numPr>
                      <w:ilvl w:val="0"/>
                      <w:numId w:val="3"/>
                    </w:numPr>
                  </w:pPr>
                  <w:r>
                    <w:t>als er ernstige vrees voor verdere verstoring van de openbare orde is.</w:t>
                  </w:r>
                </w:p>
                <w:p w:rsidR="00061198" w:rsidP="00C45F5B" w:rsidRDefault="00EA7971">
                  <w:r>
                    <w:lastRenderedPageBreak/>
                    <w:t>Voorgesteld wordt het element “herhaaldelijk” te schrappen. Daarmee wordt tegemoetgekomen aan de wens van burgemeesters die het als problematisch erva</w:t>
                  </w:r>
                  <w:r>
                    <w:softHyphen/>
                    <w:t>ren dat zij hun bevoegdheden niet kunnen inzetten tegen personen die voor de eerste keer de openbare orde verstoren – als zij bij voorbeeld stenen gooien naar de politie of vijandige supporters.</w:t>
                  </w:r>
                  <w:r>
                    <w:rPr>
                      <w:rStyle w:val="Voetnootmarkering"/>
                    </w:rPr>
                    <w:footnoteReference w:id="8"/>
                  </w:r>
                </w:p>
                <w:p w:rsidR="00277A96" w:rsidP="00C45F5B" w:rsidRDefault="00480A70"/>
                <w:p w:rsidR="00C45F5B" w:rsidP="00C45F5B" w:rsidRDefault="00EA7971">
                  <w:r>
                    <w:t>In zijn advies wijst het College van procureurs-generaal op de memorie van toelich</w:t>
                  </w:r>
                  <w:r>
                    <w:softHyphen/>
                    <w:t>ting destijds bij de Wet mbveo: daarin stelde de regering, in verband met de proportionali</w:t>
                  </w:r>
                  <w:r>
                    <w:softHyphen/>
                    <w:t xml:space="preserve">teit van de maatregelen, dat het moet gaan om herhaaldelijk ordeverstorend gedrag, dan wel dreigend belastend gedrag. Gewezen werd op het belang van een </w:t>
                  </w:r>
                  <w:r w:rsidRPr="00FE5FF7">
                    <w:t>gedegen dossieropbouw</w:t>
                  </w:r>
                  <w:r>
                    <w:t>. “Er kan niet op basis van één incident worden overgegaan tot één van de voorgestelde maatregelen,” zo stelde de rege</w:t>
                  </w:r>
                  <w:r>
                    <w:softHyphen/>
                    <w:t>ring.</w:t>
                  </w:r>
                  <w:r>
                    <w:rPr>
                      <w:rStyle w:val="Voetnootmarkering"/>
                    </w:rPr>
                    <w:footnoteReference w:id="9"/>
                  </w:r>
                </w:p>
                <w:p w:rsidR="00C45F5B" w:rsidP="00C45F5B" w:rsidRDefault="00480A70"/>
                <w:p w:rsidR="00061198" w:rsidP="00C45F5B" w:rsidRDefault="00EA7971">
                  <w:r>
                    <w:t>Door het schrappen van het vereiste van herhaaldelijkheid vervalt een belangrijk criterium voor de proportionaliteit van de maatregel. De proportionaliteit van de maatregel moet daarom afgewogen worden aan de hand van andere criteria, zoals de ernst van het feit. In dat verband is van belang dat de toelichting stelt dat een burgemeestersbe</w:t>
                  </w:r>
                  <w:r>
                    <w:softHyphen/>
                    <w:t>vel niet direct in de rede ligt bij één licht vergrijp: de ernst van het feit in combinatie met een inschatting van de kans op herhaling zal bepalend zijn voor de vraag of een maatregel kan worden opgelegd.</w:t>
                  </w:r>
                  <w:r>
                    <w:rPr>
                      <w:rStyle w:val="Voetnootmarkering"/>
                    </w:rPr>
                    <w:footnoteReference w:id="10"/>
                  </w:r>
                  <w:r>
                    <w:t xml:space="preserve"> Deze criteria, die de noodzakelijke rechtvaardiging vormen voor de beperking van de bewegingsvrijheid, zijn echter onvoldoende gewaarborgd in de tekst van de wet. </w:t>
                  </w:r>
                </w:p>
                <w:p w:rsidR="00061198" w:rsidP="00C45F5B" w:rsidRDefault="00480A70"/>
                <w:p w:rsidR="00C45F5B" w:rsidP="00C45F5B" w:rsidRDefault="00EA7971">
                  <w:r>
                    <w:t>Daar komt bij dat voorkomen moet worden dat, onder de titel van handhaving van de openbare orde, in feite punitief wordt opgetreden. Daarvoor is de burgemeester niet het bevoegde orgaan. Indien ‘first offenders’ zeer ernstig ordeverstorend gedrag hebben vertoond, zal over het algemeen het strafre</w:t>
                  </w:r>
                  <w:r>
                    <w:rPr>
                      <w:noProof/>
                    </w:rPr>
                    <w:t xml:space="preserve">cht voldoende instrumenten bieden om daar tegen op te treden. Daarbij kunnen via artikel 38v van het Wetboek van Strafrecht ook maatregelen opgelegd worden om de maatschappij te beveiligen en strafbare feiten te voorkomen. </w:t>
                  </w:r>
                </w:p>
                <w:p w:rsidR="00C45F5B" w:rsidP="00C45F5B" w:rsidRDefault="00480A70"/>
                <w:p w:rsidR="00C45F5B" w:rsidP="00C45F5B" w:rsidRDefault="00EA7971">
                  <w:r>
                    <w:t>De Afdeling adviseert het vereiste dat de ordeverstoringen herhaaldelijk hebben plaatsgevonden in de wettekst te laten staan en daartoe de voorgestelde wijziging van artikel 172a, eerste lid, aanhef, van de Gemeentewet te schrappen.</w:t>
                  </w:r>
                </w:p>
                <w:p w:rsidR="00C45F5B" w:rsidP="00C45F5B" w:rsidRDefault="00480A70"/>
                <w:p w:rsidRPr="00FE5FF7" w:rsidR="00C45F5B" w:rsidP="00C45F5B" w:rsidRDefault="00EA7971">
                  <w:pPr>
                    <w:keepNext/>
                    <w:rPr>
                      <w:u w:val="single"/>
                    </w:rPr>
                  </w:pPr>
                  <w:r>
                    <w:t>3.</w:t>
                  </w:r>
                  <w:r>
                    <w:tab/>
                  </w:r>
                  <w:r>
                    <w:rPr>
                      <w:u w:val="single"/>
                    </w:rPr>
                    <w:t>Particulier (stadion)verbod</w:t>
                  </w:r>
                </w:p>
                <w:p w:rsidR="00C45F5B" w:rsidP="00C45F5B" w:rsidRDefault="00480A70">
                  <w:pPr>
                    <w:keepNext/>
                  </w:pPr>
                </w:p>
                <w:p w:rsidR="00C45F5B" w:rsidP="00C45F5B" w:rsidRDefault="00EA7971">
                  <w:r>
                    <w:t>Het voorstel voorziet in een alternatieve grond voor het burgemeestersbevel: zo’n bevel kan worden gegeven als een private organisatie aan iemand een bij alge</w:t>
                  </w:r>
                  <w:r>
                    <w:softHyphen/>
                    <w:t>mene maatregel van bestuur aangewezen sanctie heeft opgelegd, wegens gedrag dat bij de burgemeester de ernstige vrees doet ontstaan dat die persoon de open</w:t>
                  </w:r>
                  <w:r>
                    <w:softHyphen/>
                    <w:t>bare orde zal verstoren.</w:t>
                  </w:r>
                  <w:r>
                    <w:rPr>
                      <w:rStyle w:val="Voetnootmarkering"/>
                    </w:rPr>
                    <w:footnoteReference w:id="11"/>
                  </w:r>
                  <w:r>
                    <w:t xml:space="preserve"> Volgens de toelichting is het op dit moment zelfs bij ernstige wanordelijkheden in een voetbalstadion die niet publiekrechtelijk gesanctioneerd zijn, voor de burgemeester niet mogelijk om op te treden op basis van artikel 172a Gemeentewet.</w:t>
                  </w:r>
                  <w:r>
                    <w:rPr>
                      <w:rStyle w:val="Voetnootmarkering"/>
                    </w:rPr>
                    <w:footnoteReference w:id="12"/>
                  </w:r>
                </w:p>
                <w:p w:rsidR="00C45F5B" w:rsidP="00C45F5B" w:rsidRDefault="00480A70"/>
                <w:p w:rsidR="00C45F5B" w:rsidP="00C45F5B" w:rsidRDefault="00EA7971">
                  <w:r>
                    <w:t>a.</w:t>
                  </w:r>
                  <w:r>
                    <w:tab/>
                    <w:t>De Afdeling merkt op dat een bestuursorgaan de verantwoordelijkheid draagt voor het uitoefenen van aan hem toekomende publiekrechtelijke bevoegdheden. Dit geldt ook voor het burgemeestersbevel van artikel 172a Gemeentewet. Indien het doel van de alternatieve grond voor het burgemeestersbevel is dat de burgemeester het oordeel over de toepassing van deze bevoegdheid slechts baseert op een door een private organisatie opgelegde sanctie, is de juridische houdbaarheid daarvan twijfelachtig. Het oordeel van private organisaties kan in elk geval niet afdoen aan de plicht van de burgemeester</w:t>
                  </w:r>
                  <w:r>
                    <w:rPr>
                      <w:rStyle w:val="Voetnootmarkering"/>
                    </w:rPr>
                    <w:footnoteReference w:id="13"/>
                  </w:r>
                  <w:r>
                    <w:t xml:space="preserve"> tot het deugdelijk voorbereiden en motiveren van besluiten. Hij zal zich er telkens van moeten ver</w:t>
                  </w:r>
                  <w:r>
                    <w:softHyphen/>
                    <w:t>gewissen dat de informatie die hij ontvangt van private organisaties voldoende betrouwbaar is en bovendien voldoende grond biedt voor de ernstige vrees dat de betrok</w:t>
                  </w:r>
                  <w:r>
                    <w:softHyphen/>
                    <w:t>kene de openbare orde zal verstoren. In die zin kan het feit dat de KNVB of een voetbalclub een stadionverbod heeft opgelegd geen voldoende grond zijn voor de burgemeester om een maatregel op te leggen.</w:t>
                  </w:r>
                </w:p>
                <w:p w:rsidR="00C45F5B" w:rsidP="00C45F5B" w:rsidRDefault="00EA7971">
                  <w:r>
                    <w:t>De Afdeling adviseert in de toelichting dragend te motiveren waarom gedragingen die niet publiekrechtelijk gesanctioneerd zijn, ten grondslag gelegd moeten kunnen worden aan het burgemeestersbevel van artikel 172a Gemeentewet.</w:t>
                  </w:r>
                </w:p>
                <w:p w:rsidR="00C45F5B" w:rsidP="00C45F5B" w:rsidRDefault="00480A70"/>
                <w:p w:rsidR="00C45F5B" w:rsidP="00C45F5B" w:rsidRDefault="00EA7971">
                  <w:r>
                    <w:t>b.</w:t>
                  </w:r>
                  <w:r>
                    <w:tab/>
                    <w:t>Uit de toelichting blijkt dat het voorstel is geschreven met het oog op stadion</w:t>
                  </w:r>
                  <w:r>
                    <w:softHyphen/>
                    <w:t>verboden van de KNVB of een voetbalclub. Uitgelegd wordt voorts waarom het artikel algemeen is geformuleerd. Naast stadionverboden kan worden gedacht aan een gebiedsverbod rond een evenement, opgelegd door de organisator van dat evenement, of een horecaverbod, zo stelt de toelichting.</w:t>
                  </w:r>
                  <w:r>
                    <w:rPr>
                      <w:rStyle w:val="Voetnootmarkering"/>
                    </w:rPr>
                    <w:footnoteReference w:id="14"/>
                  </w:r>
                </w:p>
                <w:p w:rsidR="00E63226" w:rsidP="00C45F5B" w:rsidRDefault="00EA7971">
                  <w:r>
                    <w:t xml:space="preserve">Uit deze passage blijkt niet of concreet wordt overwogen om andere organisaties dan de KNVB en voetbalclubs, en andere sancties dan stadionverboden, bij amvb aan te wijzen. Gelet op het onder a. aangehaalde uitgangspunt van de publieke verantwoordelijkheid voor de uitoefening van het burgemeestersbevel van artikel 172a Gemeentewet, moet van de mogelijkheid deze bevoegdheid te baseren op sancties van private organisaties zeer terughoudend gebruik worden gemaakt. Mogelijke toepassing op basis van ongespecificeerde, nader bij amvb te bepalen, private sancties, biedt onvoldoende waarborg voor een dergelijke terughoudend gebruik van deze figuur. </w:t>
                  </w:r>
                </w:p>
                <w:p w:rsidR="00C45F5B" w:rsidP="00C45F5B" w:rsidRDefault="00EA7971">
                  <w:r>
                    <w:t>De Afdeling adviseert de tekst van het voorgestelde artikel 172a, tweede lid, Gemeentewet toe te spitsen op die sancties van private organisaties waarvan de noodzaak in de toelichting dragend gemotiveerd kan worden.</w:t>
                  </w:r>
                </w:p>
                <w:p w:rsidR="00C45F5B" w:rsidP="00C45F5B" w:rsidRDefault="00480A70"/>
                <w:p w:rsidRPr="008524A4" w:rsidR="00C45F5B" w:rsidP="00C45F5B" w:rsidRDefault="00EA7971">
                  <w:pPr>
                    <w:keepNext/>
                    <w:rPr>
                      <w:u w:val="single"/>
                    </w:rPr>
                  </w:pPr>
                  <w:r>
                    <w:t>4.</w:t>
                  </w:r>
                  <w:r>
                    <w:tab/>
                  </w:r>
                  <w:r w:rsidRPr="009A153A">
                    <w:rPr>
                      <w:u w:val="single"/>
                    </w:rPr>
                    <w:t xml:space="preserve">Strafrechtelijk </w:t>
                  </w:r>
                  <w:r w:rsidRPr="00D55CA2">
                    <w:rPr>
                      <w:u w:val="single"/>
                    </w:rPr>
                    <w:t>gebiedsgebod</w:t>
                  </w:r>
                </w:p>
                <w:p w:rsidR="00C45F5B" w:rsidP="00C45F5B" w:rsidRDefault="00480A70">
                  <w:pPr>
                    <w:keepNext/>
                  </w:pPr>
                </w:p>
                <w:p w:rsidR="00C45F5B" w:rsidP="004B55E1" w:rsidRDefault="00EA7971">
                  <w:r>
                    <w:t>De strafrechter kan thans bij de veroordeling wegens een strafbaar feit drie soor</w:t>
                  </w:r>
                  <w:r>
                    <w:softHyphen/>
                    <w:t>ten vrijheidsbeperkende maatregelen opleggen: een gebiedsverbod, een con</w:t>
                  </w:r>
                  <w:r>
                    <w:softHyphen/>
                    <w:t>tact</w:t>
                  </w:r>
                  <w:r>
                    <w:softHyphen/>
                    <w:t>verbod en een meldingsplicht. Voorgesteld wordt daaraan een gebiedsgebod toe te voegen: een bevel aan de verdachte om “</w:t>
                  </w:r>
                  <w:r w:rsidRPr="00B67DFE">
                    <w:t>op bepaalde tijdstippen of gedu</w:t>
                  </w:r>
                  <w:r>
                    <w:softHyphen/>
                  </w:r>
                  <w:r w:rsidRPr="00B67DFE">
                    <w:t>rende een bepaalde periode op een bepaalde locatie aanwezig te zijn</w:t>
                  </w:r>
                  <w:r>
                    <w:t>”.</w:t>
                  </w:r>
                  <w:r>
                    <w:rPr>
                      <w:rStyle w:val="Voetnootmarkering"/>
                    </w:rPr>
                    <w:footnoteReference w:id="15"/>
                  </w:r>
                  <w:r>
                    <w:t xml:space="preserve"> Uit de toe</w:t>
                  </w:r>
                  <w:r>
                    <w:softHyphen/>
                    <w:t>lichting blijkt dat het kan gaan om een gebod zich in de eigen woning op te hou</w:t>
                  </w:r>
                  <w:r>
                    <w:softHyphen/>
                    <w:t>den. Het betreft hier derhalve een vorm van huis</w:t>
                  </w:r>
                  <w:r>
                    <w:softHyphen/>
                    <w:t>arrest.</w:t>
                  </w:r>
                  <w:r>
                    <w:rPr>
                      <w:rStyle w:val="Voetnootmarkering"/>
                    </w:rPr>
                    <w:footnoteReference w:id="16"/>
                  </w:r>
                  <w:r>
                    <w:t xml:space="preserve"> Het gebiedsgebod kan volgens de toelichting voorzien in een leemte, nu in de praktijk al een gebieds</w:t>
                  </w:r>
                  <w:r w:rsidRPr="004B55E1">
                    <w:rPr>
                      <w:i/>
                    </w:rPr>
                    <w:t>gebod</w:t>
                  </w:r>
                  <w:r>
                    <w:t xml:space="preserve"> wordt geconstrueerd door een </w:t>
                  </w:r>
                  <w:r>
                    <w:lastRenderedPageBreak/>
                    <w:t>gebieds</w:t>
                  </w:r>
                  <w:r w:rsidRPr="004B55E1">
                    <w:rPr>
                      <w:i/>
                    </w:rPr>
                    <w:t>verbod</w:t>
                  </w:r>
                  <w:r>
                    <w:t xml:space="preserve"> op te leggen voor een hele gemeente of heel Nederland, met uitzondering van het erf en de woning van de veroordeelde.</w:t>
                  </w:r>
                  <w:r>
                    <w:rPr>
                      <w:rStyle w:val="Voetnootmarkering"/>
                    </w:rPr>
                    <w:footnoteReference w:id="17"/>
                  </w:r>
                  <w:r>
                    <w:t xml:space="preserve"> </w:t>
                  </w:r>
                </w:p>
                <w:p w:rsidR="00C72CF6" w:rsidP="004B55E1" w:rsidRDefault="00480A70"/>
                <w:p w:rsidR="001260D3" w:rsidP="004B55E1" w:rsidRDefault="00EA7971">
                  <w:r>
                    <w:t>De Afdeling merkt op dat een gebieds</w:t>
                  </w:r>
                  <w:r w:rsidRPr="00D46F8F">
                    <w:rPr>
                      <w:i/>
                    </w:rPr>
                    <w:t>gebod</w:t>
                  </w:r>
                  <w:r>
                    <w:t xml:space="preserve"> een wezenlijk ander karakter draagt dan de bestaande vrijheidsbeperkende maatre</w:t>
                  </w:r>
                  <w:r>
                    <w:softHyphen/>
                    <w:t>gelen.</w:t>
                  </w:r>
                  <w:r>
                    <w:rPr>
                      <w:rStyle w:val="Voetnootmarkering"/>
                    </w:rPr>
                    <w:footnoteReference w:id="18"/>
                  </w:r>
                  <w:r>
                    <w:t xml:space="preserve"> Een gebieds- of contact</w:t>
                  </w:r>
                  <w:r w:rsidRPr="00D46F8F">
                    <w:rPr>
                      <w:i/>
                    </w:rPr>
                    <w:t>verbod</w:t>
                  </w:r>
                  <w:r>
                    <w:t xml:space="preserve"> houdt in dat de betrokkene zich overal mag ophouden, behalve op bepaalde plaatsen of in de buurt van bepaalde personen. Een meldingsplicht is een gebod zich naar een bepaalde plaats te begeven, maar is in de tijd beperkt: na de melding kan de betrokkene weer zijns weegs gaan. Een gebiedsgebod, met name als dat iemands bewegingsruimte beperkt tot de eigen woning, kan in dat licht bezien een aanzienlijk verdergaande beperking van de bewegingsvrijheid met zich meebrengen dan een gebiedsverbod. Volgens de jurisprudentie van het Europese Hof voor de Rechten van de Mens kan een ver</w:t>
                  </w:r>
                  <w:r>
                    <w:softHyphen/>
                    <w:t>bod om de eigen woning te verlaten, ook voor een korte periode, een vorm van vrijheidsontneming zijn in de zin van artikel 5 EVRM en niet slechts vrijheids</w:t>
                  </w:r>
                  <w:r w:rsidRPr="00D46F8F">
                    <w:rPr>
                      <w:i/>
                    </w:rPr>
                    <w:t>beperking</w:t>
                  </w:r>
                  <w:r>
                    <w:t xml:space="preserve"> in de zin van Artikel 2, Vierde Protocol bij het EVRM.</w:t>
                  </w:r>
                  <w:r>
                    <w:rPr>
                      <w:rStyle w:val="Voetnootmarkering"/>
                    </w:rPr>
                    <w:footnoteReference w:id="19"/>
                  </w:r>
                  <w:r>
                    <w:t xml:space="preserve"> De toelichting gaat echter alleen in op de verhouding van het voorstel tot het laatstgenoemde artikel.</w:t>
                  </w:r>
                </w:p>
                <w:p w:rsidR="001260D3" w:rsidP="004B55E1" w:rsidRDefault="00480A70"/>
                <w:p w:rsidR="001260D3" w:rsidP="004B55E1" w:rsidRDefault="00EA7971">
                  <w:r>
                    <w:t>Of sprake is van vrijheidsontneming in de zin van artikel 5 EVRM is blijkens de rechtspraak van het EHRM afhankelijk van verschillende criteria, zoals het type, de duur, de effecten en de wijze van tenuitvoerlegging van een maatregel. Het gaat om de intensiteit van de maatregel, niet zozeer om de aard ervan.</w:t>
                  </w:r>
                  <w:r>
                    <w:rPr>
                      <w:rStyle w:val="Voetnootmarkering"/>
                    </w:rPr>
                    <w:footnoteReference w:id="20"/>
                  </w:r>
                  <w:r>
                    <w:t xml:space="preserve"> Volgens de memorie van toelichting bij het voorliggende wetsvoorstel kan het gebiedsgebod worden gebruikt voor de duur van bepaalde voetbalwedstrijden, voor de uren rond de oudjaarsviering of tijdens de uitgaansuren. Die beperking blijkt echter niet uit de voorgestelde wettekst. Het artikel volstaat met een algemene aanduiding: het gebod houdt in dat betrokkene ‘op bepaalde tijdstippen’ of ‘gedurende een bepaalde periode’ op een ‘bepaalde locatie’ aanwezig moet zijn. In beginsel laat de voorgestelde regeling toe dat het gebiedsgebod geldt voor een onafgebroken periode van vijf jaar. De Afdeling concludeert hieruit dat het voorgestelde artikel zodanig veel ruimte laat dat op grond hiervan maatregelen kunnen worden opgelegd, die zijn te kwalificeren als vrijheidsontneming in de zin van artikel 5 EVRM.</w:t>
                  </w:r>
                  <w:r>
                    <w:rPr>
                      <w:rStyle w:val="Voetnootmarkering"/>
                    </w:rPr>
                    <w:footnoteReference w:id="21"/>
                  </w:r>
                </w:p>
                <w:p w:rsidR="001260D3" w:rsidP="004B55E1" w:rsidRDefault="00480A70"/>
                <w:p w:rsidR="00ED2AEB" w:rsidP="004B55E1" w:rsidRDefault="00EA7971">
                  <w:r>
                    <w:t>Gezien het potentieel ver strekkende karakter van de voorgestelde bevoegdheid geldt voor de noodzaak daarvan een relatief zware bewijslast. Dit geldt te meer omdat, zoals de toelichting vermeldt</w:t>
                  </w:r>
                  <w:r>
                    <w:rPr>
                      <w:rStyle w:val="Voetnootmarkering"/>
                    </w:rPr>
                    <w:footnoteReference w:id="22"/>
                  </w:r>
                  <w:r>
                    <w:t xml:space="preserve">, een gebiedsgebod ook bij lichte(re) strafbare feiten zal </w:t>
                  </w:r>
                  <w:r>
                    <w:lastRenderedPageBreak/>
                    <w:t>mogen worden opgelegd.</w:t>
                  </w:r>
                  <w:r>
                    <w:rPr>
                      <w:rStyle w:val="Voetnootmarkering"/>
                    </w:rPr>
                    <w:footnoteReference w:id="23"/>
                  </w:r>
                  <w:r>
                    <w:t xml:space="preserve"> In dat licht bezien maakt de voorgestelde bepaling een veel verdergaande toepassing mogelijk dan nodig is voor het doel van de Wet mbveo: het bestrijden van groepsoverlast in de openbare ruimte. Dit zou anders zijn indien de wet concreet zou bepalen voor welke doelen de maatregel kan worden opgelegd, welke ruimtelijke beperkingen mogelijk zijn en voor welke (korte) periodes de maatregel kan worden opgelegd. Een zodanige precisering van de wettekst zou ook in overeenstemming zijn met de toelichting. Zoals hiervoor vermeld richt deze zich klaarblijkelijk op maatregelen voor de korte duur van bepaalde evenementen (bijv. voetbalwedstrijden, oudejaarsviering).</w:t>
                  </w:r>
                </w:p>
                <w:p w:rsidR="00ED2AEB" w:rsidP="004B55E1" w:rsidRDefault="00480A70"/>
                <w:p w:rsidR="00C45F5B" w:rsidP="00C45F5B" w:rsidRDefault="00EA7971">
                  <w:pPr>
                    <w:keepNext/>
                  </w:pPr>
                  <w:r>
                    <w:t>De Afdeling adviseert in het licht van het voorgaande in de toelichting in te gaan op de verhouding tussen het voorgestelde gebiedsgebod en artikel 5 EVRM en mede met het oog daarop het voorstel nader toe te spitsen op een gebiedsgebod dat in duur en intensiteit beperkt is.</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A7971">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0388E" w:rsidRDefault="00EA7971">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W03.13.0354</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EA7971">
              <w:pPr>
                <w:numPr>
                  <w:ilvl w:val="0"/>
                  <w:numId w:val="1"/>
                </w:numPr>
              </w:pPr>
              <w:r>
                <w:t>In § 3.1 (First offenders) van de toelichting niet verwijzen naar de zaak Labita t. Italië, nu die een andere context heeft dan het burgemeestersbe</w:t>
              </w:r>
              <w:r>
                <w:softHyphen/>
                <w:t>vel: het betrof verdenking van lidmaatschap van een maffia-achtige organi</w:t>
              </w:r>
              <w:r>
                <w:softHyphen/>
                <w:t>satie.</w:t>
              </w:r>
            </w:p>
          </w:sdtContent>
        </w:sdt>
        <w:p w:rsidR="00C50D4F" w:rsidP="005841EA" w:rsidRDefault="00480A7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971" w:rsidRDefault="00EA7971" w:rsidP="001410FD">
      <w:r>
        <w:separator/>
      </w:r>
    </w:p>
  </w:endnote>
  <w:endnote w:type="continuationSeparator" w:id="0">
    <w:p w:rsidR="00EA7971" w:rsidRDefault="00EA797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971" w:rsidRDefault="00EA7971" w:rsidP="001410FD">
      <w:r>
        <w:separator/>
      </w:r>
    </w:p>
  </w:footnote>
  <w:footnote w:type="continuationSeparator" w:id="0">
    <w:p w:rsidR="00EA7971" w:rsidRDefault="00EA7971" w:rsidP="001410FD">
      <w:r>
        <w:continuationSeparator/>
      </w:r>
    </w:p>
  </w:footnote>
  <w:footnote w:id="1">
    <w:p w:rsidR="00BC09F0" w:rsidRDefault="00EA7971" w:rsidP="00C45F5B">
      <w:pPr>
        <w:pStyle w:val="Voetnoottekst"/>
      </w:pPr>
      <w:r>
        <w:rPr>
          <w:rStyle w:val="Voetnootmarkering"/>
        </w:rPr>
        <w:footnoteRef/>
      </w:r>
      <w:r>
        <w:t xml:space="preserve"> </w:t>
      </w:r>
      <w:r>
        <w:tab/>
        <w:t>Artikelen 172a en 172b van de Gemeentewet.</w:t>
      </w:r>
    </w:p>
  </w:footnote>
  <w:footnote w:id="2">
    <w:p w:rsidR="00BC09F0" w:rsidRDefault="00EA7971" w:rsidP="00C45F5B">
      <w:pPr>
        <w:pStyle w:val="Voetnoottekst"/>
      </w:pPr>
      <w:r>
        <w:rPr>
          <w:rStyle w:val="Voetnootmarkering"/>
        </w:rPr>
        <w:footnoteRef/>
      </w:r>
      <w:r>
        <w:t xml:space="preserve"> </w:t>
      </w:r>
      <w:r>
        <w:tab/>
        <w:t>Artikel 509hh van het Wetboek van Strafvordering.</w:t>
      </w:r>
    </w:p>
  </w:footnote>
  <w:footnote w:id="3">
    <w:p w:rsidR="00BC09F0" w:rsidRDefault="00EA7971" w:rsidP="00C45F5B">
      <w:pPr>
        <w:pStyle w:val="Voetnoottekst"/>
      </w:pPr>
      <w:r>
        <w:rPr>
          <w:rStyle w:val="Voetnootmarkering"/>
        </w:rPr>
        <w:footnoteRef/>
      </w:r>
      <w:r>
        <w:t xml:space="preserve"> </w:t>
      </w:r>
      <w:r>
        <w:tab/>
        <w:t xml:space="preserve">Artikel 38v van het Wetboek van Strafrecht, ingevoegd bij wet van 17 november 2011, </w:t>
      </w:r>
      <w:r w:rsidRPr="007D47FB">
        <w:rPr>
          <w:i/>
        </w:rPr>
        <w:t>Stb</w:t>
      </w:r>
      <w:r>
        <w:t>. 546.</w:t>
      </w:r>
    </w:p>
  </w:footnote>
  <w:footnote w:id="4">
    <w:p w:rsidR="00BC09F0" w:rsidRDefault="00EA7971" w:rsidP="00C45F5B">
      <w:pPr>
        <w:pStyle w:val="Voetnoottekst"/>
      </w:pPr>
      <w:r>
        <w:rPr>
          <w:rStyle w:val="Voetnootmarkering"/>
        </w:rPr>
        <w:footnoteRef/>
      </w:r>
      <w:r>
        <w:t xml:space="preserve"> </w:t>
      </w:r>
      <w:r>
        <w:tab/>
        <w:t xml:space="preserve">Artikel 38v van het Wetboek van Strafrecht, ingevoegd bij wet van 17 november 2011, </w:t>
      </w:r>
      <w:r w:rsidRPr="007D47FB">
        <w:rPr>
          <w:i/>
        </w:rPr>
        <w:t>Stb</w:t>
      </w:r>
      <w:r>
        <w:t>. 546.</w:t>
      </w:r>
    </w:p>
  </w:footnote>
  <w:footnote w:id="5">
    <w:p w:rsidR="00BC09F0" w:rsidRDefault="00EA7971" w:rsidP="00C45F5B">
      <w:pPr>
        <w:pStyle w:val="Voetnoottekst"/>
      </w:pPr>
      <w:r>
        <w:rPr>
          <w:rStyle w:val="Voetnootmarkering"/>
        </w:rPr>
        <w:footnoteRef/>
      </w:r>
      <w:r>
        <w:t xml:space="preserve"> </w:t>
      </w:r>
      <w:r>
        <w:tab/>
        <w:t>Kamerstukken II 2011/12, 33 281, nrs. 1-2. De nota is nog niet in de Tweede Kamer behandeld; de verdedi</w:t>
      </w:r>
      <w:r>
        <w:softHyphen/>
        <w:t>ging van de initiatiefnota is inmiddels in handen van de leden Bontes, Van Dekken en Oskam.</w:t>
      </w:r>
    </w:p>
  </w:footnote>
  <w:footnote w:id="6">
    <w:p w:rsidR="00BC09F0" w:rsidRDefault="00EA7971" w:rsidP="00B06F23">
      <w:pPr>
        <w:pStyle w:val="Voetnoottekst"/>
      </w:pPr>
      <w:r>
        <w:rPr>
          <w:rStyle w:val="Voetnootmarkering"/>
        </w:rPr>
        <w:footnoteRef/>
      </w:r>
      <w:r>
        <w:t xml:space="preserve"> </w:t>
      </w:r>
      <w:r>
        <w:tab/>
        <w:t>De artikelen 151b, 151c, 154a, 154b, 172, 174, 174a, 175, 176 en 176a Gemeentewet.</w:t>
      </w:r>
    </w:p>
  </w:footnote>
  <w:footnote w:id="7">
    <w:p w:rsidR="00BC09F0" w:rsidRDefault="00EA7971" w:rsidP="00C45F5B">
      <w:pPr>
        <w:pStyle w:val="Voetnoottekst"/>
      </w:pPr>
      <w:r>
        <w:rPr>
          <w:rStyle w:val="Voetnootmarkering"/>
        </w:rPr>
        <w:footnoteRef/>
      </w:r>
      <w:r>
        <w:t xml:space="preserve"> </w:t>
      </w:r>
      <w:r>
        <w:tab/>
      </w:r>
      <w:r w:rsidRPr="001E0A2D">
        <w:t>I</w:t>
      </w:r>
      <w:r>
        <w:t xml:space="preserve">nspectie Veiligheid en Justitie, </w:t>
      </w:r>
      <w:r w:rsidRPr="001E0A2D">
        <w:rPr>
          <w:i/>
        </w:rPr>
        <w:t>Wet Maatregelen bestrijding voetbalvandalisme en ernstige overlast, Toepas</w:t>
      </w:r>
      <w:r>
        <w:rPr>
          <w:i/>
        </w:rPr>
        <w:softHyphen/>
      </w:r>
      <w:r w:rsidRPr="001E0A2D">
        <w:rPr>
          <w:i/>
        </w:rPr>
        <w:t>sing in de praktijk 2012</w:t>
      </w:r>
      <w:r>
        <w:t>, Kamerstukken II 2011/12, 25 </w:t>
      </w:r>
      <w:r w:rsidRPr="001E0A2D">
        <w:t>232, nr. 61</w:t>
      </w:r>
      <w:r>
        <w:t xml:space="preserve">, bijlage 1, blz. 43-44. Pro Facto, </w:t>
      </w:r>
      <w:r w:rsidRPr="001E0A2D">
        <w:t>Rijksuni</w:t>
      </w:r>
      <w:r>
        <w:softHyphen/>
      </w:r>
      <w:r w:rsidRPr="001E0A2D">
        <w:t xml:space="preserve">versiteit Groningen, </w:t>
      </w:r>
      <w:r w:rsidRPr="001E0A2D">
        <w:rPr>
          <w:i/>
        </w:rPr>
        <w:t>Op doel? Evaluatie van de Wet maatregelen bestrijding voetbalvandalisme en ernstige overlast</w:t>
      </w:r>
      <w:r>
        <w:t>, Kamerstukken II 2011/12, 25 </w:t>
      </w:r>
      <w:r w:rsidRPr="001E0A2D">
        <w:t>232, nr. 61</w:t>
      </w:r>
      <w:r>
        <w:t>, bijlage 2, blz. 52-54.</w:t>
      </w:r>
    </w:p>
  </w:footnote>
  <w:footnote w:id="8">
    <w:p w:rsidR="00BC09F0" w:rsidRDefault="00EA7971">
      <w:pPr>
        <w:pStyle w:val="Voetnoottekst"/>
      </w:pPr>
      <w:r>
        <w:rPr>
          <w:rStyle w:val="Voetnootmarkering"/>
        </w:rPr>
        <w:footnoteRef/>
      </w:r>
      <w:r>
        <w:t xml:space="preserve"> </w:t>
      </w:r>
      <w:r>
        <w:tab/>
      </w:r>
      <w:r w:rsidRPr="001455A1">
        <w:rPr>
          <w:i/>
        </w:rPr>
        <w:t>Op doel?</w:t>
      </w:r>
      <w:r>
        <w:t>, blz. 54-55. Tweede rapportage van de Inspectie Veiligheid en Justitie, blz. 64.</w:t>
      </w:r>
    </w:p>
  </w:footnote>
  <w:footnote w:id="9">
    <w:p w:rsidR="00BC09F0" w:rsidRDefault="00EA7971">
      <w:pPr>
        <w:pStyle w:val="Voetnoottekst"/>
      </w:pPr>
      <w:r>
        <w:rPr>
          <w:rStyle w:val="Voetnootmarkering"/>
        </w:rPr>
        <w:footnoteRef/>
      </w:r>
      <w:r>
        <w:t xml:space="preserve"> </w:t>
      </w:r>
      <w:r>
        <w:tab/>
        <w:t xml:space="preserve">Advies van het </w:t>
      </w:r>
      <w:r w:rsidRPr="00FE5FF7">
        <w:t xml:space="preserve">College van procureurs-generaal </w:t>
      </w:r>
      <w:r>
        <w:t>van 4 juni 2013, kenmerk PaG/W&amp;R/16767, blz. 2-3. Kamerstuk</w:t>
      </w:r>
      <w:r>
        <w:softHyphen/>
        <w:t>ken II 2007/08, 31 467, nr. 3, blz. 32 en 14-17.</w:t>
      </w:r>
    </w:p>
  </w:footnote>
  <w:footnote w:id="10">
    <w:p w:rsidR="00061198" w:rsidRDefault="00EA7971" w:rsidP="00061198">
      <w:pPr>
        <w:pStyle w:val="Voetnoottekst"/>
      </w:pPr>
      <w:r>
        <w:rPr>
          <w:rStyle w:val="Voetnootmarkering"/>
        </w:rPr>
        <w:footnoteRef/>
      </w:r>
      <w:r>
        <w:t xml:space="preserve"> </w:t>
      </w:r>
      <w:r>
        <w:tab/>
        <w:t>Toelichting, § 3.1 (First offenders).</w:t>
      </w:r>
    </w:p>
  </w:footnote>
  <w:footnote w:id="11">
    <w:p w:rsidR="00BC09F0" w:rsidRDefault="00EA7971">
      <w:pPr>
        <w:pStyle w:val="Voetnoottekst"/>
      </w:pPr>
      <w:r>
        <w:rPr>
          <w:rStyle w:val="Voetnootmarkering"/>
        </w:rPr>
        <w:footnoteRef/>
      </w:r>
      <w:r>
        <w:t xml:space="preserve"> </w:t>
      </w:r>
      <w:r>
        <w:tab/>
        <w:t>Voorgesteld artikel 172a, tweede lid, Gemeentewet.</w:t>
      </w:r>
    </w:p>
  </w:footnote>
  <w:footnote w:id="12">
    <w:p w:rsidR="00BC09F0" w:rsidRDefault="00EA7971">
      <w:pPr>
        <w:pStyle w:val="Voetnoottekst"/>
      </w:pPr>
      <w:r>
        <w:rPr>
          <w:rStyle w:val="Voetnootmarkering"/>
        </w:rPr>
        <w:footnoteRef/>
      </w:r>
      <w:r>
        <w:t xml:space="preserve"> </w:t>
      </w:r>
      <w:r>
        <w:tab/>
        <w:t>Toelichting, § 3.3 (Versterking stadionverbod KNVB of voetbalclub).</w:t>
      </w:r>
    </w:p>
  </w:footnote>
  <w:footnote w:id="13">
    <w:p w:rsidR="00BC09F0" w:rsidRDefault="00EA7971">
      <w:pPr>
        <w:pStyle w:val="Voetnoottekst"/>
      </w:pPr>
      <w:r>
        <w:rPr>
          <w:rStyle w:val="Voetnootmarkering"/>
        </w:rPr>
        <w:footnoteRef/>
      </w:r>
      <w:r>
        <w:t xml:space="preserve"> </w:t>
      </w:r>
      <w:r>
        <w:tab/>
        <w:t>Zie artikelen 3:2 en 3:46 en volgende van de Algemene wet bestuursrecht.</w:t>
      </w:r>
    </w:p>
  </w:footnote>
  <w:footnote w:id="14">
    <w:p w:rsidR="00BC09F0" w:rsidRDefault="00EA7971" w:rsidP="00C45F5B">
      <w:pPr>
        <w:pStyle w:val="Voetnoottekst"/>
      </w:pPr>
      <w:r>
        <w:rPr>
          <w:rStyle w:val="Voetnootmarkering"/>
        </w:rPr>
        <w:footnoteRef/>
      </w:r>
      <w:r>
        <w:t xml:space="preserve"> </w:t>
      </w:r>
      <w:r>
        <w:tab/>
        <w:t>Toelichting, § 3.3 (Versterking stadionverbod KNVB of voetbalclub).</w:t>
      </w:r>
    </w:p>
  </w:footnote>
  <w:footnote w:id="15">
    <w:p w:rsidR="00BC09F0" w:rsidRDefault="00EA7971" w:rsidP="00C45F5B">
      <w:pPr>
        <w:pStyle w:val="Voetnoottekst"/>
      </w:pPr>
      <w:r>
        <w:rPr>
          <w:rStyle w:val="Voetnootmarkering"/>
        </w:rPr>
        <w:footnoteRef/>
      </w:r>
      <w:r>
        <w:t xml:space="preserve"> </w:t>
      </w:r>
      <w:r>
        <w:tab/>
        <w:t>Voorgesteld artikel 38v, tweede lid, aanhef en onderdeel c, van het Wetboek van Strafrecht.</w:t>
      </w:r>
    </w:p>
  </w:footnote>
  <w:footnote w:id="16">
    <w:p w:rsidR="00BC09F0" w:rsidRDefault="00EA7971" w:rsidP="00C45F5B">
      <w:pPr>
        <w:pStyle w:val="Voetnoottekst"/>
      </w:pPr>
      <w:r>
        <w:rPr>
          <w:rStyle w:val="Voetnootmarkering"/>
        </w:rPr>
        <w:footnoteRef/>
      </w:r>
      <w:r>
        <w:tab/>
        <w:t>Toelichting, § 4.1 (Gebiedsgebod).</w:t>
      </w:r>
    </w:p>
  </w:footnote>
  <w:footnote w:id="17">
    <w:p w:rsidR="00BC09F0" w:rsidRDefault="00EA7971" w:rsidP="004B55E1">
      <w:pPr>
        <w:pStyle w:val="Voetnoottekst"/>
      </w:pPr>
      <w:r>
        <w:rPr>
          <w:rStyle w:val="Voetnootmarkering"/>
        </w:rPr>
        <w:footnoteRef/>
      </w:r>
      <w:r>
        <w:tab/>
        <w:t>Toelichting, § 4.1 (Gebiedsgebod).</w:t>
      </w:r>
    </w:p>
  </w:footnote>
  <w:footnote w:id="18">
    <w:p w:rsidR="004C4732" w:rsidRDefault="00EA7971">
      <w:pPr>
        <w:pStyle w:val="Voetnoottekst"/>
      </w:pPr>
      <w:r>
        <w:rPr>
          <w:rStyle w:val="Voetnootmarkering"/>
        </w:rPr>
        <w:footnoteRef/>
      </w:r>
      <w:r>
        <w:t xml:space="preserve"> </w:t>
      </w:r>
      <w:r>
        <w:tab/>
        <w:t>§ 4.1 van de toelichting wijst op de al bestaande mogelijkheid een gebiedsgebod op te leggen als bijzondere voorwaarde bij een voorwaardelijke straf. Bij de invoering van de vrijheidsbeperkende maatregel is er echter bewust van afgezien om een gebiedsgebod op te nemen, omdat er een wezenlijk verschil in karakter is tussen maatregelen en bijzondere voorwaarden.</w:t>
      </w:r>
    </w:p>
  </w:footnote>
  <w:footnote w:id="19">
    <w:p w:rsidR="00BC09F0" w:rsidRDefault="00EA7971" w:rsidP="00C45F5B">
      <w:pPr>
        <w:pStyle w:val="Voetnoottekst"/>
      </w:pPr>
      <w:r>
        <w:rPr>
          <w:rStyle w:val="Voetnootmarkering"/>
        </w:rPr>
        <w:footnoteRef/>
      </w:r>
      <w:r>
        <w:t xml:space="preserve"> </w:t>
      </w:r>
      <w:r>
        <w:tab/>
        <w:t xml:space="preserve">EHRM 6 november 1980, 7367/76 (Guzzardi / Italië), zie ook EHRM </w:t>
      </w:r>
      <w:r w:rsidRPr="005B2AF5">
        <w:t xml:space="preserve">2 </w:t>
      </w:r>
      <w:r>
        <w:t>n</w:t>
      </w:r>
      <w:r w:rsidRPr="005B2AF5">
        <w:t>ovember 2006</w:t>
      </w:r>
      <w:r>
        <w:t xml:space="preserve">, </w:t>
      </w:r>
      <w:r w:rsidRPr="005B2AF5">
        <w:t>69966/01</w:t>
      </w:r>
      <w:r>
        <w:t xml:space="preserve"> (Dacosta Silva / Spanje), § 44 (huisarrest voor zes dagen).</w:t>
      </w:r>
    </w:p>
  </w:footnote>
  <w:footnote w:id="20">
    <w:p w:rsidR="00BC09F0" w:rsidRDefault="00EA7971">
      <w:pPr>
        <w:pStyle w:val="Voetnoottekst"/>
      </w:pPr>
      <w:r>
        <w:rPr>
          <w:rStyle w:val="Voetnootmarkering"/>
        </w:rPr>
        <w:footnoteRef/>
      </w:r>
      <w:r>
        <w:t xml:space="preserve"> </w:t>
      </w:r>
      <w:r>
        <w:tab/>
        <w:t xml:space="preserve">EHRM 6 november 1980, 7367/76 (Guzzardi / Italië).  </w:t>
      </w:r>
    </w:p>
  </w:footnote>
  <w:footnote w:id="21">
    <w:p w:rsidR="00BC09F0" w:rsidRDefault="00EA7971" w:rsidP="00DA3298">
      <w:pPr>
        <w:pStyle w:val="Voetnoottekst"/>
      </w:pPr>
      <w:r>
        <w:rPr>
          <w:rStyle w:val="Voetnootmarkering"/>
        </w:rPr>
        <w:footnoteRef/>
      </w:r>
      <w:r>
        <w:t xml:space="preserve"> </w:t>
      </w:r>
      <w:r>
        <w:tab/>
        <w:t>Onder omstandigheden kan ook ophouding van niet langer dan 30 minuten gezien worden als vrijheidsontneming (EHRM 12 januari 2010, 4158/05, Gillan en Quinton / Verenigd Koninkrijk. Aan de andere kant heeft het EHRM in de zaak Austin / Verenigd Koninkrijk een bestuurlijke ophouding van 7 uur gezien de specifieke omstandigheden van het geval juist niet gekwalificeerd als vrijheidsontneming in de zin van artikel 5 EVRM (EHRM 15 maart 2012, 39692/09, 40713/09 en 41008/09, Austin e.a. / Verenigd Koninkrijk). Zie ook EHRM 29 januari 2008, 13229/03 (</w:t>
      </w:r>
      <w:r w:rsidRPr="00542C5F">
        <w:t xml:space="preserve">Saadi </w:t>
      </w:r>
      <w:r>
        <w:t>/</w:t>
      </w:r>
      <w:r w:rsidRPr="00542C5F">
        <w:t xml:space="preserve"> </w:t>
      </w:r>
      <w:r>
        <w:t>Verenigd Koninkrijk) over de vraag onder welke omstandigheden de vrijheidsbeneming ‘noodzakelijk’ moet zijn voor de in artikel 5 EVRM aangegeven doelen.</w:t>
      </w:r>
    </w:p>
  </w:footnote>
  <w:footnote w:id="22">
    <w:p w:rsidR="00BC09F0" w:rsidRDefault="00EA7971">
      <w:pPr>
        <w:pStyle w:val="Voetnoottekst"/>
      </w:pPr>
      <w:r>
        <w:rPr>
          <w:rStyle w:val="Voetnootmarkering"/>
        </w:rPr>
        <w:footnoteRef/>
      </w:r>
      <w:r>
        <w:t xml:space="preserve"> </w:t>
      </w:r>
      <w:r>
        <w:tab/>
        <w:t>Toelichting, par. 4.1. (Gebiedsgebod).</w:t>
      </w:r>
    </w:p>
  </w:footnote>
  <w:footnote w:id="23">
    <w:p w:rsidR="004C4732" w:rsidRPr="004D40C1" w:rsidRDefault="00EA7971">
      <w:pPr>
        <w:pStyle w:val="Voetnoottekst"/>
        <w:rPr>
          <w:b/>
        </w:rPr>
      </w:pPr>
      <w:r>
        <w:rPr>
          <w:rStyle w:val="Voetnootmarkering"/>
        </w:rPr>
        <w:footnoteRef/>
      </w:r>
      <w:r>
        <w:t xml:space="preserve"> </w:t>
      </w:r>
      <w:r>
        <w:tab/>
        <w:t xml:space="preserve">De verhouding tussen de zwaarte van het strafbare feit en die van de opgelegde maatregel is ook aan de orde geweest in het wetsvoorstel </w:t>
      </w:r>
      <w:r w:rsidRPr="004D40C1">
        <w:t>langdurig toezicht, gedragsbeïnvloeding en vrijheidsbeperking</w:t>
      </w:r>
      <w:r>
        <w:t xml:space="preserve">, waarover de Afdeling advisering op 31 juli 2013 advies heeft uitgebracht. De regering stelt in de memorie van toelichting bij dat wetsvoorstel dat de zwaardere modaliteiten van de in dat wetsvoorstel opgenomen maatregelen, slechts voor zwaardere delicten worden opgelegd. Dat betreft dan ook de maatregelen die feitelijk leiden tot vrijheidsontneming, vallen onder de reikwijdte van artikel 5 EVRM </w:t>
      </w:r>
      <w:r w:rsidRPr="004D40C1">
        <w:t>[</w:t>
      </w:r>
      <w:r>
        <w:t xml:space="preserve">zaak no. </w:t>
      </w:r>
      <w:r w:rsidRPr="00010F42">
        <w:t>W03.13.0153</w:t>
      </w:r>
      <w:r w:rsidRPr="004D40C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0A70">
      <w:rPr>
        <w:rStyle w:val="Paginanummer"/>
        <w:noProof/>
      </w:rPr>
      <w:t>7</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0A7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5AE1756"/>
    <w:multiLevelType w:val="hybridMultilevel"/>
    <w:tmpl w:val="DCE0340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9B75D9F"/>
    <w:multiLevelType w:val="hybridMultilevel"/>
    <w:tmpl w:val="A7FC096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CB0058D"/>
    <w:multiLevelType w:val="hybridMultilevel"/>
    <w:tmpl w:val="9A5407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12F1F35"/>
    <w:multiLevelType w:val="hybridMultilevel"/>
    <w:tmpl w:val="3D2C2E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46B2E30"/>
    <w:multiLevelType w:val="hybridMultilevel"/>
    <w:tmpl w:val="080284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BF859ED"/>
    <w:multiLevelType w:val="hybridMultilevel"/>
    <w:tmpl w:val="D764AF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41B741F"/>
    <w:multiLevelType w:val="hybridMultilevel"/>
    <w:tmpl w:val="0EC63A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34A22"/>
    <w:rsid w:val="002F16D1"/>
    <w:rsid w:val="0031280A"/>
    <w:rsid w:val="00365EF8"/>
    <w:rsid w:val="003706AD"/>
    <w:rsid w:val="0037367E"/>
    <w:rsid w:val="003C7608"/>
    <w:rsid w:val="0040388E"/>
    <w:rsid w:val="00411DBC"/>
    <w:rsid w:val="00480A70"/>
    <w:rsid w:val="00554D49"/>
    <w:rsid w:val="00557D8F"/>
    <w:rsid w:val="005841EA"/>
    <w:rsid w:val="00586D29"/>
    <w:rsid w:val="005E41CC"/>
    <w:rsid w:val="00635836"/>
    <w:rsid w:val="00636D17"/>
    <w:rsid w:val="00687984"/>
    <w:rsid w:val="006C5E3C"/>
    <w:rsid w:val="006D53BA"/>
    <w:rsid w:val="007009C5"/>
    <w:rsid w:val="00743072"/>
    <w:rsid w:val="00796479"/>
    <w:rsid w:val="008108EA"/>
    <w:rsid w:val="00831363"/>
    <w:rsid w:val="00883369"/>
    <w:rsid w:val="0089225B"/>
    <w:rsid w:val="008C5EDD"/>
    <w:rsid w:val="00907421"/>
    <w:rsid w:val="009466F3"/>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43811"/>
    <w:rsid w:val="00EA7971"/>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4105"/>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D47FB"/>
    <w:rPr>
      <w:vertAlign w:val="superscript"/>
    </w:rPr>
  </w:style>
  <w:style w:type="paragraph" w:styleId="Lijstalinea">
    <w:name w:val="List Paragraph"/>
    <w:basedOn w:val="Standaard"/>
    <w:uiPriority w:val="34"/>
    <w:qFormat/>
    <w:rsid w:val="007D47FB"/>
    <w:pPr>
      <w:ind w:left="720"/>
      <w:contextualSpacing/>
    </w:pPr>
  </w:style>
  <w:style w:type="paragraph" w:styleId="Revisie">
    <w:name w:val="Revision"/>
    <w:hidden/>
    <w:uiPriority w:val="99"/>
    <w:semiHidden/>
    <w:rsid w:val="00242CF5"/>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4105"/>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D47FB"/>
    <w:rPr>
      <w:vertAlign w:val="superscript"/>
    </w:rPr>
  </w:style>
  <w:style w:type="paragraph" w:styleId="Lijstalinea">
    <w:name w:val="List Paragraph"/>
    <w:basedOn w:val="Standaard"/>
    <w:uiPriority w:val="34"/>
    <w:qFormat/>
    <w:rsid w:val="007D47FB"/>
    <w:pPr>
      <w:ind w:left="720"/>
      <w:contextualSpacing/>
    </w:pPr>
  </w:style>
  <w:style w:type="paragraph" w:styleId="Revisie">
    <w:name w:val="Revision"/>
    <w:hidden/>
    <w:uiPriority w:val="99"/>
    <w:semiHidden/>
    <w:rsid w:val="00242CF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367FB"/>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2872</ap:Words>
  <ap:Characters>16417</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2014-03-04T15:23:00.0000000Z</dcterms:created>
  <dcterms:modified xsi:type="dcterms:W3CDTF">2014-03-04T15:23:00.0000000Z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0x010100E991901130912449843B992F84256D96</vt:lpwstr>
  </property>
</Properties>
</file>