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57" w:rsidP="003F3457" w:rsidRDefault="00B6102D">
      <w:pPr>
        <w:outlineLvl w:val="0"/>
        <w:rPr>
          <w:rFonts w:ascii="Verdana" w:hAnsi="Verdana"/>
          <w:b/>
          <w:sz w:val="18"/>
          <w:szCs w:val="18"/>
        </w:rPr>
      </w:pPr>
      <w:r w:rsidRPr="003D5241">
        <w:rPr>
          <w:rFonts w:ascii="Verdana" w:hAnsi="Verdana"/>
          <w:b/>
          <w:sz w:val="18"/>
          <w:szCs w:val="18"/>
        </w:rPr>
        <w:t xml:space="preserve">Rapportage inkomensgegevens van bestuurders van zorginstellingen uit de </w:t>
      </w:r>
    </w:p>
    <w:p w:rsidRPr="003D5241" w:rsidR="003F3457" w:rsidP="003F3457" w:rsidRDefault="00B6102D">
      <w:pPr>
        <w:outlineLvl w:val="0"/>
        <w:rPr>
          <w:rFonts w:ascii="Verdana" w:hAnsi="Verdana"/>
          <w:b/>
          <w:sz w:val="18"/>
          <w:szCs w:val="18"/>
        </w:rPr>
      </w:pPr>
      <w:r w:rsidRPr="003D5241">
        <w:rPr>
          <w:rFonts w:ascii="Verdana" w:hAnsi="Verdana"/>
          <w:b/>
          <w:sz w:val="18"/>
          <w:szCs w:val="18"/>
        </w:rPr>
        <w:t>jaarverslagen-20</w:t>
      </w:r>
      <w:r>
        <w:rPr>
          <w:rFonts w:ascii="Verdana" w:hAnsi="Verdana"/>
          <w:b/>
          <w:sz w:val="18"/>
          <w:szCs w:val="18"/>
        </w:rPr>
        <w:t xml:space="preserve">12 </w:t>
      </w:r>
    </w:p>
    <w:p w:rsidRPr="003D5241" w:rsidR="003F3457" w:rsidRDefault="00B6102D">
      <w:pPr>
        <w:rPr>
          <w:rFonts w:ascii="Verdana" w:hAnsi="Verdana"/>
          <w:sz w:val="18"/>
          <w:szCs w:val="18"/>
        </w:rPr>
      </w:pPr>
    </w:p>
    <w:p w:rsidRPr="001046D8" w:rsidR="003F3457" w:rsidP="001046D8" w:rsidRDefault="00B6102D">
      <w:pPr>
        <w:pStyle w:val="Lijstalinea"/>
        <w:numPr>
          <w:ilvl w:val="0"/>
          <w:numId w:val="34"/>
        </w:numPr>
        <w:rPr>
          <w:rFonts w:ascii="Verdana" w:hAnsi="Verdana"/>
          <w:b/>
          <w:sz w:val="18"/>
          <w:szCs w:val="18"/>
        </w:rPr>
      </w:pPr>
      <w:r w:rsidRPr="001046D8">
        <w:rPr>
          <w:rFonts w:ascii="Verdana" w:hAnsi="Verdana"/>
          <w:b/>
          <w:sz w:val="18"/>
          <w:szCs w:val="18"/>
        </w:rPr>
        <w:t>Inleiding</w:t>
      </w:r>
    </w:p>
    <w:p w:rsidRPr="001046D8" w:rsidR="001046D8" w:rsidP="001046D8" w:rsidRDefault="00B6102D">
      <w:pPr>
        <w:pStyle w:val="Lijstalinea"/>
        <w:ind w:left="1065"/>
        <w:rPr>
          <w:rFonts w:ascii="Verdana" w:hAnsi="Verdana"/>
          <w:b/>
          <w:sz w:val="18"/>
          <w:szCs w:val="18"/>
        </w:rPr>
      </w:pPr>
    </w:p>
    <w:p w:rsidRPr="003D5241" w:rsidR="003F3457" w:rsidP="001046D8" w:rsidRDefault="00B6102D">
      <w:pPr>
        <w:rPr>
          <w:rFonts w:ascii="Verdana" w:hAnsi="Verdana"/>
          <w:sz w:val="18"/>
          <w:szCs w:val="18"/>
        </w:rPr>
      </w:pPr>
      <w:r w:rsidRPr="003D5241">
        <w:rPr>
          <w:rFonts w:ascii="Verdana" w:hAnsi="Verdana"/>
          <w:sz w:val="18"/>
          <w:szCs w:val="18"/>
        </w:rPr>
        <w:t xml:space="preserve">VWS rapporteert jaarlijks aan de Kamer over de gegevens van de inkomens van bestuurders van zorginstellingen zoals in de jaarverslagen worden </w:t>
      </w:r>
      <w:r w:rsidRPr="003D5241">
        <w:rPr>
          <w:rFonts w:ascii="Verdana" w:hAnsi="Verdana"/>
          <w:sz w:val="18"/>
          <w:szCs w:val="18"/>
        </w:rPr>
        <w:t>verantwoord (TK 29689, nrs. 4, 34, 124 en  174, TK 30111, nr. 48</w:t>
      </w:r>
      <w:r>
        <w:rPr>
          <w:rFonts w:ascii="Verdana" w:hAnsi="Verdana"/>
          <w:sz w:val="18"/>
          <w:szCs w:val="18"/>
        </w:rPr>
        <w:t>, 50,</w:t>
      </w:r>
      <w:r w:rsidRPr="003D5241">
        <w:rPr>
          <w:rFonts w:ascii="Verdana" w:hAnsi="Verdana"/>
          <w:sz w:val="18"/>
          <w:szCs w:val="18"/>
        </w:rPr>
        <w:t xml:space="preserve"> 5</w:t>
      </w:r>
      <w:r>
        <w:rPr>
          <w:rFonts w:ascii="Verdana" w:hAnsi="Verdana"/>
          <w:sz w:val="18"/>
          <w:szCs w:val="18"/>
        </w:rPr>
        <w:t>2, 55 en 57.</w:t>
      </w:r>
      <w:r w:rsidRPr="003D5241">
        <w:rPr>
          <w:rFonts w:ascii="Verdana" w:hAnsi="Verdana"/>
          <w:sz w:val="18"/>
          <w:szCs w:val="18"/>
        </w:rPr>
        <w:t xml:space="preserve"> In deze rapportage zijn grotendeels dezelfde tabellen gegen</w:t>
      </w:r>
      <w:r w:rsidRPr="003D5241">
        <w:rPr>
          <w:rFonts w:ascii="Verdana" w:hAnsi="Verdana"/>
          <w:sz w:val="18"/>
          <w:szCs w:val="18"/>
        </w:rPr>
        <w:t>e</w:t>
      </w:r>
      <w:r w:rsidRPr="003D5241">
        <w:rPr>
          <w:rFonts w:ascii="Verdana" w:hAnsi="Verdana"/>
          <w:sz w:val="18"/>
          <w:szCs w:val="18"/>
        </w:rPr>
        <w:t xml:space="preserve">reerd als in de voorgaande jaren. </w:t>
      </w:r>
      <w:r>
        <w:rPr>
          <w:rFonts w:ascii="Verdana" w:hAnsi="Verdana"/>
          <w:sz w:val="18"/>
          <w:szCs w:val="18"/>
        </w:rPr>
        <w:t xml:space="preserve">De volgende rapportage gaat over het verslagjaar-2013, het eerste jaar dat de </w:t>
      </w:r>
      <w:r w:rsidRPr="001046D8">
        <w:rPr>
          <w:rFonts w:ascii="Verdana" w:hAnsi="Verdana"/>
          <w:sz w:val="18"/>
          <w:szCs w:val="18"/>
        </w:rPr>
        <w:t>Wet normering bezoldiging topfunctionarissen publieke en semipublieke sector</w:t>
      </w:r>
      <w:r>
        <w:rPr>
          <w:rFonts w:ascii="Verdana" w:hAnsi="Verdana"/>
          <w:sz w:val="18"/>
          <w:szCs w:val="18"/>
        </w:rPr>
        <w:t xml:space="preserve"> (Wnt) in werking is. Die rapportage krijgt dan een andere, eenvoudiger opzet.</w:t>
      </w:r>
    </w:p>
    <w:p w:rsidRPr="003D5241" w:rsidR="003F3457" w:rsidRDefault="00B6102D">
      <w:pPr>
        <w:rPr>
          <w:rFonts w:ascii="Verdana" w:hAnsi="Verdana"/>
          <w:sz w:val="18"/>
          <w:szCs w:val="18"/>
        </w:rPr>
      </w:pPr>
    </w:p>
    <w:p w:rsidRPr="003D5241" w:rsidR="003F3457" w:rsidP="003F3457" w:rsidRDefault="00B6102D">
      <w:pPr>
        <w:outlineLvl w:val="0"/>
        <w:rPr>
          <w:rFonts w:ascii="Verdana" w:hAnsi="Verdana"/>
          <w:b/>
          <w:sz w:val="18"/>
          <w:szCs w:val="18"/>
        </w:rPr>
      </w:pPr>
      <w:r w:rsidRPr="003D5241">
        <w:rPr>
          <w:rFonts w:ascii="Verdana" w:hAnsi="Verdana"/>
          <w:b/>
          <w:sz w:val="18"/>
          <w:szCs w:val="18"/>
        </w:rPr>
        <w:t>2.1</w:t>
      </w:r>
      <w:r w:rsidRPr="003D5241">
        <w:rPr>
          <w:rFonts w:ascii="Verdana" w:hAnsi="Verdana"/>
          <w:b/>
          <w:sz w:val="18"/>
          <w:szCs w:val="18"/>
        </w:rPr>
        <w:tab/>
        <w:t>Reikwijdte van het onderzoek</w:t>
      </w:r>
    </w:p>
    <w:p w:rsidRPr="003D5241" w:rsidR="003F3457" w:rsidRDefault="00B6102D">
      <w:pPr>
        <w:rPr>
          <w:rFonts w:ascii="Verdana" w:hAnsi="Verdana"/>
          <w:sz w:val="18"/>
          <w:szCs w:val="18"/>
        </w:rPr>
      </w:pPr>
    </w:p>
    <w:p w:rsidRPr="003D5241" w:rsidR="003F3457" w:rsidRDefault="00B6102D">
      <w:pPr>
        <w:rPr>
          <w:rFonts w:ascii="Verdana" w:hAnsi="Verdana"/>
          <w:sz w:val="18"/>
          <w:szCs w:val="18"/>
        </w:rPr>
      </w:pPr>
      <w:r w:rsidRPr="003D5241">
        <w:rPr>
          <w:rFonts w:ascii="Verdana" w:hAnsi="Verdana"/>
          <w:sz w:val="18"/>
          <w:szCs w:val="18"/>
        </w:rPr>
        <w:t>In de analyse is gekeken naar vier sectoren:</w:t>
      </w:r>
    </w:p>
    <w:p w:rsidRPr="003D5241" w:rsidR="003F3457" w:rsidP="003F3457" w:rsidRDefault="00B6102D">
      <w:pPr>
        <w:numPr>
          <w:ilvl w:val="0"/>
          <w:numId w:val="32"/>
        </w:numPr>
        <w:rPr>
          <w:rFonts w:ascii="Verdana" w:hAnsi="Verdana"/>
          <w:sz w:val="18"/>
          <w:szCs w:val="18"/>
        </w:rPr>
      </w:pPr>
      <w:r w:rsidRPr="003D5241">
        <w:rPr>
          <w:rFonts w:ascii="Verdana" w:hAnsi="Verdana"/>
          <w:sz w:val="18"/>
          <w:szCs w:val="18"/>
        </w:rPr>
        <w:t>Ziekenhuiszorg: 1</w:t>
      </w:r>
      <w:r>
        <w:rPr>
          <w:rFonts w:ascii="Verdana" w:hAnsi="Verdana"/>
          <w:sz w:val="18"/>
          <w:szCs w:val="18"/>
        </w:rPr>
        <w:t>08</w:t>
      </w:r>
      <w:r w:rsidRPr="003D5241">
        <w:rPr>
          <w:rFonts w:ascii="Verdana" w:hAnsi="Verdana"/>
          <w:sz w:val="18"/>
          <w:szCs w:val="18"/>
        </w:rPr>
        <w:t xml:space="preserve"> i</w:t>
      </w:r>
      <w:r w:rsidRPr="003D5241">
        <w:rPr>
          <w:rFonts w:ascii="Verdana" w:hAnsi="Verdana"/>
          <w:sz w:val="18"/>
          <w:szCs w:val="18"/>
        </w:rPr>
        <w:t>nstellingen</w:t>
      </w:r>
    </w:p>
    <w:p w:rsidRPr="003D5241" w:rsidR="003F3457" w:rsidP="003F3457" w:rsidRDefault="00B6102D">
      <w:pPr>
        <w:numPr>
          <w:ilvl w:val="0"/>
          <w:numId w:val="32"/>
        </w:numPr>
        <w:rPr>
          <w:rFonts w:ascii="Verdana" w:hAnsi="Verdana"/>
          <w:sz w:val="18"/>
          <w:szCs w:val="18"/>
        </w:rPr>
      </w:pPr>
      <w:r w:rsidRPr="003D5241">
        <w:rPr>
          <w:rFonts w:ascii="Verdana" w:hAnsi="Verdana"/>
          <w:sz w:val="18"/>
          <w:szCs w:val="18"/>
        </w:rPr>
        <w:t>Geestelijke gezondheidszorg (GGZ): 1</w:t>
      </w:r>
      <w:r>
        <w:rPr>
          <w:rFonts w:ascii="Verdana" w:hAnsi="Verdana"/>
          <w:sz w:val="18"/>
          <w:szCs w:val="18"/>
        </w:rPr>
        <w:t>62</w:t>
      </w:r>
      <w:r w:rsidRPr="003D5241">
        <w:rPr>
          <w:rFonts w:ascii="Verdana" w:hAnsi="Verdana"/>
          <w:sz w:val="18"/>
          <w:szCs w:val="18"/>
        </w:rPr>
        <w:t xml:space="preserve"> instellingen</w:t>
      </w:r>
    </w:p>
    <w:p w:rsidRPr="003D5241" w:rsidR="003F3457" w:rsidP="003F3457" w:rsidRDefault="00B6102D">
      <w:pPr>
        <w:numPr>
          <w:ilvl w:val="0"/>
          <w:numId w:val="32"/>
        </w:numPr>
        <w:rPr>
          <w:rFonts w:ascii="Verdana" w:hAnsi="Verdana"/>
          <w:sz w:val="18"/>
          <w:szCs w:val="18"/>
        </w:rPr>
      </w:pPr>
      <w:r w:rsidRPr="003D5241">
        <w:rPr>
          <w:rFonts w:ascii="Verdana" w:hAnsi="Verdana"/>
          <w:sz w:val="18"/>
          <w:szCs w:val="18"/>
        </w:rPr>
        <w:t>Gehandicaptenzorg: 1</w:t>
      </w:r>
      <w:r>
        <w:rPr>
          <w:rFonts w:ascii="Verdana" w:hAnsi="Verdana"/>
          <w:sz w:val="18"/>
          <w:szCs w:val="18"/>
        </w:rPr>
        <w:t>26</w:t>
      </w:r>
      <w:r w:rsidRPr="003D5241">
        <w:rPr>
          <w:rFonts w:ascii="Verdana" w:hAnsi="Verdana"/>
          <w:sz w:val="18"/>
          <w:szCs w:val="18"/>
        </w:rPr>
        <w:t xml:space="preserve"> instellingen</w:t>
      </w:r>
    </w:p>
    <w:p w:rsidRPr="003D5241" w:rsidR="003F3457" w:rsidP="003F3457" w:rsidRDefault="00B6102D">
      <w:pPr>
        <w:numPr>
          <w:ilvl w:val="0"/>
          <w:numId w:val="32"/>
        </w:numPr>
        <w:rPr>
          <w:rFonts w:ascii="Verdana" w:hAnsi="Verdana"/>
          <w:sz w:val="18"/>
          <w:szCs w:val="18"/>
        </w:rPr>
      </w:pPr>
      <w:r w:rsidRPr="003D5241">
        <w:rPr>
          <w:rFonts w:ascii="Verdana" w:hAnsi="Verdana"/>
          <w:sz w:val="18"/>
          <w:szCs w:val="18"/>
        </w:rPr>
        <w:t>Verpleging, Verzorging en Thuiszorg</w:t>
      </w:r>
      <w:r>
        <w:rPr>
          <w:rFonts w:ascii="Verdana" w:hAnsi="Verdana"/>
          <w:sz w:val="18"/>
          <w:szCs w:val="18"/>
        </w:rPr>
        <w:t xml:space="preserve"> (VVT)</w:t>
      </w:r>
      <w:r w:rsidRPr="003D5241">
        <w:rPr>
          <w:rFonts w:ascii="Verdana" w:hAnsi="Verdana"/>
          <w:sz w:val="18"/>
          <w:szCs w:val="18"/>
        </w:rPr>
        <w:t>: 3</w:t>
      </w:r>
      <w:r>
        <w:rPr>
          <w:rFonts w:ascii="Verdana" w:hAnsi="Verdana"/>
          <w:sz w:val="18"/>
          <w:szCs w:val="18"/>
        </w:rPr>
        <w:t>82</w:t>
      </w:r>
      <w:r w:rsidRPr="003D5241">
        <w:rPr>
          <w:rFonts w:ascii="Verdana" w:hAnsi="Verdana"/>
          <w:sz w:val="18"/>
          <w:szCs w:val="18"/>
        </w:rPr>
        <w:t xml:space="preserve"> instellingen</w:t>
      </w:r>
    </w:p>
    <w:p w:rsidRPr="003D5241" w:rsidR="003F3457" w:rsidP="003F3457" w:rsidRDefault="00B6102D">
      <w:pPr>
        <w:rPr>
          <w:rFonts w:ascii="Verdana" w:hAnsi="Verdana"/>
          <w:sz w:val="18"/>
          <w:szCs w:val="18"/>
        </w:rPr>
      </w:pPr>
    </w:p>
    <w:p w:rsidRPr="003D5241" w:rsidR="003F3457" w:rsidP="003F3457" w:rsidRDefault="00B6102D">
      <w:pPr>
        <w:outlineLvl w:val="0"/>
        <w:rPr>
          <w:rFonts w:ascii="Verdana" w:hAnsi="Verdana"/>
          <w:b/>
          <w:sz w:val="18"/>
          <w:szCs w:val="18"/>
        </w:rPr>
      </w:pPr>
      <w:r w:rsidRPr="003D5241">
        <w:rPr>
          <w:rFonts w:ascii="Verdana" w:hAnsi="Verdana"/>
          <w:b/>
          <w:sz w:val="18"/>
          <w:szCs w:val="18"/>
        </w:rPr>
        <w:t>2.2</w:t>
      </w:r>
      <w:r w:rsidRPr="003D5241">
        <w:rPr>
          <w:rFonts w:ascii="Verdana" w:hAnsi="Verdana"/>
          <w:b/>
          <w:sz w:val="18"/>
          <w:szCs w:val="18"/>
        </w:rPr>
        <w:tab/>
        <w:t>Beloningsniveau van de bestuurders in 20</w:t>
      </w:r>
      <w:r>
        <w:rPr>
          <w:rFonts w:ascii="Verdana" w:hAnsi="Verdana"/>
          <w:b/>
          <w:sz w:val="18"/>
          <w:szCs w:val="18"/>
        </w:rPr>
        <w:t>12</w:t>
      </w:r>
    </w:p>
    <w:p w:rsidRPr="003D5241" w:rsidR="003F3457" w:rsidRDefault="00B6102D">
      <w:pPr>
        <w:rPr>
          <w:rFonts w:ascii="Verdana" w:hAnsi="Verdana"/>
          <w:sz w:val="18"/>
          <w:szCs w:val="18"/>
        </w:rPr>
      </w:pPr>
    </w:p>
    <w:p w:rsidRPr="003D5241" w:rsidR="003F3457" w:rsidRDefault="00B6102D">
      <w:pPr>
        <w:rPr>
          <w:rFonts w:ascii="Verdana" w:hAnsi="Verdana"/>
          <w:sz w:val="18"/>
          <w:szCs w:val="18"/>
        </w:rPr>
      </w:pPr>
      <w:r w:rsidRPr="003D5241">
        <w:rPr>
          <w:rFonts w:ascii="Verdana" w:hAnsi="Verdana"/>
          <w:sz w:val="18"/>
          <w:szCs w:val="18"/>
        </w:rPr>
        <w:t>De gegevens over het beloningsniveau in 20</w:t>
      </w:r>
      <w:r>
        <w:rPr>
          <w:rFonts w:ascii="Verdana" w:hAnsi="Verdana"/>
          <w:sz w:val="18"/>
          <w:szCs w:val="18"/>
        </w:rPr>
        <w:t>12</w:t>
      </w:r>
      <w:r w:rsidRPr="003D5241">
        <w:rPr>
          <w:rFonts w:ascii="Verdana" w:hAnsi="Verdana"/>
          <w:sz w:val="18"/>
          <w:szCs w:val="18"/>
        </w:rPr>
        <w:t xml:space="preserve"> hebben betrekking op 1</w:t>
      </w:r>
      <w:r>
        <w:rPr>
          <w:rFonts w:ascii="Verdana" w:hAnsi="Verdana"/>
          <w:sz w:val="18"/>
          <w:szCs w:val="18"/>
        </w:rPr>
        <w:t>.203</w:t>
      </w:r>
      <w:r w:rsidRPr="003D5241">
        <w:rPr>
          <w:rFonts w:ascii="Verdana" w:hAnsi="Verdana"/>
          <w:sz w:val="18"/>
          <w:szCs w:val="18"/>
        </w:rPr>
        <w:t xml:space="preserve"> bestuurders, werkend bij </w:t>
      </w:r>
      <w:r>
        <w:rPr>
          <w:rFonts w:ascii="Verdana" w:hAnsi="Verdana"/>
          <w:sz w:val="18"/>
          <w:szCs w:val="18"/>
        </w:rPr>
        <w:t xml:space="preserve">778 </w:t>
      </w:r>
      <w:r w:rsidRPr="003D5241">
        <w:rPr>
          <w:rFonts w:ascii="Verdana" w:hAnsi="Verdana"/>
          <w:sz w:val="18"/>
          <w:szCs w:val="18"/>
        </w:rPr>
        <w:t>instellingen. Interim-bestuurders en gewezen bestuurders zijn bij deze analyse buiten beschouwing gelaten. De inkomensgegevens van bestuurders van ZBC’s (zelfstandige behande</w:t>
      </w:r>
      <w:r w:rsidRPr="003D5241">
        <w:rPr>
          <w:rFonts w:ascii="Verdana" w:hAnsi="Verdana"/>
          <w:sz w:val="18"/>
          <w:szCs w:val="18"/>
        </w:rPr>
        <w:t>l</w:t>
      </w:r>
      <w:r w:rsidRPr="003D5241">
        <w:rPr>
          <w:rFonts w:ascii="Verdana" w:hAnsi="Verdana"/>
          <w:sz w:val="18"/>
          <w:szCs w:val="18"/>
        </w:rPr>
        <w:t xml:space="preserve">centra) lenen zich niet </w:t>
      </w:r>
      <w:r w:rsidRPr="003D5241">
        <w:rPr>
          <w:rFonts w:ascii="Verdana" w:hAnsi="Verdana"/>
          <w:sz w:val="18"/>
          <w:szCs w:val="18"/>
        </w:rPr>
        <w:t>voor analyse</w:t>
      </w:r>
      <w:r>
        <w:rPr>
          <w:rFonts w:ascii="Verdana" w:hAnsi="Verdana"/>
          <w:sz w:val="18"/>
          <w:szCs w:val="18"/>
        </w:rPr>
        <w:t xml:space="preserve"> omdat zij daar niet in loondienst zijn</w:t>
      </w:r>
      <w:r w:rsidRPr="003D5241">
        <w:rPr>
          <w:rFonts w:ascii="Verdana" w:hAnsi="Verdana"/>
          <w:sz w:val="18"/>
          <w:szCs w:val="18"/>
        </w:rPr>
        <w:t xml:space="preserve">. Daarom zijn ze er dit jaar weer buiten gehouden. In iedere sector </w:t>
      </w:r>
      <w:r>
        <w:rPr>
          <w:rFonts w:ascii="Verdana" w:hAnsi="Verdana"/>
          <w:sz w:val="18"/>
          <w:szCs w:val="18"/>
        </w:rPr>
        <w:t xml:space="preserve">behalve de ziekenhuiszorg </w:t>
      </w:r>
      <w:r w:rsidRPr="003D5241">
        <w:rPr>
          <w:rFonts w:ascii="Verdana" w:hAnsi="Verdana"/>
          <w:sz w:val="18"/>
          <w:szCs w:val="18"/>
        </w:rPr>
        <w:t xml:space="preserve">zien we dit jaar een hoger aantal instellingen en dus ook </w:t>
      </w:r>
      <w:r>
        <w:rPr>
          <w:rFonts w:ascii="Verdana" w:hAnsi="Verdana"/>
          <w:sz w:val="18"/>
          <w:szCs w:val="18"/>
        </w:rPr>
        <w:t xml:space="preserve">meer </w:t>
      </w:r>
      <w:r w:rsidRPr="003D5241">
        <w:rPr>
          <w:rFonts w:ascii="Verdana" w:hAnsi="Verdana"/>
          <w:sz w:val="18"/>
          <w:szCs w:val="18"/>
        </w:rPr>
        <w:t>bestuurders dan in 20</w:t>
      </w:r>
      <w:r>
        <w:rPr>
          <w:rFonts w:ascii="Verdana" w:hAnsi="Verdana"/>
          <w:sz w:val="18"/>
          <w:szCs w:val="18"/>
        </w:rPr>
        <w:t>11</w:t>
      </w:r>
      <w:r w:rsidRPr="003D5241">
        <w:rPr>
          <w:rFonts w:ascii="Verdana" w:hAnsi="Verdana"/>
          <w:sz w:val="18"/>
          <w:szCs w:val="18"/>
        </w:rPr>
        <w:t xml:space="preserve"> (was</w:t>
      </w:r>
      <w:r>
        <w:rPr>
          <w:rFonts w:ascii="Verdana" w:hAnsi="Verdana"/>
          <w:sz w:val="18"/>
          <w:szCs w:val="18"/>
        </w:rPr>
        <w:t xml:space="preserve"> in 2011</w:t>
      </w:r>
      <w:r w:rsidRPr="003D5241">
        <w:rPr>
          <w:rFonts w:ascii="Verdana" w:hAnsi="Verdana"/>
          <w:sz w:val="18"/>
          <w:szCs w:val="18"/>
        </w:rPr>
        <w:t xml:space="preserve">: </w:t>
      </w:r>
      <w:r>
        <w:rPr>
          <w:rFonts w:ascii="Verdana" w:hAnsi="Verdana"/>
          <w:sz w:val="18"/>
          <w:szCs w:val="18"/>
        </w:rPr>
        <w:t>756</w:t>
      </w:r>
      <w:r w:rsidRPr="003D5241">
        <w:rPr>
          <w:rFonts w:ascii="Verdana" w:hAnsi="Verdana"/>
          <w:sz w:val="18"/>
          <w:szCs w:val="18"/>
        </w:rPr>
        <w:t xml:space="preserve"> instel</w:t>
      </w:r>
      <w:r w:rsidRPr="003D5241">
        <w:rPr>
          <w:rFonts w:ascii="Verdana" w:hAnsi="Verdana"/>
          <w:sz w:val="18"/>
          <w:szCs w:val="18"/>
        </w:rPr>
        <w:t xml:space="preserve">lingen met </w:t>
      </w:r>
      <w:r>
        <w:rPr>
          <w:rFonts w:ascii="Verdana" w:hAnsi="Verdana"/>
          <w:sz w:val="18"/>
          <w:szCs w:val="18"/>
        </w:rPr>
        <w:t>1.179</w:t>
      </w:r>
      <w:r w:rsidRPr="003D5241">
        <w:rPr>
          <w:rFonts w:ascii="Verdana" w:hAnsi="Verdana"/>
          <w:sz w:val="18"/>
          <w:szCs w:val="18"/>
        </w:rPr>
        <w:t xml:space="preserve"> bestuurders; </w:t>
      </w:r>
      <w:r>
        <w:rPr>
          <w:rFonts w:ascii="Verdana" w:hAnsi="Verdana"/>
          <w:sz w:val="18"/>
          <w:szCs w:val="18"/>
        </w:rPr>
        <w:t>in 2012: 778 instellingen met 1.203 bestuurders</w:t>
      </w:r>
      <w:r w:rsidRPr="003D5241">
        <w:rPr>
          <w:rFonts w:ascii="Verdana" w:hAnsi="Verdana"/>
          <w:sz w:val="18"/>
          <w:szCs w:val="18"/>
        </w:rPr>
        <w:t xml:space="preserve">). </w:t>
      </w:r>
    </w:p>
    <w:p w:rsidRPr="003D5241" w:rsidR="003F3457" w:rsidRDefault="00B6102D">
      <w:pPr>
        <w:rPr>
          <w:rFonts w:ascii="Verdana" w:hAnsi="Verdana"/>
          <w:sz w:val="18"/>
          <w:szCs w:val="18"/>
        </w:rPr>
      </w:pPr>
      <w:r w:rsidRPr="003D5241">
        <w:rPr>
          <w:rFonts w:ascii="Verdana" w:hAnsi="Verdana"/>
          <w:sz w:val="18"/>
          <w:szCs w:val="18"/>
        </w:rPr>
        <w:t>De inkomensgegevens hebben betrekking op het brutoloon inclusief het vakantiegeld en de eind</w:t>
      </w:r>
      <w:r w:rsidRPr="003D5241">
        <w:rPr>
          <w:rFonts w:ascii="Verdana" w:hAnsi="Verdana"/>
          <w:sz w:val="18"/>
          <w:szCs w:val="18"/>
        </w:rPr>
        <w:t>e</w:t>
      </w:r>
      <w:r w:rsidRPr="003D5241">
        <w:rPr>
          <w:rFonts w:ascii="Verdana" w:hAnsi="Verdana"/>
          <w:sz w:val="18"/>
          <w:szCs w:val="18"/>
        </w:rPr>
        <w:t>jaarsuitkering, maar exclusief de onkostenvergoeding en de werkgeverslasten (premi</w:t>
      </w:r>
      <w:r w:rsidRPr="003D5241">
        <w:rPr>
          <w:rFonts w:ascii="Verdana" w:hAnsi="Verdana"/>
          <w:sz w:val="18"/>
          <w:szCs w:val="18"/>
        </w:rPr>
        <w:t>es en pens</w:t>
      </w:r>
      <w:r w:rsidRPr="003D5241">
        <w:rPr>
          <w:rFonts w:ascii="Verdana" w:hAnsi="Verdana"/>
          <w:sz w:val="18"/>
          <w:szCs w:val="18"/>
        </w:rPr>
        <w:t>i</w:t>
      </w:r>
      <w:r w:rsidRPr="003D5241">
        <w:rPr>
          <w:rFonts w:ascii="Verdana" w:hAnsi="Verdana"/>
          <w:sz w:val="18"/>
          <w:szCs w:val="18"/>
        </w:rPr>
        <w:t xml:space="preserve">oen). Ook de </w:t>
      </w:r>
      <w:r>
        <w:rPr>
          <w:rFonts w:ascii="Verdana" w:hAnsi="Verdana"/>
          <w:sz w:val="18"/>
          <w:szCs w:val="18"/>
        </w:rPr>
        <w:t xml:space="preserve">eventuele </w:t>
      </w:r>
      <w:r w:rsidRPr="003D5241">
        <w:rPr>
          <w:rFonts w:ascii="Verdana" w:hAnsi="Verdana"/>
          <w:sz w:val="18"/>
          <w:szCs w:val="18"/>
        </w:rPr>
        <w:t xml:space="preserve">ontslaguitkering en de </w:t>
      </w:r>
      <w:r>
        <w:rPr>
          <w:rFonts w:ascii="Verdana" w:hAnsi="Verdana"/>
          <w:sz w:val="18"/>
          <w:szCs w:val="18"/>
        </w:rPr>
        <w:t xml:space="preserve">eventuele </w:t>
      </w:r>
      <w:r w:rsidRPr="003D5241">
        <w:rPr>
          <w:rFonts w:ascii="Verdana" w:hAnsi="Verdana"/>
          <w:sz w:val="18"/>
          <w:szCs w:val="18"/>
        </w:rPr>
        <w:t>bonus zijn hierin niet meegenomen, maar deze komen in paragraaf 5 terug. Het brutoloon van de bestuurder is omgerekend naar een vo</w:t>
      </w:r>
      <w:r w:rsidRPr="003D5241">
        <w:rPr>
          <w:rFonts w:ascii="Verdana" w:hAnsi="Verdana"/>
          <w:sz w:val="18"/>
          <w:szCs w:val="18"/>
        </w:rPr>
        <w:t>l</w:t>
      </w:r>
      <w:r w:rsidRPr="003D5241">
        <w:rPr>
          <w:rFonts w:ascii="Verdana" w:hAnsi="Verdana"/>
          <w:sz w:val="18"/>
          <w:szCs w:val="18"/>
        </w:rPr>
        <w:t>tijds jaarloon voor de vergelijkbaarheid. Dat wil zeggen d</w:t>
      </w:r>
      <w:r w:rsidRPr="003D5241">
        <w:rPr>
          <w:rFonts w:ascii="Verdana" w:hAnsi="Verdana"/>
          <w:sz w:val="18"/>
          <w:szCs w:val="18"/>
        </w:rPr>
        <w:t xml:space="preserve">at is gecorrigeerd voor een eventuele deeltijdfactor en voor een eventueel kortere duur van het dienstverband in het verslagjaar. </w:t>
      </w:r>
      <w:r>
        <w:rPr>
          <w:rFonts w:ascii="Verdana" w:hAnsi="Verdana"/>
          <w:sz w:val="18"/>
          <w:szCs w:val="18"/>
        </w:rPr>
        <w:t>Omdat de klassenindeling in tabel 1 dezelfde is gebleven (i.e. niet aan inflatiecijfers is aangepast), is daar met de invullin</w:t>
      </w:r>
      <w:r>
        <w:rPr>
          <w:rFonts w:ascii="Verdana" w:hAnsi="Verdana"/>
          <w:sz w:val="18"/>
          <w:szCs w:val="18"/>
        </w:rPr>
        <w:t>g van de tabel rekening mee gehouden (i.e. exclusief inflatie).</w:t>
      </w:r>
    </w:p>
    <w:p w:rsidRPr="003D5241" w:rsidR="003F3457" w:rsidRDefault="00B6102D">
      <w:pPr>
        <w:rPr>
          <w:rFonts w:ascii="Verdana" w:hAnsi="Verdana"/>
          <w:sz w:val="18"/>
          <w:szCs w:val="18"/>
        </w:rPr>
      </w:pPr>
    </w:p>
    <w:p w:rsidRPr="003D5241" w:rsidR="003F3457" w:rsidRDefault="00B6102D">
      <w:pPr>
        <w:rPr>
          <w:rFonts w:ascii="Verdana" w:hAnsi="Verdana"/>
          <w:i/>
          <w:sz w:val="16"/>
          <w:szCs w:val="16"/>
        </w:rPr>
      </w:pPr>
      <w:r w:rsidRPr="003D5241">
        <w:rPr>
          <w:rFonts w:ascii="Verdana" w:hAnsi="Verdana"/>
          <w:i/>
          <w:sz w:val="16"/>
          <w:szCs w:val="16"/>
        </w:rPr>
        <w:t>Tabel 1 Bruto jaarloon 20</w:t>
      </w:r>
      <w:r>
        <w:rPr>
          <w:rFonts w:ascii="Verdana" w:hAnsi="Verdana"/>
          <w:i/>
          <w:sz w:val="16"/>
          <w:szCs w:val="16"/>
        </w:rPr>
        <w:t>12</w:t>
      </w:r>
      <w:r w:rsidRPr="003D5241">
        <w:rPr>
          <w:rFonts w:ascii="Verdana" w:hAnsi="Verdana"/>
          <w:i/>
          <w:sz w:val="16"/>
          <w:szCs w:val="16"/>
        </w:rPr>
        <w:t xml:space="preserve"> zorgbestuurders naar sector </w:t>
      </w:r>
    </w:p>
    <w:tbl>
      <w:tblPr>
        <w:tblStyle w:val="Tabelraster"/>
        <w:tblW w:w="0" w:type="auto"/>
        <w:tblBorders>
          <w:left w:val="nil"/>
          <w:right w:val="nil"/>
          <w:insideH w:val="nil"/>
          <w:insideV w:val="nil"/>
        </w:tblBorders>
        <w:tblLayout w:type="fixed"/>
        <w:tblLook w:val="01E0"/>
      </w:tblPr>
      <w:tblGrid>
        <w:gridCol w:w="3078"/>
        <w:gridCol w:w="1232"/>
        <w:gridCol w:w="1233"/>
        <w:gridCol w:w="1233"/>
        <w:gridCol w:w="1233"/>
        <w:gridCol w:w="1233"/>
      </w:tblGrid>
      <w:tr w:rsidR="0073095E" w:rsidTr="003F3457">
        <w:tc>
          <w:tcPr>
            <w:tcW w:w="3078" w:type="dxa"/>
          </w:tcPr>
          <w:p w:rsidRPr="003D5241" w:rsidR="003F3457" w:rsidP="003F3457" w:rsidRDefault="00B6102D">
            <w:pPr>
              <w:spacing w:line="360" w:lineRule="auto"/>
              <w:rPr>
                <w:rFonts w:ascii="Verdana" w:hAnsi="Verdana"/>
                <w:sz w:val="16"/>
                <w:szCs w:val="16"/>
              </w:rPr>
            </w:pPr>
          </w:p>
        </w:tc>
        <w:tc>
          <w:tcPr>
            <w:tcW w:w="1232"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Ziekenhui</w:t>
            </w:r>
            <w:r w:rsidRPr="003D5241">
              <w:rPr>
                <w:rFonts w:ascii="Verdana" w:hAnsi="Verdana"/>
                <w:sz w:val="16"/>
                <w:szCs w:val="16"/>
              </w:rPr>
              <w:t>s</w:t>
            </w:r>
            <w:r w:rsidRPr="003D5241">
              <w:rPr>
                <w:rFonts w:ascii="Verdana" w:hAnsi="Verdana"/>
                <w:sz w:val="16"/>
                <w:szCs w:val="16"/>
              </w:rPr>
              <w:t>zorg</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GGZ</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Gehandica</w:t>
            </w:r>
            <w:r w:rsidRPr="003D5241">
              <w:rPr>
                <w:rFonts w:ascii="Verdana" w:hAnsi="Verdana"/>
                <w:sz w:val="16"/>
                <w:szCs w:val="16"/>
              </w:rPr>
              <w:t>p</w:t>
            </w:r>
            <w:r w:rsidRPr="003D5241">
              <w:rPr>
                <w:rFonts w:ascii="Verdana" w:hAnsi="Verdana"/>
                <w:sz w:val="16"/>
                <w:szCs w:val="16"/>
              </w:rPr>
              <w:t>tenzorg</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VVT</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Totaal</w:t>
            </w:r>
          </w:p>
        </w:tc>
      </w:tr>
      <w:tr w:rsidR="0073095E" w:rsidTr="003F3457">
        <w:tc>
          <w:tcPr>
            <w:tcW w:w="3078" w:type="dxa"/>
          </w:tcPr>
          <w:p w:rsidRPr="003D5241" w:rsidR="003F3457" w:rsidP="003F3457" w:rsidRDefault="00B6102D">
            <w:pPr>
              <w:rPr>
                <w:rFonts w:ascii="Verdana" w:hAnsi="Verdana"/>
                <w:sz w:val="16"/>
                <w:szCs w:val="16"/>
              </w:rPr>
            </w:pPr>
            <w:r w:rsidRPr="003D5241">
              <w:rPr>
                <w:rFonts w:ascii="Verdana" w:hAnsi="Verdana"/>
                <w:sz w:val="16"/>
                <w:szCs w:val="16"/>
              </w:rPr>
              <w:t>Minder dan €100.000</w:t>
            </w:r>
          </w:p>
        </w:tc>
        <w:tc>
          <w:tcPr>
            <w:tcW w:w="1232"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w:t>
            </w:r>
          </w:p>
        </w:tc>
        <w:tc>
          <w:tcPr>
            <w:tcW w:w="1233" w:type="dxa"/>
            <w:tcBorders>
              <w:top w:val="single" w:color="auto" w:sz="4" w:space="0"/>
            </w:tcBorders>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4</w:t>
            </w:r>
            <w:r>
              <w:rPr>
                <w:rFonts w:ascii="Verdana" w:hAnsi="Verdana"/>
                <w:color w:val="000000"/>
                <w:sz w:val="16"/>
                <w:szCs w:val="16"/>
              </w:rPr>
              <w:t>1</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2</w:t>
            </w:r>
            <w:r>
              <w:rPr>
                <w:rFonts w:ascii="Verdana" w:hAnsi="Verdana"/>
                <w:color w:val="000000"/>
                <w:sz w:val="16"/>
                <w:szCs w:val="16"/>
              </w:rPr>
              <w:t>8</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42</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3</w:t>
            </w:r>
            <w:r>
              <w:rPr>
                <w:rFonts w:ascii="Verdana" w:hAnsi="Verdana"/>
                <w:color w:val="000000"/>
                <w:sz w:val="16"/>
                <w:szCs w:val="16"/>
              </w:rPr>
              <w:t>2</w:t>
            </w:r>
            <w:r w:rsidRPr="00237B64">
              <w:rPr>
                <w:rFonts w:ascii="Verdana" w:hAnsi="Verdana"/>
                <w:color w:val="000000"/>
                <w:sz w:val="16"/>
                <w:szCs w:val="16"/>
              </w:rPr>
              <w:t>%</w:t>
            </w:r>
          </w:p>
        </w:tc>
      </w:tr>
      <w:tr w:rsidR="0073095E" w:rsidTr="003F3457">
        <w:tc>
          <w:tcPr>
            <w:tcW w:w="3078" w:type="dxa"/>
          </w:tcPr>
          <w:p w:rsidRPr="003D5241" w:rsidR="003F3457" w:rsidP="003F3457" w:rsidRDefault="00B6102D">
            <w:pPr>
              <w:rPr>
                <w:rFonts w:ascii="Verdana" w:hAnsi="Verdana"/>
                <w:sz w:val="16"/>
                <w:szCs w:val="16"/>
              </w:rPr>
            </w:pPr>
            <w:r w:rsidRPr="003D5241">
              <w:rPr>
                <w:rFonts w:ascii="Verdana" w:hAnsi="Verdana"/>
                <w:sz w:val="16"/>
                <w:szCs w:val="16"/>
              </w:rPr>
              <w:t>Tussen €100.000 en €150.000</w:t>
            </w:r>
          </w:p>
        </w:tc>
        <w:tc>
          <w:tcPr>
            <w:tcW w:w="1232"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4</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3</w:t>
            </w:r>
            <w:r>
              <w:rPr>
                <w:rFonts w:ascii="Verdana" w:hAnsi="Verdana"/>
                <w:color w:val="000000"/>
                <w:sz w:val="16"/>
                <w:szCs w:val="16"/>
              </w:rPr>
              <w:t>3</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4</w:t>
            </w:r>
            <w:r>
              <w:rPr>
                <w:rFonts w:ascii="Verdana" w:hAnsi="Verdana"/>
                <w:color w:val="000000"/>
                <w:sz w:val="16"/>
                <w:szCs w:val="16"/>
              </w:rPr>
              <w:t>6</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4</w:t>
            </w:r>
            <w:r>
              <w:rPr>
                <w:rFonts w:ascii="Verdana" w:hAnsi="Verdana"/>
                <w:color w:val="000000"/>
                <w:sz w:val="16"/>
                <w:szCs w:val="16"/>
              </w:rPr>
              <w:t>2</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3</w:t>
            </w:r>
            <w:r>
              <w:rPr>
                <w:rFonts w:ascii="Verdana" w:hAnsi="Verdana"/>
                <w:color w:val="000000"/>
                <w:sz w:val="16"/>
                <w:szCs w:val="16"/>
              </w:rPr>
              <w:t>5</w:t>
            </w:r>
            <w:r w:rsidRPr="00237B64">
              <w:rPr>
                <w:rFonts w:ascii="Verdana" w:hAnsi="Verdana"/>
                <w:color w:val="000000"/>
                <w:sz w:val="16"/>
                <w:szCs w:val="16"/>
              </w:rPr>
              <w:t>%</w:t>
            </w:r>
          </w:p>
        </w:tc>
      </w:tr>
      <w:tr w:rsidR="0073095E" w:rsidTr="003F3457">
        <w:tc>
          <w:tcPr>
            <w:tcW w:w="3078" w:type="dxa"/>
          </w:tcPr>
          <w:p w:rsidRPr="003D5241" w:rsidR="003F3457" w:rsidP="003F3457" w:rsidRDefault="00B6102D">
            <w:pPr>
              <w:rPr>
                <w:rFonts w:ascii="Verdana" w:hAnsi="Verdana"/>
                <w:sz w:val="16"/>
                <w:szCs w:val="16"/>
              </w:rPr>
            </w:pPr>
            <w:r w:rsidRPr="003D5241">
              <w:rPr>
                <w:rFonts w:ascii="Verdana" w:hAnsi="Verdana"/>
                <w:sz w:val="16"/>
                <w:szCs w:val="16"/>
              </w:rPr>
              <w:t>Tussen €150.000 en €200.000</w:t>
            </w:r>
          </w:p>
        </w:tc>
        <w:tc>
          <w:tcPr>
            <w:tcW w:w="1232"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5</w:t>
            </w:r>
            <w:r>
              <w:rPr>
                <w:rFonts w:ascii="Verdana" w:hAnsi="Verdana"/>
                <w:color w:val="000000"/>
                <w:sz w:val="16"/>
                <w:szCs w:val="16"/>
              </w:rPr>
              <w:t>4</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2</w:t>
            </w:r>
            <w:r>
              <w:rPr>
                <w:rFonts w:ascii="Verdana" w:hAnsi="Verdana"/>
                <w:color w:val="000000"/>
                <w:sz w:val="16"/>
                <w:szCs w:val="16"/>
              </w:rPr>
              <w:t>5</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2</w:t>
            </w:r>
            <w:r>
              <w:rPr>
                <w:rFonts w:ascii="Verdana" w:hAnsi="Verdana"/>
                <w:color w:val="000000"/>
                <w:sz w:val="16"/>
                <w:szCs w:val="16"/>
              </w:rPr>
              <w:t>5</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4</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2</w:t>
            </w:r>
            <w:r>
              <w:rPr>
                <w:rFonts w:ascii="Verdana" w:hAnsi="Verdana"/>
                <w:color w:val="000000"/>
                <w:sz w:val="16"/>
                <w:szCs w:val="16"/>
              </w:rPr>
              <w:t>6</w:t>
            </w:r>
            <w:r w:rsidRPr="00237B64">
              <w:rPr>
                <w:rFonts w:ascii="Verdana" w:hAnsi="Verdana"/>
                <w:color w:val="000000"/>
                <w:sz w:val="16"/>
                <w:szCs w:val="16"/>
              </w:rPr>
              <w:t>%</w:t>
            </w:r>
          </w:p>
        </w:tc>
      </w:tr>
      <w:tr w:rsidR="0073095E" w:rsidTr="003F3457">
        <w:tc>
          <w:tcPr>
            <w:tcW w:w="3078" w:type="dxa"/>
          </w:tcPr>
          <w:p w:rsidRPr="003D5241" w:rsidR="003F3457" w:rsidP="003F3457" w:rsidRDefault="00B6102D">
            <w:pPr>
              <w:rPr>
                <w:rFonts w:ascii="Verdana" w:hAnsi="Verdana"/>
                <w:sz w:val="16"/>
                <w:szCs w:val="16"/>
              </w:rPr>
            </w:pPr>
            <w:r w:rsidRPr="003D5241">
              <w:rPr>
                <w:rFonts w:ascii="Verdana" w:hAnsi="Verdana"/>
                <w:sz w:val="16"/>
                <w:szCs w:val="16"/>
              </w:rPr>
              <w:t>Meer dan €200.000</w:t>
            </w:r>
          </w:p>
        </w:tc>
        <w:tc>
          <w:tcPr>
            <w:tcW w:w="1232"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3</w:t>
            </w:r>
            <w:r>
              <w:rPr>
                <w:rFonts w:ascii="Verdana" w:hAnsi="Verdana"/>
                <w:color w:val="000000"/>
                <w:sz w:val="16"/>
                <w:szCs w:val="16"/>
              </w:rPr>
              <w:t>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2</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7</w:t>
            </w:r>
            <w:r w:rsidRPr="00237B64">
              <w:rPr>
                <w:rFonts w:ascii="Verdana" w:hAnsi="Verdana"/>
                <w:color w:val="000000"/>
                <w:sz w:val="16"/>
                <w:szCs w:val="16"/>
              </w:rPr>
              <w:t>%</w:t>
            </w:r>
          </w:p>
        </w:tc>
      </w:tr>
      <w:tr w:rsidR="0073095E" w:rsidTr="003F3457">
        <w:tc>
          <w:tcPr>
            <w:tcW w:w="3078" w:type="dxa"/>
            <w:vAlign w:val="bottom"/>
          </w:tcPr>
          <w:p w:rsidRPr="003D5241" w:rsidR="003F3457" w:rsidP="003F3457" w:rsidRDefault="00B6102D">
            <w:pPr>
              <w:spacing w:line="360" w:lineRule="auto"/>
              <w:rPr>
                <w:rFonts w:ascii="Verdana" w:hAnsi="Verdana"/>
                <w:sz w:val="16"/>
                <w:szCs w:val="16"/>
              </w:rPr>
            </w:pPr>
          </w:p>
        </w:tc>
        <w:tc>
          <w:tcPr>
            <w:tcW w:w="1232"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r>
      <w:tr w:rsidR="0073095E" w:rsidTr="003F3457">
        <w:tc>
          <w:tcPr>
            <w:tcW w:w="3078" w:type="dxa"/>
            <w:vAlign w:val="bottom"/>
          </w:tcPr>
          <w:p w:rsidRPr="003D5241" w:rsidR="003F3457" w:rsidP="003F3457" w:rsidRDefault="00B6102D">
            <w:pPr>
              <w:spacing w:line="360" w:lineRule="auto"/>
              <w:rPr>
                <w:rFonts w:ascii="Verdana" w:hAnsi="Verdana"/>
                <w:sz w:val="16"/>
                <w:szCs w:val="16"/>
              </w:rPr>
            </w:pPr>
            <w:r w:rsidRPr="003D5241">
              <w:rPr>
                <w:rFonts w:ascii="Verdana" w:hAnsi="Verdana"/>
                <w:sz w:val="16"/>
                <w:szCs w:val="16"/>
              </w:rPr>
              <w:t>Totaal</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r>
      <w:tr w:rsidR="0073095E" w:rsidTr="003F3457">
        <w:tc>
          <w:tcPr>
            <w:tcW w:w="3078" w:type="dxa"/>
            <w:vAlign w:val="bottom"/>
          </w:tcPr>
          <w:p w:rsidRPr="003D5241" w:rsidR="003F3457" w:rsidP="003F3457" w:rsidRDefault="00B6102D">
            <w:pPr>
              <w:spacing w:line="360" w:lineRule="auto"/>
              <w:rPr>
                <w:rFonts w:ascii="Verdana" w:hAnsi="Verdana"/>
                <w:sz w:val="16"/>
                <w:szCs w:val="16"/>
              </w:rPr>
            </w:pPr>
            <w:r w:rsidRPr="003D5241">
              <w:rPr>
                <w:rFonts w:ascii="Verdana" w:hAnsi="Verdana"/>
                <w:sz w:val="16"/>
                <w:szCs w:val="16"/>
              </w:rPr>
              <w:t>Totaal aantal</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230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265</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187</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521</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1.203</w:t>
            </w:r>
          </w:p>
        </w:tc>
      </w:tr>
      <w:tr w:rsidR="0073095E" w:rsidTr="003F3457">
        <w:tc>
          <w:tcPr>
            <w:tcW w:w="3078" w:type="dxa"/>
            <w:vAlign w:val="bottom"/>
          </w:tcPr>
          <w:p w:rsidRPr="003D5241" w:rsidR="003F3457" w:rsidP="003F3457" w:rsidRDefault="00B6102D">
            <w:pPr>
              <w:spacing w:line="360" w:lineRule="auto"/>
              <w:rPr>
                <w:rFonts w:ascii="Verdana" w:hAnsi="Verdana"/>
                <w:sz w:val="16"/>
                <w:szCs w:val="16"/>
              </w:rPr>
            </w:pPr>
            <w:r w:rsidRPr="003D5241">
              <w:rPr>
                <w:rFonts w:ascii="Verdana" w:hAnsi="Verdana"/>
                <w:sz w:val="16"/>
                <w:szCs w:val="16"/>
              </w:rPr>
              <w:t xml:space="preserve">Gemiddeld </w:t>
            </w:r>
          </w:p>
        </w:tc>
        <w:tc>
          <w:tcPr>
            <w:tcW w:w="1232"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18</w:t>
            </w:r>
            <w:r>
              <w:rPr>
                <w:rFonts w:ascii="Verdana" w:hAnsi="Verdana"/>
                <w:color w:val="000000"/>
                <w:sz w:val="16"/>
                <w:szCs w:val="16"/>
              </w:rPr>
              <w:t>4</w:t>
            </w:r>
            <w:r w:rsidRPr="00237B64">
              <w:rPr>
                <w:rFonts w:ascii="Verdana" w:hAnsi="Verdana"/>
                <w:color w:val="000000"/>
                <w:sz w:val="16"/>
                <w:szCs w:val="16"/>
              </w:rPr>
              <w:t>.000</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11</w:t>
            </w:r>
            <w:r>
              <w:rPr>
                <w:rFonts w:ascii="Verdana" w:hAnsi="Verdana"/>
                <w:color w:val="000000"/>
                <w:sz w:val="16"/>
                <w:szCs w:val="16"/>
              </w:rPr>
              <w:t>4</w:t>
            </w:r>
            <w:r w:rsidRPr="00237B64">
              <w:rPr>
                <w:rFonts w:ascii="Verdana" w:hAnsi="Verdana"/>
                <w:color w:val="000000"/>
                <w:sz w:val="16"/>
                <w:szCs w:val="16"/>
              </w:rPr>
              <w:t>.000</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12</w:t>
            </w:r>
            <w:r>
              <w:rPr>
                <w:rFonts w:ascii="Verdana" w:hAnsi="Verdana"/>
                <w:color w:val="000000"/>
                <w:sz w:val="16"/>
                <w:szCs w:val="16"/>
              </w:rPr>
              <w:t>2</w:t>
            </w:r>
            <w:r w:rsidRPr="00237B64">
              <w:rPr>
                <w:rFonts w:ascii="Verdana" w:hAnsi="Verdana"/>
                <w:color w:val="000000"/>
                <w:sz w:val="16"/>
                <w:szCs w:val="16"/>
              </w:rPr>
              <w:t>.000</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11</w:t>
            </w:r>
            <w:r>
              <w:rPr>
                <w:rFonts w:ascii="Verdana" w:hAnsi="Verdana"/>
                <w:color w:val="000000"/>
                <w:sz w:val="16"/>
                <w:szCs w:val="16"/>
              </w:rPr>
              <w:t>1</w:t>
            </w:r>
            <w:r w:rsidRPr="00237B64">
              <w:rPr>
                <w:rFonts w:ascii="Verdana" w:hAnsi="Verdana"/>
                <w:color w:val="000000"/>
                <w:sz w:val="16"/>
                <w:szCs w:val="16"/>
              </w:rPr>
              <w:t>.000</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28</w:t>
            </w:r>
            <w:r w:rsidRPr="00237B64">
              <w:rPr>
                <w:rFonts w:ascii="Verdana" w:hAnsi="Verdana"/>
                <w:color w:val="000000"/>
                <w:sz w:val="16"/>
                <w:szCs w:val="16"/>
              </w:rPr>
              <w:t>.000</w:t>
            </w:r>
          </w:p>
        </w:tc>
      </w:tr>
    </w:tbl>
    <w:p w:rsidRPr="003D5241" w:rsidR="003F3457" w:rsidRDefault="00B6102D">
      <w:pPr>
        <w:rPr>
          <w:rFonts w:ascii="Verdana" w:hAnsi="Verdana"/>
          <w:sz w:val="18"/>
          <w:szCs w:val="18"/>
        </w:rPr>
      </w:pPr>
    </w:p>
    <w:p w:rsidR="003F3457" w:rsidRDefault="00B6102D">
      <w:pPr>
        <w:rPr>
          <w:rFonts w:ascii="Verdana" w:hAnsi="Verdana"/>
          <w:sz w:val="18"/>
          <w:szCs w:val="18"/>
        </w:rPr>
      </w:pPr>
      <w:r w:rsidRPr="003D5241">
        <w:rPr>
          <w:rFonts w:ascii="Verdana" w:hAnsi="Verdana"/>
          <w:sz w:val="18"/>
          <w:szCs w:val="18"/>
        </w:rPr>
        <w:t xml:space="preserve">De tabel laat </w:t>
      </w:r>
      <w:r>
        <w:rPr>
          <w:rFonts w:ascii="Verdana" w:hAnsi="Verdana"/>
          <w:sz w:val="18"/>
          <w:szCs w:val="18"/>
        </w:rPr>
        <w:t xml:space="preserve">een licht dalend beeld zien ten opzichte van dezelfde tabel over 2011. </w:t>
      </w:r>
    </w:p>
    <w:p w:rsidR="003F3457" w:rsidRDefault="00B6102D">
      <w:pPr>
        <w:rPr>
          <w:rFonts w:ascii="Verdana" w:hAnsi="Verdana"/>
          <w:sz w:val="18"/>
          <w:szCs w:val="18"/>
        </w:rPr>
      </w:pPr>
    </w:p>
    <w:p w:rsidRPr="003D5241" w:rsidR="003F3457" w:rsidRDefault="00B6102D">
      <w:pPr>
        <w:rPr>
          <w:rFonts w:ascii="Verdana" w:hAnsi="Verdana"/>
          <w:sz w:val="18"/>
          <w:szCs w:val="18"/>
        </w:rPr>
      </w:pPr>
      <w:r w:rsidRPr="009E5ED5">
        <w:rPr>
          <w:rFonts w:ascii="Verdana" w:hAnsi="Verdana"/>
          <w:sz w:val="18"/>
          <w:szCs w:val="18"/>
        </w:rPr>
        <w:t xml:space="preserve"> </w:t>
      </w:r>
    </w:p>
    <w:p w:rsidRPr="003D5241" w:rsidR="003F3457" w:rsidRDefault="00B6102D">
      <w:pPr>
        <w:rPr>
          <w:rFonts w:ascii="Verdana" w:hAnsi="Verdana"/>
          <w:sz w:val="18"/>
          <w:szCs w:val="18"/>
        </w:rPr>
      </w:pPr>
    </w:p>
    <w:p w:rsidR="003F3457" w:rsidP="003F3457" w:rsidRDefault="00B6102D">
      <w:pPr>
        <w:outlineLvl w:val="0"/>
        <w:rPr>
          <w:rFonts w:ascii="Verdana" w:hAnsi="Verdana"/>
          <w:b/>
          <w:sz w:val="18"/>
          <w:szCs w:val="18"/>
        </w:rPr>
      </w:pPr>
    </w:p>
    <w:p w:rsidRPr="003D5241" w:rsidR="003F3457" w:rsidP="003F3457" w:rsidRDefault="00B6102D">
      <w:pPr>
        <w:outlineLvl w:val="0"/>
        <w:rPr>
          <w:rFonts w:ascii="Verdana" w:hAnsi="Verdana"/>
          <w:b/>
          <w:sz w:val="18"/>
          <w:szCs w:val="18"/>
        </w:rPr>
      </w:pPr>
      <w:r w:rsidRPr="003D5241">
        <w:rPr>
          <w:rFonts w:ascii="Verdana" w:hAnsi="Verdana"/>
          <w:b/>
          <w:sz w:val="18"/>
          <w:szCs w:val="18"/>
        </w:rPr>
        <w:t>2.3</w:t>
      </w:r>
      <w:r w:rsidRPr="003D5241">
        <w:rPr>
          <w:rFonts w:ascii="Verdana" w:hAnsi="Verdana"/>
          <w:b/>
          <w:sz w:val="18"/>
          <w:szCs w:val="18"/>
        </w:rPr>
        <w:tab/>
        <w:t>Vergelijking met de normen van de sector</w:t>
      </w:r>
    </w:p>
    <w:p w:rsidRPr="003D5241" w:rsidR="003F3457" w:rsidRDefault="00B6102D">
      <w:pPr>
        <w:rPr>
          <w:rFonts w:ascii="Verdana" w:hAnsi="Verdana"/>
          <w:sz w:val="18"/>
          <w:szCs w:val="18"/>
        </w:rPr>
      </w:pPr>
    </w:p>
    <w:p w:rsidR="003F3457" w:rsidP="003F3457" w:rsidRDefault="00B6102D">
      <w:pPr>
        <w:rPr>
          <w:rFonts w:ascii="Verdana" w:hAnsi="Verdana"/>
          <w:sz w:val="18"/>
          <w:szCs w:val="18"/>
        </w:rPr>
      </w:pPr>
      <w:r w:rsidRPr="003D5241">
        <w:rPr>
          <w:rFonts w:ascii="Verdana" w:hAnsi="Verdana"/>
          <w:sz w:val="18"/>
          <w:szCs w:val="18"/>
        </w:rPr>
        <w:t xml:space="preserve">1 september 2009 is de nieuwe Beloningscode Bestuurders in de Zorg (BBZ) in werking getreden. Die geldt alleen voor nieuwe contracten. Die code kan daarom pas effect sorteren op de inkomens van </w:t>
      </w:r>
      <w:r>
        <w:rPr>
          <w:rFonts w:ascii="Verdana" w:hAnsi="Verdana"/>
          <w:sz w:val="18"/>
          <w:szCs w:val="18"/>
        </w:rPr>
        <w:t xml:space="preserve">nieuwe </w:t>
      </w:r>
      <w:r w:rsidRPr="003D5241">
        <w:rPr>
          <w:rFonts w:ascii="Verdana" w:hAnsi="Verdana"/>
          <w:sz w:val="18"/>
          <w:szCs w:val="18"/>
        </w:rPr>
        <w:t xml:space="preserve">bestuurders die in 2010 </w:t>
      </w:r>
      <w:r>
        <w:rPr>
          <w:rFonts w:ascii="Verdana" w:hAnsi="Verdana"/>
          <w:sz w:val="18"/>
          <w:szCs w:val="18"/>
        </w:rPr>
        <w:t>we</w:t>
      </w:r>
      <w:r w:rsidRPr="003D5241">
        <w:rPr>
          <w:rFonts w:ascii="Verdana" w:hAnsi="Verdana"/>
          <w:sz w:val="18"/>
          <w:szCs w:val="18"/>
        </w:rPr>
        <w:t>rden ingeschaald. Da</w:t>
      </w:r>
      <w:r>
        <w:rPr>
          <w:rFonts w:ascii="Verdana" w:hAnsi="Verdana"/>
          <w:sz w:val="18"/>
          <w:szCs w:val="18"/>
        </w:rPr>
        <w:t xml:space="preserve">arom kon </w:t>
      </w:r>
      <w:r>
        <w:rPr>
          <w:rFonts w:ascii="Verdana" w:hAnsi="Verdana"/>
          <w:sz w:val="18"/>
          <w:szCs w:val="18"/>
        </w:rPr>
        <w:t>dat</w:t>
      </w:r>
      <w:r w:rsidRPr="003D5241">
        <w:rPr>
          <w:rFonts w:ascii="Verdana" w:hAnsi="Verdana"/>
          <w:sz w:val="18"/>
          <w:szCs w:val="18"/>
        </w:rPr>
        <w:t xml:space="preserve"> effect pas in 2011 g</w:t>
      </w:r>
      <w:r w:rsidRPr="003D5241">
        <w:rPr>
          <w:rFonts w:ascii="Verdana" w:hAnsi="Verdana"/>
          <w:sz w:val="18"/>
          <w:szCs w:val="18"/>
        </w:rPr>
        <w:t>e</w:t>
      </w:r>
      <w:r w:rsidRPr="003D5241">
        <w:rPr>
          <w:rFonts w:ascii="Verdana" w:hAnsi="Verdana"/>
          <w:sz w:val="18"/>
          <w:szCs w:val="18"/>
        </w:rPr>
        <w:t xml:space="preserve">meten worden in de jaarverslagen over 2010. </w:t>
      </w:r>
      <w:r>
        <w:rPr>
          <w:rFonts w:ascii="Verdana" w:hAnsi="Verdana"/>
          <w:sz w:val="18"/>
          <w:szCs w:val="18"/>
        </w:rPr>
        <w:t>Paragraaf 2.4 gaat nader op de BBZ in.</w:t>
      </w:r>
    </w:p>
    <w:p w:rsidRPr="003D5241" w:rsidR="003F3457" w:rsidP="003F3457" w:rsidRDefault="00B6102D">
      <w:pPr>
        <w:rPr>
          <w:rFonts w:ascii="Verdana" w:hAnsi="Verdana"/>
          <w:sz w:val="18"/>
          <w:szCs w:val="18"/>
        </w:rPr>
      </w:pPr>
      <w:r w:rsidRPr="003D5241">
        <w:rPr>
          <w:rFonts w:ascii="Verdana" w:hAnsi="Verdana"/>
          <w:sz w:val="18"/>
          <w:szCs w:val="18"/>
        </w:rPr>
        <w:t xml:space="preserve">In deze </w:t>
      </w:r>
      <w:r>
        <w:rPr>
          <w:rFonts w:ascii="Verdana" w:hAnsi="Verdana"/>
          <w:sz w:val="18"/>
          <w:szCs w:val="18"/>
        </w:rPr>
        <w:t xml:space="preserve">paragraaf </w:t>
      </w:r>
      <w:r w:rsidRPr="003D5241">
        <w:rPr>
          <w:rFonts w:ascii="Verdana" w:hAnsi="Verdana"/>
          <w:sz w:val="18"/>
          <w:szCs w:val="18"/>
        </w:rPr>
        <w:t>is de tot nu toe gebruikelijke aanpak gehanteerd van het afzetten van de ink</w:t>
      </w:r>
      <w:r w:rsidRPr="003D5241">
        <w:rPr>
          <w:rFonts w:ascii="Verdana" w:hAnsi="Verdana"/>
          <w:sz w:val="18"/>
          <w:szCs w:val="18"/>
        </w:rPr>
        <w:t>o</w:t>
      </w:r>
      <w:r w:rsidRPr="003D5241">
        <w:rPr>
          <w:rFonts w:ascii="Verdana" w:hAnsi="Verdana"/>
          <w:sz w:val="18"/>
          <w:szCs w:val="18"/>
        </w:rPr>
        <w:t>mens van de bestuurders tegen de NVTZ- dan wel de NVZ</w:t>
      </w:r>
      <w:r w:rsidRPr="003D5241">
        <w:rPr>
          <w:rFonts w:ascii="Verdana" w:hAnsi="Verdana"/>
          <w:sz w:val="18"/>
          <w:szCs w:val="18"/>
        </w:rPr>
        <w:t>D-norm</w:t>
      </w:r>
      <w:r>
        <w:rPr>
          <w:rFonts w:ascii="Verdana" w:hAnsi="Verdana"/>
          <w:sz w:val="18"/>
          <w:szCs w:val="18"/>
        </w:rPr>
        <w:t>, de voor het merendeel van de bestuurders geldende normen</w:t>
      </w:r>
      <w:r w:rsidRPr="003D5241">
        <w:rPr>
          <w:rFonts w:ascii="Verdana" w:hAnsi="Verdana"/>
          <w:sz w:val="18"/>
          <w:szCs w:val="18"/>
        </w:rPr>
        <w:t>.</w:t>
      </w:r>
      <w:r>
        <w:rPr>
          <w:rFonts w:ascii="Verdana" w:hAnsi="Verdana"/>
          <w:sz w:val="18"/>
          <w:szCs w:val="18"/>
        </w:rPr>
        <w:t xml:space="preserve"> Met name die laatste norm was de gebruikelijke, namelijk ten tijde dat de contracten die hier worden geanalyseerd, werden afgesloten.</w:t>
      </w:r>
      <w:r w:rsidRPr="003D5241">
        <w:rPr>
          <w:rFonts w:ascii="Verdana" w:hAnsi="Verdana"/>
          <w:sz w:val="18"/>
          <w:szCs w:val="18"/>
        </w:rPr>
        <w:t xml:space="preserve"> </w:t>
      </w:r>
    </w:p>
    <w:p w:rsidRPr="003D5241" w:rsidR="003F3457" w:rsidP="003F3457" w:rsidRDefault="00B6102D">
      <w:pPr>
        <w:rPr>
          <w:rFonts w:ascii="Verdana" w:hAnsi="Verdana"/>
          <w:sz w:val="18"/>
          <w:szCs w:val="18"/>
        </w:rPr>
      </w:pPr>
    </w:p>
    <w:p w:rsidRPr="003D5241" w:rsidR="003F3457" w:rsidP="003F3457" w:rsidRDefault="00B6102D">
      <w:pPr>
        <w:rPr>
          <w:rFonts w:ascii="Verdana" w:hAnsi="Verdana"/>
          <w:sz w:val="18"/>
          <w:szCs w:val="18"/>
        </w:rPr>
      </w:pPr>
      <w:r w:rsidRPr="003D5241">
        <w:rPr>
          <w:rFonts w:ascii="Verdana" w:hAnsi="Verdana"/>
          <w:sz w:val="18"/>
          <w:szCs w:val="18"/>
        </w:rPr>
        <w:t>De Nederlandse vereniging van toezichthouders in de zo</w:t>
      </w:r>
      <w:r w:rsidRPr="003D5241">
        <w:rPr>
          <w:rFonts w:ascii="Verdana" w:hAnsi="Verdana"/>
          <w:sz w:val="18"/>
          <w:szCs w:val="18"/>
        </w:rPr>
        <w:t>rg (NVTZ) en de Nederlandse vereniging van ziekenhuisdirecteuren (NVZD) hebben beide een regeling opgesteld die het maximumsalaris aangeeft dat de bestuurder zou mogen verdienen aan de hand van kenmerken van de organisatie (personeel, omzet, complexiteit).</w:t>
      </w:r>
      <w:r w:rsidRPr="003D5241">
        <w:rPr>
          <w:rFonts w:ascii="Verdana" w:hAnsi="Verdana"/>
          <w:sz w:val="18"/>
          <w:szCs w:val="18"/>
        </w:rPr>
        <w:t xml:space="preserve"> De regeling van de NVTZ is gematigder dan die van de NVZD. </w:t>
      </w:r>
    </w:p>
    <w:p w:rsidRPr="003D5241" w:rsidR="003F3457" w:rsidP="003F3457" w:rsidRDefault="00B6102D">
      <w:pPr>
        <w:rPr>
          <w:rFonts w:ascii="Verdana" w:hAnsi="Verdana"/>
          <w:sz w:val="18"/>
          <w:szCs w:val="18"/>
        </w:rPr>
      </w:pPr>
      <w:r w:rsidRPr="003D5241">
        <w:rPr>
          <w:rFonts w:ascii="Verdana" w:hAnsi="Verdana"/>
          <w:sz w:val="18"/>
          <w:szCs w:val="18"/>
        </w:rPr>
        <w:t xml:space="preserve">In onderstaande tabellen wordt per sector een vergelijking gemaakt tussen het maximale salaris van de regeling in vergelijking met het genoten salaris. </w:t>
      </w:r>
    </w:p>
    <w:p w:rsidRPr="003D5241" w:rsidR="003F3457" w:rsidP="003F3457" w:rsidRDefault="00B6102D">
      <w:pPr>
        <w:rPr>
          <w:rFonts w:ascii="Verdana" w:hAnsi="Verdana"/>
          <w:sz w:val="18"/>
          <w:szCs w:val="18"/>
        </w:rPr>
      </w:pPr>
    </w:p>
    <w:p w:rsidRPr="003D5241" w:rsidR="003F3457" w:rsidP="003F3457" w:rsidRDefault="00B6102D">
      <w:pPr>
        <w:outlineLvl w:val="0"/>
        <w:rPr>
          <w:rFonts w:ascii="Verdana" w:hAnsi="Verdana"/>
          <w:i/>
          <w:sz w:val="16"/>
          <w:szCs w:val="16"/>
        </w:rPr>
      </w:pPr>
      <w:r w:rsidRPr="003D5241">
        <w:rPr>
          <w:rFonts w:ascii="Verdana" w:hAnsi="Verdana"/>
          <w:i/>
          <w:sz w:val="16"/>
          <w:szCs w:val="16"/>
        </w:rPr>
        <w:t>Tabel 2 Bruto jaarloon 20</w:t>
      </w:r>
      <w:r>
        <w:rPr>
          <w:rFonts w:ascii="Verdana" w:hAnsi="Verdana"/>
          <w:i/>
          <w:sz w:val="16"/>
          <w:szCs w:val="16"/>
        </w:rPr>
        <w:t>12</w:t>
      </w:r>
      <w:r w:rsidRPr="003D5241">
        <w:rPr>
          <w:rFonts w:ascii="Verdana" w:hAnsi="Verdana"/>
          <w:i/>
          <w:sz w:val="16"/>
          <w:szCs w:val="16"/>
        </w:rPr>
        <w:t xml:space="preserve"> zorgbestuurde</w:t>
      </w:r>
      <w:r w:rsidRPr="003D5241">
        <w:rPr>
          <w:rFonts w:ascii="Verdana" w:hAnsi="Verdana"/>
          <w:i/>
          <w:sz w:val="16"/>
          <w:szCs w:val="16"/>
        </w:rPr>
        <w:t>rs in vergelijking met de NVTZ-regeling</w:t>
      </w:r>
    </w:p>
    <w:tbl>
      <w:tblPr>
        <w:tblStyle w:val="Tabelraster"/>
        <w:tblW w:w="0" w:type="auto"/>
        <w:tblBorders>
          <w:left w:val="nil"/>
          <w:right w:val="nil"/>
          <w:insideH w:val="nil"/>
          <w:insideV w:val="nil"/>
        </w:tblBorders>
        <w:tblLayout w:type="fixed"/>
        <w:tblLook w:val="01E0"/>
      </w:tblPr>
      <w:tblGrid>
        <w:gridCol w:w="3078"/>
        <w:gridCol w:w="1232"/>
        <w:gridCol w:w="1233"/>
        <w:gridCol w:w="1233"/>
        <w:gridCol w:w="1233"/>
        <w:gridCol w:w="1233"/>
      </w:tblGrid>
      <w:tr w:rsidR="0073095E" w:rsidTr="003F3457">
        <w:tc>
          <w:tcPr>
            <w:tcW w:w="3078" w:type="dxa"/>
          </w:tcPr>
          <w:p w:rsidRPr="003D5241" w:rsidR="003F3457" w:rsidP="003F3457" w:rsidRDefault="00B6102D">
            <w:pPr>
              <w:spacing w:line="360" w:lineRule="auto"/>
              <w:rPr>
                <w:rFonts w:ascii="Verdana" w:hAnsi="Verdana"/>
                <w:sz w:val="16"/>
                <w:szCs w:val="16"/>
              </w:rPr>
            </w:pPr>
          </w:p>
        </w:tc>
        <w:tc>
          <w:tcPr>
            <w:tcW w:w="1232"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Ziekenhui</w:t>
            </w:r>
            <w:r w:rsidRPr="003D5241">
              <w:rPr>
                <w:rFonts w:ascii="Verdana" w:hAnsi="Verdana"/>
                <w:sz w:val="16"/>
                <w:szCs w:val="16"/>
              </w:rPr>
              <w:t>s</w:t>
            </w:r>
            <w:r w:rsidRPr="003D5241">
              <w:rPr>
                <w:rFonts w:ascii="Verdana" w:hAnsi="Verdana"/>
                <w:sz w:val="16"/>
                <w:szCs w:val="16"/>
              </w:rPr>
              <w:t>zorg</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GGZ</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Gehandica</w:t>
            </w:r>
            <w:r w:rsidRPr="003D5241">
              <w:rPr>
                <w:rFonts w:ascii="Verdana" w:hAnsi="Verdana"/>
                <w:sz w:val="16"/>
                <w:szCs w:val="16"/>
              </w:rPr>
              <w:t>p</w:t>
            </w:r>
            <w:r w:rsidRPr="003D5241">
              <w:rPr>
                <w:rFonts w:ascii="Verdana" w:hAnsi="Verdana"/>
                <w:sz w:val="16"/>
                <w:szCs w:val="16"/>
              </w:rPr>
              <w:t>tenzorg</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VVT</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Totaal</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minder dan 75%</w:t>
            </w:r>
          </w:p>
        </w:tc>
        <w:tc>
          <w:tcPr>
            <w:tcW w:w="1232"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26</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17%</w:t>
            </w:r>
          </w:p>
        </w:tc>
        <w:tc>
          <w:tcPr>
            <w:tcW w:w="1233" w:type="dxa"/>
            <w:tcBorders>
              <w:top w:val="single" w:color="auto" w:sz="4" w:space="0"/>
            </w:tcBorders>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8</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2</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75 tot 90%</w:t>
            </w:r>
          </w:p>
        </w:tc>
        <w:tc>
          <w:tcPr>
            <w:tcW w:w="1232"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5</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18</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7</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14</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90 tot 100%</w:t>
            </w:r>
          </w:p>
        </w:tc>
        <w:tc>
          <w:tcPr>
            <w:tcW w:w="1232"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7</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11%</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13</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20</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14</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100 tot 110%</w:t>
            </w:r>
          </w:p>
        </w:tc>
        <w:tc>
          <w:tcPr>
            <w:tcW w:w="1232"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8</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6</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4</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19%</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15%</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110 tot 125%</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33</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11%</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6</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20</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2</w:t>
            </w:r>
            <w:r>
              <w:rPr>
                <w:rFonts w:ascii="Verdana" w:hAnsi="Verdana"/>
                <w:color w:val="000000"/>
                <w:sz w:val="16"/>
                <w:szCs w:val="16"/>
              </w:rPr>
              <w:t>0</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125 tot 150%</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30</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2</w:t>
            </w:r>
            <w:r>
              <w:rPr>
                <w:rFonts w:ascii="Verdana" w:hAnsi="Verdana"/>
                <w:color w:val="000000"/>
                <w:sz w:val="16"/>
                <w:szCs w:val="16"/>
              </w:rPr>
              <w:t>6</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7</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2</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w:t>
            </w:r>
            <w:r>
              <w:rPr>
                <w:rFonts w:ascii="Verdana" w:hAnsi="Verdana"/>
                <w:color w:val="000000"/>
                <w:sz w:val="16"/>
                <w:szCs w:val="16"/>
              </w:rPr>
              <w:t>9</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meer dan 150%</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5</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Pr>
                <w:rFonts w:ascii="Verdana" w:hAnsi="Verdana"/>
                <w:color w:val="000000"/>
                <w:sz w:val="16"/>
                <w:szCs w:val="16"/>
              </w:rPr>
              <w:t>9</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4%</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6%</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p>
        </w:tc>
        <w:tc>
          <w:tcPr>
            <w:tcW w:w="1232"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Totaal</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Totaal aantal</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230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265</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187</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521</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1.203</w:t>
            </w:r>
          </w:p>
        </w:tc>
      </w:tr>
    </w:tbl>
    <w:p w:rsidRPr="003D5241" w:rsidR="003F3457" w:rsidP="003F3457" w:rsidRDefault="00B6102D">
      <w:pPr>
        <w:rPr>
          <w:rFonts w:ascii="Verdana" w:hAnsi="Verdana"/>
          <w:sz w:val="18"/>
          <w:szCs w:val="18"/>
        </w:rPr>
      </w:pPr>
    </w:p>
    <w:p w:rsidR="003F3457" w:rsidP="003F3457" w:rsidRDefault="00B6102D">
      <w:pPr>
        <w:rPr>
          <w:rFonts w:ascii="Verdana" w:hAnsi="Verdana"/>
          <w:sz w:val="18"/>
          <w:szCs w:val="18"/>
        </w:rPr>
      </w:pPr>
      <w:r w:rsidRPr="003D5241">
        <w:rPr>
          <w:rFonts w:ascii="Verdana" w:hAnsi="Verdana"/>
          <w:sz w:val="18"/>
          <w:szCs w:val="18"/>
        </w:rPr>
        <w:t xml:space="preserve">Wanneer wordt gekeken naar de beloning van bestuurders in vergelijking met de richtlijn van de NVTZ, dan moet geconcludeerd worden dat </w:t>
      </w:r>
      <w:r>
        <w:rPr>
          <w:rFonts w:ascii="Verdana" w:hAnsi="Verdana"/>
          <w:sz w:val="18"/>
          <w:szCs w:val="18"/>
        </w:rPr>
        <w:t xml:space="preserve">60% van </w:t>
      </w:r>
      <w:r w:rsidRPr="003D5241">
        <w:rPr>
          <w:rFonts w:ascii="Verdana" w:hAnsi="Verdana"/>
          <w:sz w:val="18"/>
          <w:szCs w:val="18"/>
        </w:rPr>
        <w:t xml:space="preserve">de </w:t>
      </w:r>
      <w:r>
        <w:rPr>
          <w:rFonts w:ascii="Verdana" w:hAnsi="Verdana"/>
          <w:sz w:val="18"/>
          <w:szCs w:val="18"/>
        </w:rPr>
        <w:t xml:space="preserve">inkomens ook </w:t>
      </w:r>
      <w:r w:rsidRPr="003D5241">
        <w:rPr>
          <w:rFonts w:ascii="Verdana" w:hAnsi="Verdana"/>
          <w:sz w:val="18"/>
          <w:szCs w:val="18"/>
        </w:rPr>
        <w:t>in 20</w:t>
      </w:r>
      <w:r>
        <w:rPr>
          <w:rFonts w:ascii="Verdana" w:hAnsi="Verdana"/>
          <w:sz w:val="18"/>
          <w:szCs w:val="18"/>
        </w:rPr>
        <w:t>12</w:t>
      </w:r>
      <w:r w:rsidRPr="003D5241">
        <w:rPr>
          <w:rFonts w:ascii="Verdana" w:hAnsi="Verdana"/>
          <w:sz w:val="18"/>
          <w:szCs w:val="18"/>
        </w:rPr>
        <w:t xml:space="preserve"> </w:t>
      </w:r>
      <w:r>
        <w:rPr>
          <w:rFonts w:ascii="Verdana" w:hAnsi="Verdana"/>
          <w:sz w:val="18"/>
          <w:szCs w:val="18"/>
        </w:rPr>
        <w:t>uitkomen boven de uitkomst die toepassing van de richtlijn van de toezichthouders zou heb</w:t>
      </w:r>
      <w:r>
        <w:rPr>
          <w:rFonts w:ascii="Verdana" w:hAnsi="Verdana"/>
          <w:sz w:val="18"/>
          <w:szCs w:val="18"/>
        </w:rPr>
        <w:t>ben laten zien.</w:t>
      </w:r>
      <w:r w:rsidRPr="003D5241">
        <w:rPr>
          <w:rFonts w:ascii="Verdana" w:hAnsi="Verdana"/>
          <w:sz w:val="18"/>
          <w:szCs w:val="18"/>
        </w:rPr>
        <w:t xml:space="preserve"> In </w:t>
      </w:r>
      <w:r>
        <w:rPr>
          <w:rFonts w:ascii="Verdana" w:hAnsi="Verdana"/>
          <w:sz w:val="18"/>
          <w:szCs w:val="18"/>
        </w:rPr>
        <w:t xml:space="preserve">2011 was dat nog 65%. </w:t>
      </w:r>
    </w:p>
    <w:p w:rsidR="003F3457" w:rsidP="003F3457" w:rsidRDefault="00B6102D">
      <w:pPr>
        <w:rPr>
          <w:rFonts w:ascii="Verdana" w:hAnsi="Verdana"/>
          <w:sz w:val="18"/>
          <w:szCs w:val="18"/>
        </w:rPr>
      </w:pPr>
    </w:p>
    <w:p w:rsidRPr="003D5241" w:rsidR="003F3457" w:rsidP="003F3457" w:rsidRDefault="00B6102D">
      <w:pPr>
        <w:rPr>
          <w:rFonts w:ascii="Verdana" w:hAnsi="Verdana"/>
          <w:i/>
          <w:sz w:val="16"/>
          <w:szCs w:val="16"/>
        </w:rPr>
      </w:pPr>
      <w:r w:rsidRPr="003D5241">
        <w:rPr>
          <w:rFonts w:ascii="Verdana" w:hAnsi="Verdana"/>
          <w:i/>
          <w:sz w:val="16"/>
          <w:szCs w:val="16"/>
        </w:rPr>
        <w:t>Tabel 3 Bruto jaarloon 20</w:t>
      </w:r>
      <w:r>
        <w:rPr>
          <w:rFonts w:ascii="Verdana" w:hAnsi="Verdana"/>
          <w:i/>
          <w:sz w:val="16"/>
          <w:szCs w:val="16"/>
        </w:rPr>
        <w:t>12</w:t>
      </w:r>
      <w:r w:rsidRPr="003D5241">
        <w:rPr>
          <w:rFonts w:ascii="Verdana" w:hAnsi="Verdana"/>
          <w:i/>
          <w:sz w:val="16"/>
          <w:szCs w:val="16"/>
        </w:rPr>
        <w:t xml:space="preserve"> zorgbestuurders in vergelijking de NVZD-regeling</w:t>
      </w:r>
    </w:p>
    <w:tbl>
      <w:tblPr>
        <w:tblStyle w:val="Tabelraster"/>
        <w:tblW w:w="0" w:type="auto"/>
        <w:tblBorders>
          <w:left w:val="nil"/>
          <w:right w:val="nil"/>
          <w:insideH w:val="nil"/>
          <w:insideV w:val="nil"/>
        </w:tblBorders>
        <w:tblLayout w:type="fixed"/>
        <w:tblLook w:val="01E0"/>
      </w:tblPr>
      <w:tblGrid>
        <w:gridCol w:w="3078"/>
        <w:gridCol w:w="1232"/>
        <w:gridCol w:w="1233"/>
        <w:gridCol w:w="1233"/>
        <w:gridCol w:w="1233"/>
        <w:gridCol w:w="1233"/>
      </w:tblGrid>
      <w:tr w:rsidR="0073095E" w:rsidTr="003F3457">
        <w:tc>
          <w:tcPr>
            <w:tcW w:w="3078" w:type="dxa"/>
          </w:tcPr>
          <w:p w:rsidRPr="003D5241" w:rsidR="003F3457" w:rsidP="003F3457" w:rsidRDefault="00B6102D">
            <w:pPr>
              <w:spacing w:line="360" w:lineRule="auto"/>
              <w:rPr>
                <w:rFonts w:ascii="Verdana" w:hAnsi="Verdana"/>
                <w:sz w:val="16"/>
                <w:szCs w:val="16"/>
              </w:rPr>
            </w:pPr>
          </w:p>
        </w:tc>
        <w:tc>
          <w:tcPr>
            <w:tcW w:w="1232"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Ziekenhui</w:t>
            </w:r>
            <w:r w:rsidRPr="003D5241">
              <w:rPr>
                <w:rFonts w:ascii="Verdana" w:hAnsi="Verdana"/>
                <w:sz w:val="16"/>
                <w:szCs w:val="16"/>
              </w:rPr>
              <w:t>s</w:t>
            </w:r>
            <w:r w:rsidRPr="003D5241">
              <w:rPr>
                <w:rFonts w:ascii="Verdana" w:hAnsi="Verdana"/>
                <w:sz w:val="16"/>
                <w:szCs w:val="16"/>
              </w:rPr>
              <w:t>zorg</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GGZ</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Gehandica</w:t>
            </w:r>
            <w:r w:rsidRPr="003D5241">
              <w:rPr>
                <w:rFonts w:ascii="Verdana" w:hAnsi="Verdana"/>
                <w:sz w:val="16"/>
                <w:szCs w:val="16"/>
              </w:rPr>
              <w:t>p</w:t>
            </w:r>
            <w:r w:rsidRPr="003D5241">
              <w:rPr>
                <w:rFonts w:ascii="Verdana" w:hAnsi="Verdana"/>
                <w:sz w:val="16"/>
                <w:szCs w:val="16"/>
              </w:rPr>
              <w:t>tenzorg</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VVT</w:t>
            </w:r>
          </w:p>
        </w:tc>
        <w:tc>
          <w:tcPr>
            <w:tcW w:w="123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Totaal</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minder dan 75%</w:t>
            </w:r>
          </w:p>
        </w:tc>
        <w:tc>
          <w:tcPr>
            <w:tcW w:w="1232"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5</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27</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30</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21</w:t>
            </w:r>
            <w:r w:rsidRPr="00237B64">
              <w:rPr>
                <w:rFonts w:ascii="Verdana" w:hAnsi="Verdana"/>
                <w:color w:val="000000"/>
                <w:sz w:val="16"/>
                <w:szCs w:val="16"/>
              </w:rPr>
              <w:t>%</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21</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75 tot 90%</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27</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28</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43</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40</w:t>
            </w:r>
            <w:r w:rsidRPr="00237B64">
              <w:rPr>
                <w:rFonts w:ascii="Verdana" w:hAnsi="Verdana"/>
                <w:color w:val="000000"/>
                <w:sz w:val="16"/>
                <w:szCs w:val="16"/>
              </w:rPr>
              <w:t>%</w:t>
            </w:r>
          </w:p>
        </w:tc>
        <w:tc>
          <w:tcPr>
            <w:tcW w:w="1233" w:type="dxa"/>
            <w:vAlign w:val="bottom"/>
          </w:tcPr>
          <w:p w:rsidRPr="00237B64" w:rsidR="003F3457" w:rsidP="003F3457" w:rsidRDefault="00B6102D">
            <w:pPr>
              <w:jc w:val="right"/>
              <w:rPr>
                <w:rFonts w:ascii="Verdana" w:hAnsi="Verdana"/>
                <w:color w:val="000000"/>
                <w:sz w:val="16"/>
                <w:szCs w:val="16"/>
              </w:rPr>
            </w:pPr>
            <w:r w:rsidRPr="00237B64">
              <w:rPr>
                <w:rFonts w:ascii="Verdana" w:hAnsi="Verdana"/>
                <w:color w:val="000000"/>
                <w:sz w:val="16"/>
                <w:szCs w:val="16"/>
              </w:rPr>
              <w:t>3</w:t>
            </w:r>
            <w:r>
              <w:rPr>
                <w:rFonts w:ascii="Verdana" w:hAnsi="Verdana"/>
                <w:color w:val="000000"/>
                <w:sz w:val="16"/>
                <w:szCs w:val="16"/>
              </w:rPr>
              <w:t>5</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90 tot 100%</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29</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18</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14</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21</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100 tot 110%</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22</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12</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6</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8</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11</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110 tot 125%</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6%</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6%</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7%</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van 125 tot 150%</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7%</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3</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4%</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meer dan 150%</w:t>
            </w:r>
          </w:p>
        </w:tc>
        <w:tc>
          <w:tcPr>
            <w:tcW w:w="1232"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3</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w:t>
            </w:r>
            <w:r w:rsidRPr="00237B64">
              <w:rPr>
                <w:rFonts w:ascii="Verdana" w:hAnsi="Verdana"/>
                <w:color w:val="000000"/>
                <w:sz w:val="16"/>
                <w:szCs w:val="16"/>
              </w:rPr>
              <w:t>%</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w:t>
            </w:r>
            <w:r w:rsidRPr="00237B64">
              <w:rPr>
                <w:rFonts w:ascii="Verdana" w:hAnsi="Verdana"/>
                <w:color w:val="000000"/>
                <w:sz w:val="16"/>
                <w:szCs w:val="16"/>
              </w:rPr>
              <w:t>%</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p>
        </w:tc>
        <w:tc>
          <w:tcPr>
            <w:tcW w:w="1232"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Totaal</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r>
      <w:tr w:rsidR="0073095E" w:rsidTr="003F3457">
        <w:trPr>
          <w:trHeight w:val="264"/>
        </w:trPr>
        <w:tc>
          <w:tcPr>
            <w:tcW w:w="3078" w:type="dxa"/>
            <w:vAlign w:val="bottom"/>
          </w:tcPr>
          <w:p w:rsidRPr="003D5241" w:rsidR="003F3457" w:rsidP="003F3457" w:rsidRDefault="00B6102D">
            <w:pPr>
              <w:rPr>
                <w:rFonts w:ascii="Verdana" w:hAnsi="Verdana"/>
                <w:sz w:val="16"/>
                <w:szCs w:val="16"/>
              </w:rPr>
            </w:pPr>
            <w:r w:rsidRPr="003D5241">
              <w:rPr>
                <w:rFonts w:ascii="Verdana" w:hAnsi="Verdana"/>
                <w:sz w:val="16"/>
                <w:szCs w:val="16"/>
              </w:rPr>
              <w:t xml:space="preserve">Totaal aantal </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230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265</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187</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521</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1.203</w:t>
            </w:r>
          </w:p>
        </w:tc>
      </w:tr>
    </w:tbl>
    <w:p w:rsidRPr="003D5241" w:rsidR="003F3457" w:rsidP="003F3457" w:rsidRDefault="00B6102D">
      <w:pPr>
        <w:rPr>
          <w:rFonts w:ascii="Verdana" w:hAnsi="Verdana"/>
          <w:sz w:val="18"/>
          <w:szCs w:val="18"/>
        </w:rPr>
      </w:pPr>
    </w:p>
    <w:p w:rsidRPr="00F77005" w:rsidR="003F3457" w:rsidP="003F3457" w:rsidRDefault="00B6102D">
      <w:pPr>
        <w:rPr>
          <w:rFonts w:ascii="Verdana" w:hAnsi="Verdana"/>
          <w:i/>
          <w:sz w:val="18"/>
          <w:szCs w:val="18"/>
        </w:rPr>
      </w:pPr>
      <w:r>
        <w:rPr>
          <w:rFonts w:ascii="Verdana" w:hAnsi="Verdana"/>
          <w:sz w:val="18"/>
          <w:szCs w:val="18"/>
        </w:rPr>
        <w:t>Omdat</w:t>
      </w:r>
      <w:r w:rsidRPr="003D5241">
        <w:rPr>
          <w:rFonts w:ascii="Verdana" w:hAnsi="Verdana"/>
          <w:sz w:val="18"/>
          <w:szCs w:val="18"/>
        </w:rPr>
        <w:t xml:space="preserve"> de NVZD-regeling ruimer is dan de NVTZ-regeling, </w:t>
      </w:r>
      <w:r>
        <w:rPr>
          <w:rFonts w:ascii="Verdana" w:hAnsi="Verdana"/>
          <w:sz w:val="18"/>
          <w:szCs w:val="18"/>
        </w:rPr>
        <w:t>komen hier minder bestuurdersink</w:t>
      </w:r>
      <w:r>
        <w:rPr>
          <w:rFonts w:ascii="Verdana" w:hAnsi="Verdana"/>
          <w:sz w:val="18"/>
          <w:szCs w:val="18"/>
        </w:rPr>
        <w:t>o</w:t>
      </w:r>
      <w:r>
        <w:rPr>
          <w:rFonts w:ascii="Verdana" w:hAnsi="Verdana"/>
          <w:sz w:val="18"/>
          <w:szCs w:val="18"/>
        </w:rPr>
        <w:t>mens uit boven de NVZD-normen, namelijk 25%, dan boven de NVTZ-normen (daar was het 60%). In 2011</w:t>
      </w:r>
      <w:r w:rsidRPr="003D5241">
        <w:rPr>
          <w:rFonts w:ascii="Verdana" w:hAnsi="Verdana"/>
          <w:sz w:val="18"/>
          <w:szCs w:val="18"/>
        </w:rPr>
        <w:t xml:space="preserve"> z</w:t>
      </w:r>
      <w:r>
        <w:rPr>
          <w:rFonts w:ascii="Verdana" w:hAnsi="Verdana"/>
          <w:sz w:val="18"/>
          <w:szCs w:val="18"/>
        </w:rPr>
        <w:t>a</w:t>
      </w:r>
      <w:r w:rsidRPr="003D5241">
        <w:rPr>
          <w:rFonts w:ascii="Verdana" w:hAnsi="Verdana"/>
          <w:sz w:val="18"/>
          <w:szCs w:val="18"/>
        </w:rPr>
        <w:t xml:space="preserve">t </w:t>
      </w:r>
      <w:r>
        <w:rPr>
          <w:rFonts w:ascii="Verdana" w:hAnsi="Verdana"/>
          <w:sz w:val="18"/>
          <w:szCs w:val="18"/>
        </w:rPr>
        <w:t>ook 25% v</w:t>
      </w:r>
      <w:r w:rsidRPr="003D5241">
        <w:rPr>
          <w:rFonts w:ascii="Verdana" w:hAnsi="Verdana"/>
          <w:sz w:val="18"/>
          <w:szCs w:val="18"/>
        </w:rPr>
        <w:t xml:space="preserve">an de bestuurders boven </w:t>
      </w:r>
      <w:r>
        <w:rPr>
          <w:rFonts w:ascii="Verdana" w:hAnsi="Verdana"/>
          <w:sz w:val="18"/>
          <w:szCs w:val="18"/>
        </w:rPr>
        <w:t>de NVZD-maxima</w:t>
      </w:r>
      <w:r w:rsidRPr="003D5241">
        <w:rPr>
          <w:rFonts w:ascii="Verdana" w:hAnsi="Verdana"/>
          <w:sz w:val="18"/>
          <w:szCs w:val="18"/>
        </w:rPr>
        <w:t xml:space="preserve">. </w:t>
      </w:r>
    </w:p>
    <w:p w:rsidRPr="00F77005" w:rsidR="003F3457" w:rsidP="003F3457" w:rsidRDefault="00B6102D">
      <w:pPr>
        <w:rPr>
          <w:rFonts w:ascii="Verdana" w:hAnsi="Verdana"/>
          <w:i/>
          <w:sz w:val="18"/>
          <w:szCs w:val="18"/>
        </w:rPr>
      </w:pPr>
    </w:p>
    <w:p w:rsidRPr="003D5241" w:rsidR="003F3457" w:rsidP="003F3457" w:rsidRDefault="00B6102D">
      <w:pPr>
        <w:rPr>
          <w:rFonts w:ascii="Verdana" w:hAnsi="Verdana"/>
          <w:sz w:val="18"/>
          <w:szCs w:val="18"/>
        </w:rPr>
      </w:pPr>
      <w:r w:rsidRPr="003D5241">
        <w:rPr>
          <w:rFonts w:ascii="Verdana" w:hAnsi="Verdana"/>
          <w:sz w:val="18"/>
          <w:szCs w:val="18"/>
        </w:rPr>
        <w:t>Als we de beloning a</w:t>
      </w:r>
      <w:r w:rsidRPr="003D5241">
        <w:rPr>
          <w:rFonts w:ascii="Verdana" w:hAnsi="Verdana"/>
          <w:sz w:val="18"/>
          <w:szCs w:val="18"/>
        </w:rPr>
        <w:t>fzetten tegen de globaal werkende (want onafhankelijk van omvang van de instelling en van complexiteit van het productieproces</w:t>
      </w:r>
      <w:r>
        <w:rPr>
          <w:rFonts w:ascii="Verdana" w:hAnsi="Verdana"/>
          <w:sz w:val="18"/>
          <w:szCs w:val="18"/>
        </w:rPr>
        <w:t>, van de functiezwaarte dus</w:t>
      </w:r>
      <w:r w:rsidRPr="003D5241">
        <w:rPr>
          <w:rFonts w:ascii="Verdana" w:hAnsi="Verdana"/>
          <w:sz w:val="18"/>
          <w:szCs w:val="18"/>
        </w:rPr>
        <w:t>) norm van 130% van het gemiddelde ministerssalaris in 20</w:t>
      </w:r>
      <w:r>
        <w:rPr>
          <w:rFonts w:ascii="Verdana" w:hAnsi="Verdana"/>
          <w:sz w:val="18"/>
          <w:szCs w:val="18"/>
        </w:rPr>
        <w:t>12</w:t>
      </w:r>
      <w:r w:rsidRPr="003D5241">
        <w:rPr>
          <w:rFonts w:ascii="Verdana" w:hAnsi="Verdana"/>
          <w:sz w:val="18"/>
          <w:szCs w:val="18"/>
        </w:rPr>
        <w:t>, €</w:t>
      </w:r>
      <w:r>
        <w:rPr>
          <w:rFonts w:ascii="Verdana" w:hAnsi="Verdana"/>
          <w:sz w:val="18"/>
          <w:szCs w:val="18"/>
        </w:rPr>
        <w:t>195.409</w:t>
      </w:r>
      <w:r w:rsidRPr="003D5241">
        <w:rPr>
          <w:rFonts w:ascii="Verdana" w:hAnsi="Verdana"/>
          <w:sz w:val="18"/>
          <w:szCs w:val="18"/>
        </w:rPr>
        <w:t xml:space="preserve">, dan zien we dat </w:t>
      </w:r>
      <w:r>
        <w:rPr>
          <w:rFonts w:ascii="Verdana" w:hAnsi="Verdana"/>
          <w:sz w:val="18"/>
          <w:szCs w:val="18"/>
        </w:rPr>
        <w:t>gemiddeld 85%</w:t>
      </w:r>
      <w:r w:rsidRPr="003D5241">
        <w:rPr>
          <w:rFonts w:ascii="Verdana" w:hAnsi="Verdana"/>
          <w:sz w:val="18"/>
          <w:szCs w:val="18"/>
        </w:rPr>
        <w:t>, e</w:t>
      </w:r>
      <w:r w:rsidRPr="003D5241">
        <w:rPr>
          <w:rFonts w:ascii="Verdana" w:hAnsi="Verdana"/>
          <w:sz w:val="18"/>
          <w:szCs w:val="18"/>
        </w:rPr>
        <w:t xml:space="preserve">venwel verschillend per sector, daar onder blijft. </w:t>
      </w:r>
      <w:r>
        <w:rPr>
          <w:rFonts w:ascii="Verdana" w:hAnsi="Verdana"/>
          <w:sz w:val="18"/>
          <w:szCs w:val="18"/>
        </w:rPr>
        <w:t>Dat is een verbetering ten opzichte van 2011 toen 82% onder die norm bleef.</w:t>
      </w:r>
    </w:p>
    <w:p w:rsidRPr="003D5241" w:rsidR="003F3457" w:rsidP="003F3457" w:rsidRDefault="00B6102D">
      <w:pPr>
        <w:rPr>
          <w:rFonts w:ascii="Verdana" w:hAnsi="Verdana"/>
          <w:sz w:val="18"/>
          <w:szCs w:val="18"/>
        </w:rPr>
      </w:pPr>
    </w:p>
    <w:p w:rsidRPr="003D5241" w:rsidR="003F3457" w:rsidP="003F3457" w:rsidRDefault="00B6102D">
      <w:pPr>
        <w:rPr>
          <w:rFonts w:ascii="Verdana" w:hAnsi="Verdana"/>
          <w:i/>
          <w:sz w:val="16"/>
          <w:szCs w:val="16"/>
        </w:rPr>
      </w:pPr>
      <w:r>
        <w:rPr>
          <w:rFonts w:ascii="Verdana" w:hAnsi="Verdana"/>
          <w:i/>
          <w:sz w:val="16"/>
          <w:szCs w:val="16"/>
        </w:rPr>
        <w:t>T</w:t>
      </w:r>
      <w:r w:rsidRPr="003D5241">
        <w:rPr>
          <w:rFonts w:ascii="Verdana" w:hAnsi="Verdana"/>
          <w:i/>
          <w:sz w:val="16"/>
          <w:szCs w:val="16"/>
        </w:rPr>
        <w:t>abel 4 bruto jaarloon 20</w:t>
      </w:r>
      <w:r>
        <w:rPr>
          <w:rFonts w:ascii="Verdana" w:hAnsi="Verdana"/>
          <w:i/>
          <w:sz w:val="16"/>
          <w:szCs w:val="16"/>
        </w:rPr>
        <w:t>12</w:t>
      </w:r>
      <w:r w:rsidRPr="003D5241">
        <w:rPr>
          <w:rFonts w:ascii="Verdana" w:hAnsi="Verdana"/>
          <w:i/>
          <w:sz w:val="16"/>
          <w:szCs w:val="16"/>
        </w:rPr>
        <w:t xml:space="preserve"> afgezet tegen 130%</w:t>
      </w:r>
      <w:r>
        <w:rPr>
          <w:rFonts w:ascii="Verdana" w:hAnsi="Verdana"/>
          <w:i/>
          <w:sz w:val="16"/>
          <w:szCs w:val="16"/>
        </w:rPr>
        <w:t>-norm</w:t>
      </w:r>
    </w:p>
    <w:tbl>
      <w:tblPr>
        <w:tblStyle w:val="Tabelraster"/>
        <w:tblW w:w="0" w:type="auto"/>
        <w:tblBorders>
          <w:left w:val="nil"/>
          <w:right w:val="nil"/>
          <w:insideH w:val="nil"/>
          <w:insideV w:val="nil"/>
        </w:tblBorders>
        <w:tblLook w:val="01E0"/>
      </w:tblPr>
      <w:tblGrid>
        <w:gridCol w:w="2037"/>
        <w:gridCol w:w="1435"/>
        <w:gridCol w:w="1307"/>
        <w:gridCol w:w="1766"/>
        <w:gridCol w:w="1373"/>
        <w:gridCol w:w="1324"/>
      </w:tblGrid>
      <w:tr w:rsidR="0073095E" w:rsidTr="003F3457">
        <w:tc>
          <w:tcPr>
            <w:tcW w:w="2037" w:type="dxa"/>
          </w:tcPr>
          <w:p w:rsidRPr="003D5241" w:rsidR="003F3457" w:rsidP="003F3457" w:rsidRDefault="00B6102D">
            <w:pPr>
              <w:rPr>
                <w:rFonts w:ascii="Verdana" w:hAnsi="Verdana"/>
                <w:sz w:val="16"/>
                <w:szCs w:val="16"/>
              </w:rPr>
            </w:pPr>
          </w:p>
        </w:tc>
        <w:tc>
          <w:tcPr>
            <w:tcW w:w="1435"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Ziekenhuiszorg</w:t>
            </w:r>
          </w:p>
        </w:tc>
        <w:tc>
          <w:tcPr>
            <w:tcW w:w="1307"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GGZ</w:t>
            </w:r>
          </w:p>
        </w:tc>
        <w:tc>
          <w:tcPr>
            <w:tcW w:w="1766"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Gehandicaptenzorg</w:t>
            </w:r>
          </w:p>
        </w:tc>
        <w:tc>
          <w:tcPr>
            <w:tcW w:w="1373"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VVT</w:t>
            </w:r>
          </w:p>
        </w:tc>
        <w:tc>
          <w:tcPr>
            <w:tcW w:w="1324"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Totaal</w:t>
            </w:r>
          </w:p>
        </w:tc>
      </w:tr>
      <w:tr w:rsidR="0073095E" w:rsidTr="003F3457">
        <w:tc>
          <w:tcPr>
            <w:tcW w:w="2037" w:type="dxa"/>
          </w:tcPr>
          <w:p w:rsidRPr="003D5241" w:rsidR="003F3457" w:rsidP="003F3457" w:rsidRDefault="00B6102D">
            <w:pPr>
              <w:rPr>
                <w:rFonts w:ascii="Verdana" w:hAnsi="Verdana"/>
                <w:sz w:val="16"/>
                <w:szCs w:val="16"/>
              </w:rPr>
            </w:pPr>
            <w:r w:rsidRPr="003D5241">
              <w:rPr>
                <w:rFonts w:ascii="Verdana" w:hAnsi="Verdana"/>
                <w:sz w:val="16"/>
                <w:szCs w:val="16"/>
              </w:rPr>
              <w:t>Onder de norm</w:t>
            </w:r>
          </w:p>
        </w:tc>
        <w:tc>
          <w:tcPr>
            <w:tcW w:w="1435"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46%</w:t>
            </w:r>
          </w:p>
        </w:tc>
        <w:tc>
          <w:tcPr>
            <w:tcW w:w="1307"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90%</w:t>
            </w:r>
          </w:p>
        </w:tc>
        <w:tc>
          <w:tcPr>
            <w:tcW w:w="1766"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93%</w:t>
            </w:r>
          </w:p>
        </w:tc>
        <w:tc>
          <w:tcPr>
            <w:tcW w:w="1373"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96%</w:t>
            </w:r>
          </w:p>
        </w:tc>
        <w:tc>
          <w:tcPr>
            <w:tcW w:w="1324"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85%</w:t>
            </w:r>
          </w:p>
        </w:tc>
      </w:tr>
      <w:tr w:rsidR="0073095E" w:rsidTr="003F3457">
        <w:tc>
          <w:tcPr>
            <w:tcW w:w="2037" w:type="dxa"/>
          </w:tcPr>
          <w:p w:rsidRPr="003D5241" w:rsidR="003F3457" w:rsidP="003F3457" w:rsidRDefault="00B6102D">
            <w:pPr>
              <w:rPr>
                <w:rFonts w:ascii="Verdana" w:hAnsi="Verdana"/>
                <w:sz w:val="16"/>
                <w:szCs w:val="16"/>
              </w:rPr>
            </w:pPr>
            <w:r w:rsidRPr="003D5241">
              <w:rPr>
                <w:rFonts w:ascii="Verdana" w:hAnsi="Verdana"/>
                <w:sz w:val="16"/>
                <w:szCs w:val="16"/>
              </w:rPr>
              <w:t>Boven de norm</w:t>
            </w:r>
          </w:p>
        </w:tc>
        <w:tc>
          <w:tcPr>
            <w:tcW w:w="1435"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54%</w:t>
            </w:r>
          </w:p>
        </w:tc>
        <w:tc>
          <w:tcPr>
            <w:tcW w:w="1307"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w:t>
            </w:r>
          </w:p>
        </w:tc>
        <w:tc>
          <w:tcPr>
            <w:tcW w:w="1766"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7%</w:t>
            </w:r>
          </w:p>
        </w:tc>
        <w:tc>
          <w:tcPr>
            <w:tcW w:w="137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4%</w:t>
            </w:r>
          </w:p>
        </w:tc>
        <w:tc>
          <w:tcPr>
            <w:tcW w:w="1324"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15%</w:t>
            </w:r>
          </w:p>
        </w:tc>
      </w:tr>
      <w:tr w:rsidR="0073095E" w:rsidTr="003F3457">
        <w:tc>
          <w:tcPr>
            <w:tcW w:w="2037" w:type="dxa"/>
          </w:tcPr>
          <w:p w:rsidRPr="003D5241" w:rsidR="003F3457" w:rsidP="003F3457" w:rsidRDefault="00B6102D">
            <w:pPr>
              <w:rPr>
                <w:rFonts w:ascii="Verdana" w:hAnsi="Verdana"/>
                <w:sz w:val="16"/>
                <w:szCs w:val="16"/>
              </w:rPr>
            </w:pPr>
          </w:p>
        </w:tc>
        <w:tc>
          <w:tcPr>
            <w:tcW w:w="1435" w:type="dxa"/>
            <w:vAlign w:val="bottom"/>
          </w:tcPr>
          <w:p w:rsidRPr="00237B64" w:rsidR="003F3457" w:rsidRDefault="00B6102D">
            <w:pPr>
              <w:rPr>
                <w:rFonts w:ascii="Verdana" w:hAnsi="Verdana"/>
                <w:color w:val="000000"/>
                <w:sz w:val="16"/>
                <w:szCs w:val="16"/>
              </w:rPr>
            </w:pPr>
          </w:p>
        </w:tc>
        <w:tc>
          <w:tcPr>
            <w:tcW w:w="1307" w:type="dxa"/>
            <w:vAlign w:val="bottom"/>
          </w:tcPr>
          <w:p w:rsidRPr="00237B64" w:rsidR="003F3457" w:rsidRDefault="00B6102D">
            <w:pPr>
              <w:rPr>
                <w:rFonts w:ascii="Verdana" w:hAnsi="Verdana"/>
                <w:color w:val="000000"/>
                <w:sz w:val="16"/>
                <w:szCs w:val="16"/>
              </w:rPr>
            </w:pPr>
          </w:p>
        </w:tc>
        <w:tc>
          <w:tcPr>
            <w:tcW w:w="1766" w:type="dxa"/>
            <w:vAlign w:val="bottom"/>
          </w:tcPr>
          <w:p w:rsidRPr="00237B64" w:rsidR="003F3457" w:rsidRDefault="00B6102D">
            <w:pPr>
              <w:rPr>
                <w:rFonts w:ascii="Verdana" w:hAnsi="Verdana"/>
                <w:color w:val="000000"/>
                <w:sz w:val="16"/>
                <w:szCs w:val="16"/>
              </w:rPr>
            </w:pPr>
          </w:p>
        </w:tc>
        <w:tc>
          <w:tcPr>
            <w:tcW w:w="1373" w:type="dxa"/>
            <w:vAlign w:val="bottom"/>
          </w:tcPr>
          <w:p w:rsidRPr="00237B64" w:rsidR="003F3457" w:rsidRDefault="00B6102D">
            <w:pPr>
              <w:rPr>
                <w:rFonts w:ascii="Verdana" w:hAnsi="Verdana"/>
                <w:color w:val="000000"/>
                <w:sz w:val="16"/>
                <w:szCs w:val="16"/>
              </w:rPr>
            </w:pPr>
          </w:p>
        </w:tc>
        <w:tc>
          <w:tcPr>
            <w:tcW w:w="1324" w:type="dxa"/>
            <w:vAlign w:val="bottom"/>
          </w:tcPr>
          <w:p w:rsidRPr="00237B64" w:rsidR="003F3457" w:rsidRDefault="00B6102D">
            <w:pPr>
              <w:rPr>
                <w:rFonts w:ascii="Verdana" w:hAnsi="Verdana"/>
                <w:color w:val="000000"/>
                <w:sz w:val="16"/>
                <w:szCs w:val="16"/>
              </w:rPr>
            </w:pPr>
          </w:p>
        </w:tc>
      </w:tr>
      <w:tr w:rsidR="0073095E" w:rsidTr="003F3457">
        <w:tc>
          <w:tcPr>
            <w:tcW w:w="2037" w:type="dxa"/>
          </w:tcPr>
          <w:p w:rsidRPr="003D5241" w:rsidR="003F3457" w:rsidP="003F3457" w:rsidRDefault="00B6102D">
            <w:pPr>
              <w:rPr>
                <w:rFonts w:ascii="Verdana" w:hAnsi="Verdana"/>
                <w:sz w:val="16"/>
                <w:szCs w:val="16"/>
              </w:rPr>
            </w:pPr>
            <w:r w:rsidRPr="003D5241">
              <w:rPr>
                <w:rFonts w:ascii="Verdana" w:hAnsi="Verdana"/>
                <w:sz w:val="16"/>
                <w:szCs w:val="16"/>
              </w:rPr>
              <w:t>Totaal</w:t>
            </w:r>
          </w:p>
        </w:tc>
        <w:tc>
          <w:tcPr>
            <w:tcW w:w="1435"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307"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766"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37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c>
          <w:tcPr>
            <w:tcW w:w="1324"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100%</w:t>
            </w:r>
          </w:p>
        </w:tc>
      </w:tr>
    </w:tbl>
    <w:p w:rsidRPr="003D5241" w:rsidR="003F3457" w:rsidP="003F3457" w:rsidRDefault="00B6102D">
      <w:pPr>
        <w:rPr>
          <w:rFonts w:ascii="Verdana" w:hAnsi="Verdana"/>
          <w:sz w:val="18"/>
          <w:szCs w:val="18"/>
        </w:rPr>
      </w:pPr>
    </w:p>
    <w:p w:rsidRPr="003D5241" w:rsidR="003F3457" w:rsidP="003F3457" w:rsidRDefault="00B6102D">
      <w:pPr>
        <w:rPr>
          <w:rFonts w:ascii="Verdana" w:hAnsi="Verdana"/>
          <w:sz w:val="18"/>
          <w:szCs w:val="18"/>
        </w:rPr>
      </w:pPr>
      <w:r w:rsidRPr="003D5241">
        <w:rPr>
          <w:rFonts w:ascii="Verdana" w:hAnsi="Verdana"/>
          <w:sz w:val="18"/>
          <w:szCs w:val="18"/>
        </w:rPr>
        <w:t xml:space="preserve">Het totaalpercentage van boven de norm is </w:t>
      </w:r>
      <w:r>
        <w:rPr>
          <w:rFonts w:ascii="Verdana" w:hAnsi="Verdana"/>
          <w:sz w:val="18"/>
          <w:szCs w:val="18"/>
        </w:rPr>
        <w:t>gedaald namelijk van 18% naar 15%.</w:t>
      </w:r>
      <w:r w:rsidRPr="003D5241">
        <w:rPr>
          <w:rFonts w:ascii="Verdana" w:hAnsi="Verdana"/>
          <w:sz w:val="18"/>
          <w:szCs w:val="18"/>
        </w:rPr>
        <w:t xml:space="preserve"> D</w:t>
      </w:r>
      <w:r>
        <w:rPr>
          <w:rFonts w:ascii="Verdana" w:hAnsi="Verdana"/>
          <w:sz w:val="18"/>
          <w:szCs w:val="18"/>
        </w:rPr>
        <w:t>ie daling doet zich in alle sectoren voor.</w:t>
      </w:r>
      <w:r w:rsidRPr="003D5241">
        <w:rPr>
          <w:rFonts w:ascii="Verdana" w:hAnsi="Verdana"/>
          <w:sz w:val="18"/>
          <w:szCs w:val="18"/>
        </w:rPr>
        <w:t xml:space="preserve">  </w:t>
      </w:r>
    </w:p>
    <w:p w:rsidRPr="003D5241" w:rsidR="003F3457" w:rsidP="003F3457" w:rsidRDefault="00B6102D">
      <w:pPr>
        <w:rPr>
          <w:rFonts w:ascii="Verdana" w:hAnsi="Verdana"/>
          <w:sz w:val="18"/>
          <w:szCs w:val="18"/>
        </w:rPr>
      </w:pPr>
    </w:p>
    <w:p w:rsidRPr="003D5241" w:rsidR="003F3457" w:rsidP="003F3457" w:rsidRDefault="00B6102D">
      <w:pPr>
        <w:outlineLvl w:val="0"/>
        <w:rPr>
          <w:rFonts w:ascii="Verdana" w:hAnsi="Verdana"/>
          <w:b/>
          <w:sz w:val="18"/>
          <w:szCs w:val="18"/>
        </w:rPr>
      </w:pPr>
      <w:r w:rsidRPr="003D5241">
        <w:rPr>
          <w:rFonts w:ascii="Verdana" w:hAnsi="Verdana"/>
          <w:b/>
          <w:sz w:val="18"/>
          <w:szCs w:val="18"/>
        </w:rPr>
        <w:t>2.4</w:t>
      </w:r>
      <w:r w:rsidRPr="003D5241">
        <w:rPr>
          <w:rFonts w:ascii="Verdana" w:hAnsi="Verdana"/>
          <w:b/>
          <w:sz w:val="18"/>
          <w:szCs w:val="18"/>
        </w:rPr>
        <w:tab/>
      </w:r>
      <w:r w:rsidRPr="003D5241">
        <w:rPr>
          <w:rFonts w:ascii="Verdana" w:hAnsi="Verdana"/>
          <w:b/>
          <w:sz w:val="18"/>
          <w:szCs w:val="18"/>
        </w:rPr>
        <w:t xml:space="preserve">De beloning van zorgbestuurders met een nieuwe baan </w:t>
      </w:r>
    </w:p>
    <w:p w:rsidRPr="003D5241" w:rsidR="003F3457" w:rsidRDefault="00B6102D">
      <w:pPr>
        <w:rPr>
          <w:rFonts w:ascii="Verdana" w:hAnsi="Verdana"/>
          <w:sz w:val="18"/>
          <w:szCs w:val="18"/>
        </w:rPr>
      </w:pPr>
    </w:p>
    <w:p w:rsidR="003F3457" w:rsidRDefault="00B6102D">
      <w:pPr>
        <w:rPr>
          <w:rFonts w:ascii="Verdana" w:hAnsi="Verdana"/>
          <w:sz w:val="18"/>
          <w:szCs w:val="18"/>
        </w:rPr>
      </w:pPr>
      <w:r>
        <w:rPr>
          <w:rFonts w:ascii="Verdana" w:hAnsi="Verdana"/>
          <w:sz w:val="18"/>
          <w:szCs w:val="18"/>
        </w:rPr>
        <w:t>Zoals aangeduid in paragraaf 2.3 is de sector eind 2009 zelf met een nieuwe beloningsnorm g</w:t>
      </w:r>
      <w:r>
        <w:rPr>
          <w:rFonts w:ascii="Verdana" w:hAnsi="Verdana"/>
          <w:sz w:val="18"/>
          <w:szCs w:val="18"/>
        </w:rPr>
        <w:t>e</w:t>
      </w:r>
      <w:r>
        <w:rPr>
          <w:rFonts w:ascii="Verdana" w:hAnsi="Verdana"/>
          <w:sz w:val="18"/>
          <w:szCs w:val="18"/>
        </w:rPr>
        <w:t xml:space="preserve">komen, de beloningscode voor bestuurders in de zorg, de BBZ. </w:t>
      </w:r>
      <w:r w:rsidRPr="003D5241">
        <w:rPr>
          <w:rFonts w:ascii="Verdana" w:hAnsi="Verdana"/>
          <w:sz w:val="18"/>
          <w:szCs w:val="18"/>
        </w:rPr>
        <w:t>Naast de loonontwikkeling van de zittende bestuur</w:t>
      </w:r>
      <w:r w:rsidRPr="003D5241">
        <w:rPr>
          <w:rFonts w:ascii="Verdana" w:hAnsi="Verdana"/>
          <w:sz w:val="18"/>
          <w:szCs w:val="18"/>
        </w:rPr>
        <w:t xml:space="preserve">ders is het </w:t>
      </w:r>
      <w:r>
        <w:rPr>
          <w:rFonts w:ascii="Verdana" w:hAnsi="Verdana"/>
          <w:sz w:val="18"/>
          <w:szCs w:val="18"/>
        </w:rPr>
        <w:t xml:space="preserve">dan </w:t>
      </w:r>
      <w:r w:rsidRPr="003D5241">
        <w:rPr>
          <w:rFonts w:ascii="Verdana" w:hAnsi="Verdana"/>
          <w:sz w:val="18"/>
          <w:szCs w:val="18"/>
        </w:rPr>
        <w:t>ook van belang te kijken naar de beloning van de bestuurders die in 20</w:t>
      </w:r>
      <w:r>
        <w:rPr>
          <w:rFonts w:ascii="Verdana" w:hAnsi="Verdana"/>
          <w:sz w:val="18"/>
          <w:szCs w:val="18"/>
        </w:rPr>
        <w:t>12</w:t>
      </w:r>
      <w:r w:rsidRPr="003D5241">
        <w:rPr>
          <w:rFonts w:ascii="Verdana" w:hAnsi="Verdana"/>
          <w:sz w:val="18"/>
          <w:szCs w:val="18"/>
        </w:rPr>
        <w:t xml:space="preserve"> in een nieuwe functie zijn begonnen (dat hoeven niet per se nieuwe instromers te zijn, het kunnen ook mutaties binnen de sector zijn). </w:t>
      </w:r>
      <w:r>
        <w:rPr>
          <w:rFonts w:ascii="Verdana" w:hAnsi="Verdana"/>
          <w:sz w:val="18"/>
          <w:szCs w:val="18"/>
        </w:rPr>
        <w:t>Hier kijken we dus naar álle nie</w:t>
      </w:r>
      <w:r>
        <w:rPr>
          <w:rFonts w:ascii="Verdana" w:hAnsi="Verdana"/>
          <w:sz w:val="18"/>
          <w:szCs w:val="18"/>
        </w:rPr>
        <w:t>uwe bestuurders in 2012.</w:t>
      </w:r>
    </w:p>
    <w:p w:rsidR="003F3457" w:rsidRDefault="00B6102D">
      <w:pPr>
        <w:rPr>
          <w:rFonts w:ascii="Verdana" w:hAnsi="Verdana"/>
          <w:sz w:val="18"/>
          <w:szCs w:val="18"/>
        </w:rPr>
      </w:pPr>
      <w:r>
        <w:rPr>
          <w:rFonts w:ascii="Verdana" w:hAnsi="Verdana"/>
          <w:sz w:val="18"/>
          <w:szCs w:val="18"/>
        </w:rPr>
        <w:t>Omdat deze zorgbestuurders in 2012 aan een nieuwe functie zijn begonnen, hebben we dezen in tabel 5 alleen afgezet tegen de norm van de BBZ. Daarbij is uitgegaan van een eventuele toeslag wegens omgevings- en risicofactoren van max</w:t>
      </w:r>
      <w:r>
        <w:rPr>
          <w:rFonts w:ascii="Verdana" w:hAnsi="Verdana"/>
          <w:sz w:val="18"/>
          <w:szCs w:val="18"/>
        </w:rPr>
        <w:t>imaal 15%. Op grond van de BBZ kan die echter maximaal 30% zijn. Wanneer er dus een hogere toeslag dan 15% is overeengekomen, komt dat in de onderstaande tabel als een overschrijding naar voren (meer dan 100%). In de perceptie van het veld is er dus bij mi</w:t>
      </w:r>
      <w:r>
        <w:rPr>
          <w:rFonts w:ascii="Verdana" w:hAnsi="Verdana"/>
          <w:sz w:val="18"/>
          <w:szCs w:val="18"/>
        </w:rPr>
        <w:t>nder dan 115% geen sprake van een overschrijding.</w:t>
      </w:r>
    </w:p>
    <w:p w:rsidR="003F3457" w:rsidRDefault="00B6102D">
      <w:pPr>
        <w:rPr>
          <w:rFonts w:ascii="Verdana" w:hAnsi="Verdana"/>
          <w:sz w:val="18"/>
          <w:szCs w:val="18"/>
        </w:rPr>
      </w:pPr>
    </w:p>
    <w:p w:rsidRPr="000D6F63" w:rsidR="003F3457" w:rsidP="003F3457" w:rsidRDefault="00B6102D">
      <w:pPr>
        <w:outlineLvl w:val="0"/>
        <w:rPr>
          <w:rFonts w:ascii="Verdana" w:hAnsi="Verdana"/>
          <w:i/>
          <w:sz w:val="16"/>
          <w:szCs w:val="16"/>
        </w:rPr>
      </w:pPr>
      <w:r w:rsidRPr="000D6F63">
        <w:rPr>
          <w:rFonts w:ascii="Verdana" w:hAnsi="Verdana"/>
          <w:i/>
          <w:sz w:val="16"/>
          <w:szCs w:val="16"/>
        </w:rPr>
        <w:t xml:space="preserve">Tabel </w:t>
      </w:r>
      <w:r>
        <w:rPr>
          <w:rFonts w:ascii="Verdana" w:hAnsi="Verdana"/>
          <w:i/>
          <w:sz w:val="16"/>
          <w:szCs w:val="16"/>
        </w:rPr>
        <w:t>5 Zorg</w:t>
      </w:r>
      <w:r w:rsidRPr="000D6F63">
        <w:rPr>
          <w:rFonts w:ascii="Verdana" w:hAnsi="Verdana"/>
          <w:i/>
          <w:sz w:val="16"/>
          <w:szCs w:val="16"/>
        </w:rPr>
        <w:t>bestuurders</w:t>
      </w:r>
      <w:r>
        <w:rPr>
          <w:rFonts w:ascii="Verdana" w:hAnsi="Verdana"/>
          <w:i/>
          <w:sz w:val="16"/>
          <w:szCs w:val="16"/>
        </w:rPr>
        <w:t xml:space="preserve"> met een nieuwe baan t.o.v. BBZ-norm met een maximale toeslag van 15%</w:t>
      </w:r>
    </w:p>
    <w:tbl>
      <w:tblPr>
        <w:tblStyle w:val="Tabelraster"/>
        <w:tblW w:w="0" w:type="auto"/>
        <w:tblBorders>
          <w:left w:val="nil"/>
          <w:right w:val="nil"/>
          <w:insideH w:val="nil"/>
          <w:insideV w:val="nil"/>
        </w:tblBorders>
        <w:tblLayout w:type="fixed"/>
        <w:tblLook w:val="01E0"/>
      </w:tblPr>
      <w:tblGrid>
        <w:gridCol w:w="3078"/>
        <w:gridCol w:w="1232"/>
        <w:gridCol w:w="1233"/>
        <w:gridCol w:w="1233"/>
        <w:gridCol w:w="1233"/>
        <w:gridCol w:w="1233"/>
      </w:tblGrid>
      <w:tr w:rsidR="0073095E" w:rsidTr="003F3457">
        <w:tc>
          <w:tcPr>
            <w:tcW w:w="3078" w:type="dxa"/>
          </w:tcPr>
          <w:p w:rsidRPr="000D6F63" w:rsidR="003F3457" w:rsidP="003F3457" w:rsidRDefault="00B6102D">
            <w:pPr>
              <w:spacing w:line="360" w:lineRule="auto"/>
              <w:rPr>
                <w:rFonts w:ascii="Verdana" w:hAnsi="Verdana"/>
                <w:sz w:val="16"/>
                <w:szCs w:val="16"/>
              </w:rPr>
            </w:pPr>
          </w:p>
        </w:tc>
        <w:tc>
          <w:tcPr>
            <w:tcW w:w="1232" w:type="dxa"/>
            <w:tcBorders>
              <w:top w:val="single" w:color="auto" w:sz="4" w:space="0"/>
              <w:bottom w:val="single" w:color="auto" w:sz="4" w:space="0"/>
            </w:tcBorders>
            <w:vAlign w:val="bottom"/>
          </w:tcPr>
          <w:p w:rsidRPr="000D6F63" w:rsidR="003F3457" w:rsidP="003F3457" w:rsidRDefault="00B6102D">
            <w:pPr>
              <w:spacing w:line="360" w:lineRule="auto"/>
              <w:jc w:val="center"/>
              <w:rPr>
                <w:rFonts w:ascii="Verdana" w:hAnsi="Verdana"/>
                <w:sz w:val="16"/>
                <w:szCs w:val="16"/>
              </w:rPr>
            </w:pPr>
            <w:r w:rsidRPr="000D6F63">
              <w:rPr>
                <w:rFonts w:ascii="Verdana" w:hAnsi="Verdana"/>
                <w:sz w:val="16"/>
                <w:szCs w:val="16"/>
              </w:rPr>
              <w:t>Ziekenhui</w:t>
            </w:r>
            <w:r w:rsidRPr="000D6F63">
              <w:rPr>
                <w:rFonts w:ascii="Verdana" w:hAnsi="Verdana"/>
                <w:sz w:val="16"/>
                <w:szCs w:val="16"/>
              </w:rPr>
              <w:t>s</w:t>
            </w:r>
            <w:r w:rsidRPr="000D6F63">
              <w:rPr>
                <w:rFonts w:ascii="Verdana" w:hAnsi="Verdana"/>
                <w:sz w:val="16"/>
                <w:szCs w:val="16"/>
              </w:rPr>
              <w:t>zorg</w:t>
            </w:r>
          </w:p>
        </w:tc>
        <w:tc>
          <w:tcPr>
            <w:tcW w:w="1233" w:type="dxa"/>
            <w:tcBorders>
              <w:top w:val="single" w:color="auto" w:sz="4" w:space="0"/>
              <w:bottom w:val="single" w:color="auto" w:sz="4" w:space="0"/>
            </w:tcBorders>
            <w:vAlign w:val="bottom"/>
          </w:tcPr>
          <w:p w:rsidRPr="000D6F63" w:rsidR="003F3457" w:rsidP="003F3457" w:rsidRDefault="00B6102D">
            <w:pPr>
              <w:spacing w:line="360" w:lineRule="auto"/>
              <w:jc w:val="center"/>
              <w:rPr>
                <w:rFonts w:ascii="Verdana" w:hAnsi="Verdana"/>
                <w:sz w:val="16"/>
                <w:szCs w:val="16"/>
              </w:rPr>
            </w:pPr>
            <w:r w:rsidRPr="000D6F63">
              <w:rPr>
                <w:rFonts w:ascii="Verdana" w:hAnsi="Verdana"/>
                <w:sz w:val="16"/>
                <w:szCs w:val="16"/>
              </w:rPr>
              <w:t>GGZ</w:t>
            </w:r>
          </w:p>
        </w:tc>
        <w:tc>
          <w:tcPr>
            <w:tcW w:w="1233" w:type="dxa"/>
            <w:tcBorders>
              <w:top w:val="single" w:color="auto" w:sz="4" w:space="0"/>
              <w:bottom w:val="single" w:color="auto" w:sz="4" w:space="0"/>
            </w:tcBorders>
            <w:vAlign w:val="bottom"/>
          </w:tcPr>
          <w:p w:rsidRPr="000D6F63" w:rsidR="003F3457" w:rsidP="003F3457" w:rsidRDefault="00B6102D">
            <w:pPr>
              <w:spacing w:line="360" w:lineRule="auto"/>
              <w:jc w:val="center"/>
              <w:rPr>
                <w:rFonts w:ascii="Verdana" w:hAnsi="Verdana"/>
                <w:sz w:val="16"/>
                <w:szCs w:val="16"/>
              </w:rPr>
            </w:pPr>
            <w:r w:rsidRPr="000D6F63">
              <w:rPr>
                <w:rFonts w:ascii="Verdana" w:hAnsi="Verdana"/>
                <w:sz w:val="16"/>
                <w:szCs w:val="16"/>
              </w:rPr>
              <w:t>Gehandica</w:t>
            </w:r>
            <w:r w:rsidRPr="000D6F63">
              <w:rPr>
                <w:rFonts w:ascii="Verdana" w:hAnsi="Verdana"/>
                <w:sz w:val="16"/>
                <w:szCs w:val="16"/>
              </w:rPr>
              <w:t>p</w:t>
            </w:r>
            <w:r w:rsidRPr="000D6F63">
              <w:rPr>
                <w:rFonts w:ascii="Verdana" w:hAnsi="Verdana"/>
                <w:sz w:val="16"/>
                <w:szCs w:val="16"/>
              </w:rPr>
              <w:t>tenzorg</w:t>
            </w:r>
          </w:p>
        </w:tc>
        <w:tc>
          <w:tcPr>
            <w:tcW w:w="1233" w:type="dxa"/>
            <w:tcBorders>
              <w:top w:val="single" w:color="auto" w:sz="4" w:space="0"/>
              <w:bottom w:val="single" w:color="auto" w:sz="4" w:space="0"/>
            </w:tcBorders>
            <w:vAlign w:val="bottom"/>
          </w:tcPr>
          <w:p w:rsidRPr="000D6F63" w:rsidR="003F3457" w:rsidP="003F3457" w:rsidRDefault="00B6102D">
            <w:pPr>
              <w:spacing w:line="360" w:lineRule="auto"/>
              <w:jc w:val="center"/>
              <w:rPr>
                <w:rFonts w:ascii="Verdana" w:hAnsi="Verdana"/>
                <w:sz w:val="16"/>
                <w:szCs w:val="16"/>
              </w:rPr>
            </w:pPr>
            <w:r w:rsidRPr="000D6F63">
              <w:rPr>
                <w:rFonts w:ascii="Verdana" w:hAnsi="Verdana"/>
                <w:sz w:val="16"/>
                <w:szCs w:val="16"/>
              </w:rPr>
              <w:t>VVT</w:t>
            </w:r>
          </w:p>
        </w:tc>
        <w:tc>
          <w:tcPr>
            <w:tcW w:w="1233" w:type="dxa"/>
            <w:tcBorders>
              <w:top w:val="single" w:color="auto" w:sz="4" w:space="0"/>
              <w:bottom w:val="single" w:color="auto" w:sz="4" w:space="0"/>
            </w:tcBorders>
            <w:vAlign w:val="bottom"/>
          </w:tcPr>
          <w:p w:rsidRPr="000D6F63" w:rsidR="003F3457" w:rsidP="003F3457" w:rsidRDefault="00B6102D">
            <w:pPr>
              <w:spacing w:line="360" w:lineRule="auto"/>
              <w:jc w:val="center"/>
              <w:rPr>
                <w:rFonts w:ascii="Verdana" w:hAnsi="Verdana"/>
                <w:sz w:val="16"/>
                <w:szCs w:val="16"/>
              </w:rPr>
            </w:pPr>
            <w:r w:rsidRPr="000D6F63">
              <w:rPr>
                <w:rFonts w:ascii="Verdana" w:hAnsi="Verdana"/>
                <w:sz w:val="16"/>
                <w:szCs w:val="16"/>
              </w:rPr>
              <w:t>Totaal</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sidRPr="000D6F63">
              <w:rPr>
                <w:rFonts w:ascii="Verdana" w:hAnsi="Verdana"/>
                <w:sz w:val="16"/>
                <w:szCs w:val="16"/>
              </w:rPr>
              <w:t>minder dan 75%</w:t>
            </w:r>
          </w:p>
        </w:tc>
        <w:tc>
          <w:tcPr>
            <w:tcW w:w="1232"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9</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7</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7</w:t>
            </w:r>
          </w:p>
        </w:tc>
        <w:tc>
          <w:tcPr>
            <w:tcW w:w="1233" w:type="dxa"/>
            <w:tcBorders>
              <w:top w:val="single" w:color="auto" w:sz="4" w:space="0"/>
            </w:tcBorders>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25</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sidRPr="000D6F63">
              <w:rPr>
                <w:rFonts w:ascii="Verdana" w:hAnsi="Verdana"/>
                <w:sz w:val="16"/>
                <w:szCs w:val="16"/>
              </w:rPr>
              <w:t>van 75 tot 90%</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6</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8</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18</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42</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sidRPr="000D6F63">
              <w:rPr>
                <w:rFonts w:ascii="Verdana" w:hAnsi="Verdana"/>
                <w:sz w:val="16"/>
                <w:szCs w:val="16"/>
              </w:rPr>
              <w:t>van 90</w:t>
            </w:r>
            <w:r w:rsidRPr="000D6F63">
              <w:rPr>
                <w:rFonts w:ascii="Verdana" w:hAnsi="Verdana"/>
                <w:sz w:val="16"/>
                <w:szCs w:val="16"/>
              </w:rPr>
              <w:t xml:space="preserve"> tot 100%</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8</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6</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4</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3</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21</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sidRPr="000D6F63">
              <w:rPr>
                <w:rFonts w:ascii="Verdana" w:hAnsi="Verdana"/>
                <w:sz w:val="16"/>
                <w:szCs w:val="16"/>
              </w:rPr>
              <w:t>van 100 tot 110%</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3</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5</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sidRPr="000D6F63">
              <w:rPr>
                <w:rFonts w:ascii="Verdana" w:hAnsi="Verdana"/>
                <w:sz w:val="16"/>
                <w:szCs w:val="16"/>
              </w:rPr>
              <w:t>van 110 tot 125%</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sidRPr="000D6F63">
              <w:rPr>
                <w:rFonts w:ascii="Verdana" w:hAnsi="Verdana"/>
                <w:sz w:val="16"/>
                <w:szCs w:val="16"/>
              </w:rPr>
              <w:t>van 125 tot 150%</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3</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Pr>
                <w:rFonts w:ascii="Verdana" w:hAnsi="Verdana"/>
                <w:sz w:val="16"/>
                <w:szCs w:val="16"/>
              </w:rPr>
              <w:t>Meer dan 150%</w:t>
            </w: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0</w:t>
            </w:r>
          </w:p>
        </w:tc>
        <w:tc>
          <w:tcPr>
            <w:tcW w:w="1233" w:type="dxa"/>
            <w:vAlign w:val="bottom"/>
          </w:tcPr>
          <w:p w:rsidRPr="00237B64" w:rsidR="003F3457" w:rsidRDefault="00B6102D">
            <w:pPr>
              <w:jc w:val="right"/>
              <w:rPr>
                <w:rFonts w:ascii="Verdana" w:hAnsi="Verdana"/>
                <w:color w:val="000000"/>
                <w:sz w:val="16"/>
                <w:szCs w:val="16"/>
              </w:rPr>
            </w:pPr>
            <w:r>
              <w:rPr>
                <w:rFonts w:ascii="Verdana" w:hAnsi="Verdana"/>
                <w:color w:val="000000"/>
                <w:sz w:val="16"/>
                <w:szCs w:val="16"/>
              </w:rPr>
              <w:t>1</w:t>
            </w:r>
          </w:p>
        </w:tc>
      </w:tr>
      <w:tr w:rsidR="0073095E" w:rsidTr="003F3457">
        <w:trPr>
          <w:trHeight w:val="264"/>
        </w:trPr>
        <w:tc>
          <w:tcPr>
            <w:tcW w:w="3078" w:type="dxa"/>
            <w:vAlign w:val="bottom"/>
          </w:tcPr>
          <w:p w:rsidRPr="000D6F63" w:rsidR="003F3457" w:rsidP="003F3457" w:rsidRDefault="00B6102D">
            <w:pPr>
              <w:rPr>
                <w:rFonts w:ascii="Verdana" w:hAnsi="Verdana"/>
                <w:sz w:val="16"/>
                <w:szCs w:val="16"/>
              </w:rPr>
            </w:pPr>
            <w:r>
              <w:rPr>
                <w:rFonts w:ascii="Verdana" w:hAnsi="Verdana"/>
                <w:sz w:val="16"/>
                <w:szCs w:val="16"/>
              </w:rPr>
              <w:t xml:space="preserve">Totaal aantal </w:t>
            </w:r>
          </w:p>
        </w:tc>
        <w:tc>
          <w:tcPr>
            <w:tcW w:w="1232"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c>
          <w:tcPr>
            <w:tcW w:w="1233" w:type="dxa"/>
            <w:vAlign w:val="bottom"/>
          </w:tcPr>
          <w:p w:rsidRPr="00237B64" w:rsidR="003F3457" w:rsidRDefault="00B6102D">
            <w:pPr>
              <w:rPr>
                <w:rFonts w:ascii="Verdana" w:hAnsi="Verdana"/>
                <w:color w:val="000000"/>
                <w:sz w:val="16"/>
                <w:szCs w:val="16"/>
              </w:rPr>
            </w:pPr>
          </w:p>
        </w:tc>
      </w:tr>
      <w:tr w:rsidR="0073095E" w:rsidTr="003F3457">
        <w:trPr>
          <w:trHeight w:val="264"/>
        </w:trPr>
        <w:tc>
          <w:tcPr>
            <w:tcW w:w="3078" w:type="dxa"/>
            <w:vAlign w:val="bottom"/>
          </w:tcPr>
          <w:p w:rsidR="003F3457" w:rsidP="003F3457" w:rsidRDefault="00B6102D">
            <w:pPr>
              <w:rPr>
                <w:rFonts w:ascii="Verdana" w:hAnsi="Verdana"/>
                <w:sz w:val="16"/>
                <w:szCs w:val="16"/>
              </w:rPr>
            </w:pPr>
          </w:p>
        </w:tc>
        <w:tc>
          <w:tcPr>
            <w:tcW w:w="1232"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28</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21</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19</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31</w:t>
            </w:r>
          </w:p>
        </w:tc>
        <w:tc>
          <w:tcPr>
            <w:tcW w:w="1233" w:type="dxa"/>
            <w:vAlign w:val="bottom"/>
          </w:tcPr>
          <w:p w:rsidRPr="00237B64" w:rsidR="003F3457" w:rsidRDefault="00B6102D">
            <w:pPr>
              <w:jc w:val="right"/>
              <w:rPr>
                <w:rFonts w:ascii="Verdana" w:hAnsi="Verdana"/>
                <w:color w:val="000000"/>
                <w:sz w:val="16"/>
                <w:szCs w:val="16"/>
              </w:rPr>
            </w:pPr>
            <w:r w:rsidRPr="00237B64">
              <w:rPr>
                <w:rFonts w:ascii="Verdana" w:hAnsi="Verdana"/>
                <w:color w:val="000000"/>
                <w:sz w:val="16"/>
                <w:szCs w:val="16"/>
              </w:rPr>
              <w:t>99</w:t>
            </w:r>
          </w:p>
        </w:tc>
      </w:tr>
    </w:tbl>
    <w:p w:rsidR="003F3457" w:rsidRDefault="00B6102D">
      <w:pPr>
        <w:rPr>
          <w:rFonts w:ascii="Verdana" w:hAnsi="Verdana"/>
          <w:sz w:val="18"/>
          <w:szCs w:val="18"/>
        </w:rPr>
      </w:pPr>
    </w:p>
    <w:p w:rsidRPr="002B5E2A" w:rsidR="003F3457" w:rsidRDefault="00B6102D">
      <w:pPr>
        <w:spacing w:line="240" w:lineRule="auto"/>
        <w:rPr>
          <w:rFonts w:ascii="Verdana" w:hAnsi="Verdana"/>
          <w:sz w:val="18"/>
          <w:szCs w:val="18"/>
        </w:rPr>
      </w:pPr>
      <w:r>
        <w:rPr>
          <w:rFonts w:ascii="Verdana" w:hAnsi="Verdana"/>
          <w:sz w:val="18"/>
          <w:szCs w:val="18"/>
        </w:rPr>
        <w:t>D</w:t>
      </w:r>
      <w:r w:rsidRPr="002B5E2A">
        <w:rPr>
          <w:rFonts w:ascii="Verdana" w:hAnsi="Verdana"/>
          <w:sz w:val="18"/>
          <w:szCs w:val="18"/>
        </w:rPr>
        <w:t xml:space="preserve">e Wnt </w:t>
      </w:r>
      <w:r>
        <w:rPr>
          <w:rFonts w:ascii="Verdana" w:hAnsi="Verdana"/>
          <w:sz w:val="18"/>
          <w:szCs w:val="18"/>
        </w:rPr>
        <w:t xml:space="preserve">is </w:t>
      </w:r>
      <w:r w:rsidRPr="002B5E2A">
        <w:rPr>
          <w:rFonts w:ascii="Verdana" w:hAnsi="Verdana"/>
          <w:sz w:val="18"/>
          <w:szCs w:val="18"/>
        </w:rPr>
        <w:t>per 1 januari 2013 in werking getreden</w:t>
      </w:r>
      <w:r>
        <w:rPr>
          <w:rFonts w:ascii="Verdana" w:hAnsi="Verdana"/>
          <w:sz w:val="18"/>
          <w:szCs w:val="18"/>
        </w:rPr>
        <w:t>. N</w:t>
      </w:r>
      <w:r w:rsidRPr="002B5E2A">
        <w:rPr>
          <w:rFonts w:ascii="Verdana" w:hAnsi="Verdana"/>
          <w:sz w:val="18"/>
          <w:szCs w:val="18"/>
        </w:rPr>
        <w:t>ieuwe arbe</w:t>
      </w:r>
      <w:r>
        <w:rPr>
          <w:rFonts w:ascii="Verdana" w:hAnsi="Verdana"/>
          <w:sz w:val="18"/>
          <w:szCs w:val="18"/>
        </w:rPr>
        <w:t>i</w:t>
      </w:r>
      <w:r w:rsidRPr="002B5E2A">
        <w:rPr>
          <w:rFonts w:ascii="Verdana" w:hAnsi="Verdana"/>
          <w:sz w:val="18"/>
          <w:szCs w:val="18"/>
        </w:rPr>
        <w:t>dsover</w:t>
      </w:r>
      <w:r>
        <w:rPr>
          <w:rFonts w:ascii="Verdana" w:hAnsi="Verdana"/>
          <w:sz w:val="18"/>
          <w:szCs w:val="18"/>
        </w:rPr>
        <w:t>e</w:t>
      </w:r>
      <w:r w:rsidRPr="002B5E2A">
        <w:rPr>
          <w:rFonts w:ascii="Verdana" w:hAnsi="Verdana"/>
          <w:sz w:val="18"/>
          <w:szCs w:val="18"/>
        </w:rPr>
        <w:t>enkomst</w:t>
      </w:r>
      <w:r>
        <w:rPr>
          <w:rFonts w:ascii="Verdana" w:hAnsi="Verdana"/>
          <w:sz w:val="18"/>
          <w:szCs w:val="18"/>
        </w:rPr>
        <w:t>e</w:t>
      </w:r>
      <w:r w:rsidRPr="002B5E2A">
        <w:rPr>
          <w:rFonts w:ascii="Verdana" w:hAnsi="Verdana"/>
          <w:sz w:val="18"/>
          <w:szCs w:val="18"/>
        </w:rPr>
        <w:t>n die van</w:t>
      </w:r>
      <w:r>
        <w:rPr>
          <w:rFonts w:ascii="Verdana" w:hAnsi="Verdana"/>
          <w:sz w:val="18"/>
          <w:szCs w:val="18"/>
        </w:rPr>
        <w:t>a</w:t>
      </w:r>
      <w:r w:rsidRPr="002B5E2A">
        <w:rPr>
          <w:rFonts w:ascii="Verdana" w:hAnsi="Verdana"/>
          <w:sz w:val="18"/>
          <w:szCs w:val="18"/>
        </w:rPr>
        <w:t>f 1 ja</w:t>
      </w:r>
      <w:r>
        <w:rPr>
          <w:rFonts w:ascii="Verdana" w:hAnsi="Verdana"/>
          <w:sz w:val="18"/>
          <w:szCs w:val="18"/>
        </w:rPr>
        <w:t>n</w:t>
      </w:r>
      <w:r w:rsidRPr="002B5E2A">
        <w:rPr>
          <w:rFonts w:ascii="Verdana" w:hAnsi="Verdana"/>
          <w:sz w:val="18"/>
          <w:szCs w:val="18"/>
        </w:rPr>
        <w:t>u</w:t>
      </w:r>
      <w:r>
        <w:rPr>
          <w:rFonts w:ascii="Verdana" w:hAnsi="Verdana"/>
          <w:sz w:val="18"/>
          <w:szCs w:val="18"/>
        </w:rPr>
        <w:t>a</w:t>
      </w:r>
      <w:r w:rsidRPr="002B5E2A">
        <w:rPr>
          <w:rFonts w:ascii="Verdana" w:hAnsi="Verdana"/>
          <w:sz w:val="18"/>
          <w:szCs w:val="18"/>
        </w:rPr>
        <w:t>r</w:t>
      </w:r>
      <w:r>
        <w:rPr>
          <w:rFonts w:ascii="Verdana" w:hAnsi="Verdana"/>
          <w:sz w:val="18"/>
          <w:szCs w:val="18"/>
        </w:rPr>
        <w:t>i</w:t>
      </w:r>
      <w:r w:rsidRPr="002B5E2A">
        <w:rPr>
          <w:rFonts w:ascii="Verdana" w:hAnsi="Verdana"/>
          <w:sz w:val="18"/>
          <w:szCs w:val="18"/>
        </w:rPr>
        <w:t xml:space="preserve"> 2013 word</w:t>
      </w:r>
      <w:r>
        <w:rPr>
          <w:rFonts w:ascii="Verdana" w:hAnsi="Verdana"/>
          <w:sz w:val="18"/>
          <w:szCs w:val="18"/>
        </w:rPr>
        <w:t>e</w:t>
      </w:r>
      <w:r w:rsidRPr="002B5E2A">
        <w:rPr>
          <w:rFonts w:ascii="Verdana" w:hAnsi="Verdana"/>
          <w:sz w:val="18"/>
          <w:szCs w:val="18"/>
        </w:rPr>
        <w:t>n</w:t>
      </w:r>
      <w:r>
        <w:rPr>
          <w:rFonts w:ascii="Verdana" w:hAnsi="Verdana"/>
          <w:sz w:val="18"/>
          <w:szCs w:val="18"/>
        </w:rPr>
        <w:t xml:space="preserve"> </w:t>
      </w:r>
      <w:r w:rsidRPr="002B5E2A">
        <w:rPr>
          <w:rFonts w:ascii="Verdana" w:hAnsi="Verdana"/>
          <w:sz w:val="18"/>
          <w:szCs w:val="18"/>
        </w:rPr>
        <w:t xml:space="preserve">aangegaan </w:t>
      </w:r>
      <w:r>
        <w:rPr>
          <w:rFonts w:ascii="Verdana" w:hAnsi="Verdana"/>
          <w:sz w:val="18"/>
          <w:szCs w:val="18"/>
        </w:rPr>
        <w:t>mogen de Wnt-norm niet overschrijden. Deze tabel 5 is dus ook een tabel die in de volgende rapportage veranderd wordt.</w:t>
      </w:r>
      <w:r w:rsidRPr="002B5E2A">
        <w:rPr>
          <w:rFonts w:ascii="Verdana" w:hAnsi="Verdana"/>
          <w:sz w:val="18"/>
          <w:szCs w:val="18"/>
        </w:rPr>
        <w:t xml:space="preserve"> </w:t>
      </w:r>
      <w:r w:rsidRPr="002B5E2A">
        <w:rPr>
          <w:rFonts w:ascii="Verdana" w:hAnsi="Verdana"/>
          <w:sz w:val="18"/>
          <w:szCs w:val="18"/>
        </w:rPr>
        <w:br w:type="page"/>
      </w:r>
    </w:p>
    <w:p w:rsidRPr="003D5241" w:rsidR="003F3457" w:rsidP="003F3457" w:rsidRDefault="00B6102D">
      <w:pPr>
        <w:outlineLvl w:val="0"/>
        <w:rPr>
          <w:rFonts w:ascii="Verdana" w:hAnsi="Verdana"/>
          <w:b/>
          <w:sz w:val="18"/>
          <w:szCs w:val="18"/>
        </w:rPr>
      </w:pPr>
      <w:r w:rsidRPr="003D5241">
        <w:rPr>
          <w:rFonts w:ascii="Verdana" w:hAnsi="Verdana"/>
          <w:b/>
          <w:sz w:val="18"/>
          <w:szCs w:val="18"/>
        </w:rPr>
        <w:t>2.5</w:t>
      </w:r>
      <w:r w:rsidRPr="003D5241">
        <w:rPr>
          <w:rFonts w:ascii="Verdana" w:hAnsi="Verdana"/>
          <w:b/>
          <w:sz w:val="18"/>
          <w:szCs w:val="18"/>
        </w:rPr>
        <w:tab/>
        <w:t xml:space="preserve"> Overige zaken</w:t>
      </w:r>
    </w:p>
    <w:p w:rsidRPr="003D5241" w:rsidR="003F3457" w:rsidRDefault="00B6102D">
      <w:pPr>
        <w:rPr>
          <w:rFonts w:ascii="Verdana" w:hAnsi="Verdana"/>
          <w:sz w:val="18"/>
          <w:szCs w:val="18"/>
        </w:rPr>
      </w:pPr>
    </w:p>
    <w:p w:rsidRPr="003D5241" w:rsidR="003F3457" w:rsidP="003F3457" w:rsidRDefault="00B6102D">
      <w:pPr>
        <w:outlineLvl w:val="0"/>
        <w:rPr>
          <w:rFonts w:ascii="Verdana" w:hAnsi="Verdana"/>
          <w:i/>
          <w:sz w:val="18"/>
          <w:szCs w:val="18"/>
        </w:rPr>
      </w:pPr>
      <w:r w:rsidRPr="003D5241">
        <w:rPr>
          <w:rFonts w:ascii="Verdana" w:hAnsi="Verdana"/>
          <w:i/>
          <w:sz w:val="18"/>
          <w:szCs w:val="18"/>
        </w:rPr>
        <w:t>Bonussen</w:t>
      </w:r>
    </w:p>
    <w:p w:rsidRPr="003D5241" w:rsidR="003F3457" w:rsidP="003F3457" w:rsidRDefault="00B6102D">
      <w:pPr>
        <w:rPr>
          <w:rFonts w:ascii="Verdana" w:hAnsi="Verdana"/>
          <w:sz w:val="18"/>
          <w:szCs w:val="18"/>
        </w:rPr>
      </w:pPr>
      <w:r w:rsidRPr="003D5241">
        <w:rPr>
          <w:rFonts w:ascii="Verdana" w:hAnsi="Verdana"/>
          <w:sz w:val="18"/>
          <w:szCs w:val="18"/>
        </w:rPr>
        <w:t>In 20</w:t>
      </w:r>
      <w:r>
        <w:rPr>
          <w:rFonts w:ascii="Verdana" w:hAnsi="Verdana"/>
          <w:sz w:val="18"/>
          <w:szCs w:val="18"/>
        </w:rPr>
        <w:t>12</w:t>
      </w:r>
      <w:r w:rsidRPr="003D5241">
        <w:rPr>
          <w:rFonts w:ascii="Verdana" w:hAnsi="Verdana"/>
          <w:sz w:val="18"/>
          <w:szCs w:val="18"/>
        </w:rPr>
        <w:t xml:space="preserve"> heeft </w:t>
      </w:r>
      <w:r>
        <w:rPr>
          <w:rFonts w:ascii="Verdana" w:hAnsi="Verdana"/>
          <w:sz w:val="18"/>
          <w:szCs w:val="18"/>
        </w:rPr>
        <w:t>6</w:t>
      </w:r>
      <w:r w:rsidRPr="003D5241">
        <w:rPr>
          <w:rFonts w:ascii="Verdana" w:hAnsi="Verdana"/>
          <w:sz w:val="18"/>
          <w:szCs w:val="18"/>
        </w:rPr>
        <w:t>% (20</w:t>
      </w:r>
      <w:r>
        <w:rPr>
          <w:rFonts w:ascii="Verdana" w:hAnsi="Verdana"/>
          <w:sz w:val="18"/>
          <w:szCs w:val="18"/>
        </w:rPr>
        <w:t>11</w:t>
      </w:r>
      <w:r w:rsidRPr="003D5241">
        <w:rPr>
          <w:rFonts w:ascii="Verdana" w:hAnsi="Verdana"/>
          <w:sz w:val="18"/>
          <w:szCs w:val="18"/>
        </w:rPr>
        <w:t xml:space="preserve">: </w:t>
      </w:r>
      <w:r>
        <w:rPr>
          <w:rFonts w:ascii="Verdana" w:hAnsi="Verdana"/>
          <w:sz w:val="18"/>
          <w:szCs w:val="18"/>
        </w:rPr>
        <w:t>8</w:t>
      </w:r>
      <w:r w:rsidRPr="003D5241">
        <w:rPr>
          <w:rFonts w:ascii="Verdana" w:hAnsi="Verdana"/>
          <w:sz w:val="18"/>
          <w:szCs w:val="18"/>
        </w:rPr>
        <w:t xml:space="preserve">%) van de bestuurders een bonus ontvangen van </w:t>
      </w:r>
      <w:r w:rsidRPr="003D5241">
        <w:rPr>
          <w:rFonts w:ascii="Verdana" w:hAnsi="Verdana"/>
          <w:sz w:val="18"/>
          <w:szCs w:val="18"/>
        </w:rPr>
        <w:t>gemiddeld €</w:t>
      </w:r>
      <w:r>
        <w:rPr>
          <w:rFonts w:ascii="Verdana" w:hAnsi="Verdana"/>
          <w:sz w:val="18"/>
          <w:szCs w:val="18"/>
        </w:rPr>
        <w:t xml:space="preserve">12.500 </w:t>
      </w:r>
      <w:r w:rsidRPr="003D5241">
        <w:rPr>
          <w:rFonts w:ascii="Verdana" w:hAnsi="Verdana"/>
          <w:sz w:val="18"/>
          <w:szCs w:val="18"/>
        </w:rPr>
        <w:t>(20</w:t>
      </w:r>
      <w:r>
        <w:rPr>
          <w:rFonts w:ascii="Verdana" w:hAnsi="Verdana"/>
          <w:sz w:val="18"/>
          <w:szCs w:val="18"/>
        </w:rPr>
        <w:t>11</w:t>
      </w:r>
      <w:r w:rsidRPr="003D5241">
        <w:rPr>
          <w:rFonts w:ascii="Verdana" w:hAnsi="Verdana"/>
          <w:sz w:val="18"/>
          <w:szCs w:val="18"/>
        </w:rPr>
        <w:t>: €1</w:t>
      </w:r>
      <w:r>
        <w:rPr>
          <w:rFonts w:ascii="Verdana" w:hAnsi="Verdana"/>
          <w:sz w:val="18"/>
          <w:szCs w:val="18"/>
        </w:rPr>
        <w:t>0.100)</w:t>
      </w:r>
      <w:r w:rsidRPr="003D5241">
        <w:rPr>
          <w:rFonts w:ascii="Verdana" w:hAnsi="Verdana"/>
          <w:sz w:val="18"/>
          <w:szCs w:val="18"/>
        </w:rPr>
        <w:t xml:space="preserve">. </w:t>
      </w:r>
      <w:r>
        <w:rPr>
          <w:rFonts w:ascii="Verdana" w:hAnsi="Verdana"/>
          <w:sz w:val="18"/>
          <w:szCs w:val="18"/>
        </w:rPr>
        <w:t>Het gemiddelde bedrag is dus gestegen ten opzichte van 2011, maar er is mi</w:t>
      </w:r>
      <w:r>
        <w:rPr>
          <w:rFonts w:ascii="Verdana" w:hAnsi="Verdana"/>
          <w:sz w:val="18"/>
          <w:szCs w:val="18"/>
        </w:rPr>
        <w:t>n</w:t>
      </w:r>
      <w:r>
        <w:rPr>
          <w:rFonts w:ascii="Verdana" w:hAnsi="Verdana"/>
          <w:sz w:val="18"/>
          <w:szCs w:val="18"/>
        </w:rPr>
        <w:t>der vaak uitgekeerd.</w:t>
      </w:r>
    </w:p>
    <w:p w:rsidRPr="003D5241" w:rsidR="003F3457" w:rsidP="003F3457" w:rsidRDefault="00B6102D">
      <w:pPr>
        <w:rPr>
          <w:rFonts w:ascii="Verdana" w:hAnsi="Verdana"/>
          <w:sz w:val="18"/>
          <w:szCs w:val="18"/>
        </w:rPr>
      </w:pPr>
      <w:r w:rsidRPr="003D5241">
        <w:rPr>
          <w:rFonts w:ascii="Verdana" w:hAnsi="Verdana"/>
          <w:sz w:val="18"/>
          <w:szCs w:val="18"/>
        </w:rPr>
        <w:t>De hoogte van de bonus was in de ziekenhuissector hoger dan gemiddeld (€</w:t>
      </w:r>
      <w:r>
        <w:rPr>
          <w:rFonts w:ascii="Verdana" w:hAnsi="Verdana"/>
          <w:sz w:val="18"/>
          <w:szCs w:val="18"/>
        </w:rPr>
        <w:t>18.000</w:t>
      </w:r>
      <w:r w:rsidRPr="003D5241">
        <w:rPr>
          <w:rFonts w:ascii="Verdana" w:hAnsi="Verdana"/>
          <w:sz w:val="18"/>
          <w:szCs w:val="18"/>
        </w:rPr>
        <w:t>)</w:t>
      </w:r>
      <w:r>
        <w:rPr>
          <w:rFonts w:ascii="Verdana" w:hAnsi="Verdana"/>
          <w:sz w:val="18"/>
          <w:szCs w:val="18"/>
        </w:rPr>
        <w:t>, en ook hoger dan een jaar eerder (€15.200)</w:t>
      </w:r>
      <w:r w:rsidRPr="003D5241">
        <w:rPr>
          <w:rFonts w:ascii="Verdana" w:hAnsi="Verdana"/>
          <w:sz w:val="18"/>
          <w:szCs w:val="18"/>
        </w:rPr>
        <w:t>.</w:t>
      </w:r>
    </w:p>
    <w:p w:rsidRPr="003D5241" w:rsidR="003F3457" w:rsidP="003F3457" w:rsidRDefault="00B6102D">
      <w:pPr>
        <w:rPr>
          <w:rFonts w:ascii="Verdana" w:hAnsi="Verdana"/>
          <w:sz w:val="18"/>
          <w:szCs w:val="18"/>
        </w:rPr>
      </w:pPr>
    </w:p>
    <w:p w:rsidRPr="003D5241" w:rsidR="003F3457" w:rsidP="003F3457" w:rsidRDefault="00B6102D">
      <w:pPr>
        <w:outlineLvl w:val="0"/>
        <w:rPr>
          <w:rFonts w:ascii="Verdana" w:hAnsi="Verdana"/>
          <w:i/>
          <w:sz w:val="18"/>
          <w:szCs w:val="18"/>
        </w:rPr>
      </w:pPr>
      <w:r w:rsidRPr="003D5241">
        <w:rPr>
          <w:rFonts w:ascii="Verdana" w:hAnsi="Verdana"/>
          <w:i/>
          <w:sz w:val="18"/>
          <w:szCs w:val="18"/>
        </w:rPr>
        <w:t>Ontslagvergoedingen</w:t>
      </w:r>
    </w:p>
    <w:p w:rsidRPr="003D5241" w:rsidR="003F3457" w:rsidP="003F3457" w:rsidRDefault="00B6102D">
      <w:pPr>
        <w:rPr>
          <w:rFonts w:ascii="Verdana" w:hAnsi="Verdana"/>
          <w:sz w:val="18"/>
          <w:szCs w:val="18"/>
        </w:rPr>
      </w:pPr>
      <w:r w:rsidRPr="003D5241">
        <w:rPr>
          <w:rFonts w:ascii="Verdana" w:hAnsi="Verdana"/>
          <w:sz w:val="18"/>
          <w:szCs w:val="18"/>
        </w:rPr>
        <w:t>In 20</w:t>
      </w:r>
      <w:r>
        <w:rPr>
          <w:rFonts w:ascii="Verdana" w:hAnsi="Verdana"/>
          <w:sz w:val="18"/>
          <w:szCs w:val="18"/>
        </w:rPr>
        <w:t>12</w:t>
      </w:r>
      <w:r w:rsidRPr="003D5241">
        <w:rPr>
          <w:rFonts w:ascii="Verdana" w:hAnsi="Verdana"/>
          <w:sz w:val="18"/>
          <w:szCs w:val="18"/>
        </w:rPr>
        <w:t xml:space="preserve"> ontving </w:t>
      </w:r>
      <w:r>
        <w:rPr>
          <w:rFonts w:ascii="Verdana" w:hAnsi="Verdana"/>
          <w:sz w:val="18"/>
          <w:szCs w:val="18"/>
        </w:rPr>
        <w:t>2,4%</w:t>
      </w:r>
      <w:r w:rsidRPr="003D5241">
        <w:rPr>
          <w:rFonts w:ascii="Verdana" w:hAnsi="Verdana"/>
          <w:sz w:val="18"/>
          <w:szCs w:val="18"/>
        </w:rPr>
        <w:t xml:space="preserve"> (20</w:t>
      </w:r>
      <w:r>
        <w:rPr>
          <w:rFonts w:ascii="Verdana" w:hAnsi="Verdana"/>
          <w:sz w:val="18"/>
          <w:szCs w:val="18"/>
        </w:rPr>
        <w:t>11</w:t>
      </w:r>
      <w:r w:rsidRPr="003D5241">
        <w:rPr>
          <w:rFonts w:ascii="Verdana" w:hAnsi="Verdana"/>
          <w:sz w:val="18"/>
          <w:szCs w:val="18"/>
        </w:rPr>
        <w:t xml:space="preserve">: </w:t>
      </w:r>
      <w:r>
        <w:rPr>
          <w:rFonts w:ascii="Verdana" w:hAnsi="Verdana"/>
          <w:sz w:val="18"/>
          <w:szCs w:val="18"/>
        </w:rPr>
        <w:t>1,6%</w:t>
      </w:r>
      <w:r w:rsidRPr="003D5241">
        <w:rPr>
          <w:rFonts w:ascii="Verdana" w:hAnsi="Verdana"/>
          <w:sz w:val="18"/>
          <w:szCs w:val="18"/>
        </w:rPr>
        <w:t>) van alle bestuurders enige vorm van ontslagvergoeding. De gemiddelde ontslagvergoeding in 20</w:t>
      </w:r>
      <w:r>
        <w:rPr>
          <w:rFonts w:ascii="Verdana" w:hAnsi="Verdana"/>
          <w:sz w:val="18"/>
          <w:szCs w:val="18"/>
        </w:rPr>
        <w:t>12</w:t>
      </w:r>
      <w:r w:rsidRPr="003D5241">
        <w:rPr>
          <w:rFonts w:ascii="Verdana" w:hAnsi="Verdana"/>
          <w:sz w:val="18"/>
          <w:szCs w:val="18"/>
        </w:rPr>
        <w:t xml:space="preserve"> komt neer op €</w:t>
      </w:r>
      <w:r>
        <w:rPr>
          <w:rFonts w:ascii="Verdana" w:hAnsi="Verdana"/>
          <w:sz w:val="18"/>
          <w:szCs w:val="18"/>
        </w:rPr>
        <w:t>127.250</w:t>
      </w:r>
      <w:r w:rsidRPr="003D5241">
        <w:rPr>
          <w:rFonts w:ascii="Verdana" w:hAnsi="Verdana"/>
          <w:sz w:val="18"/>
          <w:szCs w:val="18"/>
        </w:rPr>
        <w:t xml:space="preserve"> (20</w:t>
      </w:r>
      <w:r>
        <w:rPr>
          <w:rFonts w:ascii="Verdana" w:hAnsi="Verdana"/>
          <w:sz w:val="18"/>
          <w:szCs w:val="18"/>
        </w:rPr>
        <w:t>11</w:t>
      </w:r>
      <w:r w:rsidRPr="003D5241">
        <w:rPr>
          <w:rFonts w:ascii="Verdana" w:hAnsi="Verdana"/>
          <w:sz w:val="18"/>
          <w:szCs w:val="18"/>
        </w:rPr>
        <w:t>: €</w:t>
      </w:r>
      <w:r>
        <w:rPr>
          <w:rFonts w:ascii="Verdana" w:hAnsi="Verdana"/>
          <w:sz w:val="18"/>
          <w:szCs w:val="18"/>
        </w:rPr>
        <w:t>144.500</w:t>
      </w:r>
      <w:r w:rsidRPr="003D5241">
        <w:rPr>
          <w:rFonts w:ascii="Verdana" w:hAnsi="Verdana"/>
          <w:sz w:val="18"/>
          <w:szCs w:val="18"/>
        </w:rPr>
        <w:t>), echter met een vrij grote variatie. Het percentage bestuurders dat</w:t>
      </w:r>
      <w:r w:rsidRPr="003D5241">
        <w:rPr>
          <w:rFonts w:ascii="Verdana" w:hAnsi="Verdana"/>
          <w:sz w:val="18"/>
          <w:szCs w:val="18"/>
        </w:rPr>
        <w:t xml:space="preserve"> een vergoeding kreeg, is </w:t>
      </w:r>
      <w:r>
        <w:rPr>
          <w:rFonts w:ascii="Verdana" w:hAnsi="Verdana"/>
          <w:sz w:val="18"/>
          <w:szCs w:val="18"/>
        </w:rPr>
        <w:t>gestegen</w:t>
      </w:r>
      <w:r w:rsidRPr="003D5241">
        <w:rPr>
          <w:rFonts w:ascii="Verdana" w:hAnsi="Verdana"/>
          <w:sz w:val="18"/>
          <w:szCs w:val="18"/>
        </w:rPr>
        <w:t xml:space="preserve"> ten opzichte van 20</w:t>
      </w:r>
      <w:r>
        <w:rPr>
          <w:rFonts w:ascii="Verdana" w:hAnsi="Verdana"/>
          <w:sz w:val="18"/>
          <w:szCs w:val="18"/>
        </w:rPr>
        <w:t>11</w:t>
      </w:r>
      <w:r w:rsidRPr="003D5241">
        <w:rPr>
          <w:rFonts w:ascii="Verdana" w:hAnsi="Verdana"/>
          <w:sz w:val="18"/>
          <w:szCs w:val="18"/>
        </w:rPr>
        <w:t xml:space="preserve">. </w:t>
      </w:r>
      <w:r>
        <w:rPr>
          <w:rFonts w:ascii="Verdana" w:hAnsi="Verdana"/>
          <w:sz w:val="18"/>
          <w:szCs w:val="18"/>
        </w:rPr>
        <w:t xml:space="preserve">In lijn daarmee zien we dat het aantal </w:t>
      </w:r>
      <w:r w:rsidRPr="003D5241">
        <w:rPr>
          <w:rFonts w:ascii="Verdana" w:hAnsi="Verdana"/>
          <w:sz w:val="18"/>
          <w:szCs w:val="18"/>
        </w:rPr>
        <w:t>interim-bestuurders in 20</w:t>
      </w:r>
      <w:r>
        <w:rPr>
          <w:rFonts w:ascii="Verdana" w:hAnsi="Verdana"/>
          <w:sz w:val="18"/>
          <w:szCs w:val="18"/>
        </w:rPr>
        <w:t>12 gestegen is ten opzichte van 2011</w:t>
      </w:r>
      <w:r w:rsidRPr="003D5241">
        <w:rPr>
          <w:rFonts w:ascii="Verdana" w:hAnsi="Verdana"/>
          <w:sz w:val="18"/>
          <w:szCs w:val="18"/>
        </w:rPr>
        <w:t xml:space="preserve">, zie de volgende paragraaf. De gemiddelde ontslagvergoeding ligt </w:t>
      </w:r>
      <w:r>
        <w:rPr>
          <w:rFonts w:ascii="Verdana" w:hAnsi="Verdana"/>
          <w:sz w:val="18"/>
          <w:szCs w:val="18"/>
        </w:rPr>
        <w:t>la</w:t>
      </w:r>
      <w:r w:rsidRPr="003D5241">
        <w:rPr>
          <w:rFonts w:ascii="Verdana" w:hAnsi="Verdana"/>
          <w:sz w:val="18"/>
          <w:szCs w:val="18"/>
        </w:rPr>
        <w:t>ger</w:t>
      </w:r>
      <w:r>
        <w:rPr>
          <w:rFonts w:ascii="Verdana" w:hAnsi="Verdana"/>
          <w:sz w:val="18"/>
          <w:szCs w:val="18"/>
        </w:rPr>
        <w:t xml:space="preserve"> dan in het voorgaande jaar</w:t>
      </w:r>
      <w:r w:rsidRPr="003D5241">
        <w:rPr>
          <w:rFonts w:ascii="Verdana" w:hAnsi="Verdana"/>
          <w:sz w:val="18"/>
          <w:szCs w:val="18"/>
        </w:rPr>
        <w:t xml:space="preserve">, maar dat kan aan de samenstelling van de ontslagenen liggen (bv. meer mensen met een </w:t>
      </w:r>
      <w:r>
        <w:rPr>
          <w:rFonts w:ascii="Verdana" w:hAnsi="Verdana"/>
          <w:sz w:val="18"/>
          <w:szCs w:val="18"/>
        </w:rPr>
        <w:t>relatief kort</w:t>
      </w:r>
      <w:r w:rsidRPr="003D5241">
        <w:rPr>
          <w:rFonts w:ascii="Verdana" w:hAnsi="Verdana"/>
          <w:sz w:val="18"/>
          <w:szCs w:val="18"/>
        </w:rPr>
        <w:t xml:space="preserve"> dienstverband dan wel een </w:t>
      </w:r>
      <w:r>
        <w:rPr>
          <w:rFonts w:ascii="Verdana" w:hAnsi="Verdana"/>
          <w:sz w:val="18"/>
          <w:szCs w:val="18"/>
        </w:rPr>
        <w:t>relatief la</w:t>
      </w:r>
      <w:r w:rsidRPr="003D5241">
        <w:rPr>
          <w:rFonts w:ascii="Verdana" w:hAnsi="Verdana"/>
          <w:sz w:val="18"/>
          <w:szCs w:val="18"/>
        </w:rPr>
        <w:t>ger salaris).</w:t>
      </w:r>
      <w:r>
        <w:rPr>
          <w:rFonts w:ascii="Verdana" w:hAnsi="Verdana"/>
          <w:sz w:val="18"/>
          <w:szCs w:val="18"/>
        </w:rPr>
        <w:t xml:space="preserve"> Bij de in jaarve</w:t>
      </w:r>
      <w:r>
        <w:rPr>
          <w:rFonts w:ascii="Verdana" w:hAnsi="Verdana"/>
          <w:sz w:val="18"/>
          <w:szCs w:val="18"/>
        </w:rPr>
        <w:t>r</w:t>
      </w:r>
      <w:r>
        <w:rPr>
          <w:rFonts w:ascii="Verdana" w:hAnsi="Verdana"/>
          <w:sz w:val="18"/>
          <w:szCs w:val="18"/>
        </w:rPr>
        <w:t>slagen verantwoorde ontslagvergoedingen moet worden bedacht dat de uitgekeerde ontslagv</w:t>
      </w:r>
      <w:r>
        <w:rPr>
          <w:rFonts w:ascii="Verdana" w:hAnsi="Verdana"/>
          <w:sz w:val="18"/>
          <w:szCs w:val="18"/>
        </w:rPr>
        <w:t>e</w:t>
      </w:r>
      <w:r>
        <w:rPr>
          <w:rFonts w:ascii="Verdana" w:hAnsi="Verdana"/>
          <w:sz w:val="18"/>
          <w:szCs w:val="18"/>
        </w:rPr>
        <w:t>r</w:t>
      </w:r>
      <w:r>
        <w:rPr>
          <w:rFonts w:ascii="Verdana" w:hAnsi="Verdana"/>
          <w:sz w:val="18"/>
          <w:szCs w:val="18"/>
        </w:rPr>
        <w:t>goedingen lager kunnen uitvallen, met name wanneer er anticumulatiebedingen gelden (betrokk</w:t>
      </w:r>
      <w:r>
        <w:rPr>
          <w:rFonts w:ascii="Verdana" w:hAnsi="Verdana"/>
          <w:sz w:val="18"/>
          <w:szCs w:val="18"/>
        </w:rPr>
        <w:t>e</w:t>
      </w:r>
      <w:r>
        <w:rPr>
          <w:rFonts w:ascii="Verdana" w:hAnsi="Verdana"/>
          <w:sz w:val="18"/>
          <w:szCs w:val="18"/>
        </w:rPr>
        <w:t>ne heeft ander betaald werk gevonden).</w:t>
      </w:r>
    </w:p>
    <w:p w:rsidRPr="003D5241" w:rsidR="003F3457" w:rsidP="003F3457" w:rsidRDefault="00B6102D">
      <w:pPr>
        <w:rPr>
          <w:rFonts w:ascii="Verdana" w:hAnsi="Verdana"/>
          <w:sz w:val="18"/>
          <w:szCs w:val="18"/>
        </w:rPr>
      </w:pPr>
    </w:p>
    <w:p w:rsidRPr="003D5241" w:rsidR="003F3457" w:rsidP="003F3457" w:rsidRDefault="00B6102D">
      <w:pPr>
        <w:autoSpaceDE w:val="0"/>
        <w:autoSpaceDN w:val="0"/>
        <w:adjustRightInd w:val="0"/>
        <w:spacing w:line="240" w:lineRule="auto"/>
        <w:outlineLvl w:val="0"/>
        <w:rPr>
          <w:rFonts w:ascii="Verdana" w:hAnsi="Verdana" w:cs="Arial"/>
          <w:i/>
          <w:color w:val="000000"/>
          <w:sz w:val="18"/>
          <w:szCs w:val="18"/>
        </w:rPr>
      </w:pPr>
      <w:r w:rsidRPr="003D5241">
        <w:rPr>
          <w:rFonts w:ascii="Verdana" w:hAnsi="Verdana" w:cs="Arial"/>
          <w:i/>
          <w:color w:val="000000"/>
          <w:sz w:val="18"/>
          <w:szCs w:val="18"/>
        </w:rPr>
        <w:t>Interim-bestuurders</w:t>
      </w:r>
    </w:p>
    <w:p w:rsidRPr="003D5241" w:rsidR="003F3457" w:rsidP="003F3457" w:rsidRDefault="00B6102D">
      <w:pPr>
        <w:rPr>
          <w:rFonts w:ascii="Verdana" w:hAnsi="Verdana"/>
          <w:sz w:val="18"/>
          <w:szCs w:val="18"/>
        </w:rPr>
      </w:pPr>
      <w:r w:rsidRPr="003D5241">
        <w:rPr>
          <w:rFonts w:ascii="Verdana" w:hAnsi="Verdana"/>
          <w:sz w:val="18"/>
          <w:szCs w:val="18"/>
        </w:rPr>
        <w:t>Naast de 1</w:t>
      </w:r>
      <w:r>
        <w:rPr>
          <w:rFonts w:ascii="Verdana" w:hAnsi="Verdana"/>
          <w:sz w:val="18"/>
          <w:szCs w:val="18"/>
        </w:rPr>
        <w:t>.203</w:t>
      </w:r>
      <w:r w:rsidRPr="003D5241">
        <w:rPr>
          <w:rFonts w:ascii="Verdana" w:hAnsi="Verdana"/>
          <w:sz w:val="18"/>
          <w:szCs w:val="18"/>
        </w:rPr>
        <w:t xml:space="preserve"> bestuurders die in de bovenstaande tabellen zijn geanalyseerd, zijn in 20</w:t>
      </w:r>
      <w:r>
        <w:rPr>
          <w:rFonts w:ascii="Verdana" w:hAnsi="Verdana"/>
          <w:sz w:val="18"/>
          <w:szCs w:val="18"/>
        </w:rPr>
        <w:t>12</w:t>
      </w:r>
      <w:r w:rsidRPr="003D5241">
        <w:rPr>
          <w:rFonts w:ascii="Verdana" w:hAnsi="Verdana"/>
          <w:sz w:val="18"/>
          <w:szCs w:val="18"/>
        </w:rPr>
        <w:t xml:space="preserve"> ook nog </w:t>
      </w:r>
      <w:r>
        <w:rPr>
          <w:rFonts w:ascii="Verdana" w:hAnsi="Verdana"/>
          <w:sz w:val="18"/>
          <w:szCs w:val="18"/>
        </w:rPr>
        <w:t>116</w:t>
      </w:r>
      <w:r w:rsidRPr="003D5241">
        <w:rPr>
          <w:rFonts w:ascii="Verdana" w:hAnsi="Verdana"/>
          <w:sz w:val="18"/>
          <w:szCs w:val="18"/>
        </w:rPr>
        <w:t xml:space="preserve"> bestuurders extern ingehuurd</w:t>
      </w:r>
      <w:r>
        <w:rPr>
          <w:rFonts w:ascii="Verdana" w:hAnsi="Verdana"/>
          <w:sz w:val="18"/>
          <w:szCs w:val="18"/>
        </w:rPr>
        <w:t>. Dit is meer dan in 2011. Toen waren het er 96.</w:t>
      </w:r>
    </w:p>
    <w:p w:rsidR="003F3457" w:rsidP="003F3457" w:rsidRDefault="00B6102D">
      <w:pPr>
        <w:rPr>
          <w:rFonts w:ascii="Verdana" w:hAnsi="Verdana"/>
          <w:sz w:val="18"/>
          <w:szCs w:val="18"/>
        </w:rPr>
      </w:pPr>
      <w:r w:rsidRPr="003D5241">
        <w:rPr>
          <w:rFonts w:ascii="Verdana" w:hAnsi="Verdana"/>
          <w:sz w:val="18"/>
          <w:szCs w:val="18"/>
        </w:rPr>
        <w:t xml:space="preserve">De neiging </w:t>
      </w:r>
      <w:r>
        <w:rPr>
          <w:rFonts w:ascii="Verdana" w:hAnsi="Verdana"/>
          <w:sz w:val="18"/>
          <w:szCs w:val="18"/>
        </w:rPr>
        <w:t xml:space="preserve">kan </w:t>
      </w:r>
      <w:r w:rsidRPr="003D5241">
        <w:rPr>
          <w:rFonts w:ascii="Verdana" w:hAnsi="Verdana"/>
          <w:sz w:val="18"/>
          <w:szCs w:val="18"/>
        </w:rPr>
        <w:t>bestaa</w:t>
      </w:r>
      <w:r>
        <w:rPr>
          <w:rFonts w:ascii="Verdana" w:hAnsi="Verdana"/>
          <w:sz w:val="18"/>
          <w:szCs w:val="18"/>
        </w:rPr>
        <w:t>n</w:t>
      </w:r>
      <w:r w:rsidRPr="003D5241">
        <w:rPr>
          <w:rFonts w:ascii="Verdana" w:hAnsi="Verdana"/>
          <w:sz w:val="18"/>
          <w:szCs w:val="18"/>
        </w:rPr>
        <w:t xml:space="preserve"> om te denken dat </w:t>
      </w:r>
      <w:r>
        <w:rPr>
          <w:rFonts w:ascii="Verdana" w:hAnsi="Verdana"/>
          <w:sz w:val="18"/>
          <w:szCs w:val="18"/>
        </w:rPr>
        <w:t>iedere extern ingehuurde bestuurder een</w:t>
      </w:r>
      <w:r w:rsidRPr="003D5241">
        <w:rPr>
          <w:rFonts w:ascii="Verdana" w:hAnsi="Verdana"/>
          <w:sz w:val="18"/>
          <w:szCs w:val="18"/>
        </w:rPr>
        <w:t xml:space="preserve"> interim-bestuurder </w:t>
      </w:r>
      <w:r>
        <w:rPr>
          <w:rFonts w:ascii="Verdana" w:hAnsi="Verdana"/>
          <w:sz w:val="18"/>
          <w:szCs w:val="18"/>
        </w:rPr>
        <w:t>is. D</w:t>
      </w:r>
      <w:r w:rsidRPr="003D5241">
        <w:rPr>
          <w:rFonts w:ascii="Verdana" w:hAnsi="Verdana"/>
          <w:sz w:val="18"/>
          <w:szCs w:val="18"/>
        </w:rPr>
        <w:t xml:space="preserve">e praktijk laat </w:t>
      </w:r>
      <w:r>
        <w:rPr>
          <w:rFonts w:ascii="Verdana" w:hAnsi="Verdana"/>
          <w:sz w:val="18"/>
          <w:szCs w:val="18"/>
        </w:rPr>
        <w:t xml:space="preserve">evenwel </w:t>
      </w:r>
      <w:r w:rsidRPr="003D5241">
        <w:rPr>
          <w:rFonts w:ascii="Verdana" w:hAnsi="Verdana"/>
          <w:sz w:val="18"/>
          <w:szCs w:val="18"/>
        </w:rPr>
        <w:t xml:space="preserve">zien dat er ook instellingen zijn die </w:t>
      </w:r>
      <w:r>
        <w:rPr>
          <w:rFonts w:ascii="Verdana" w:hAnsi="Verdana"/>
          <w:sz w:val="18"/>
          <w:szCs w:val="18"/>
        </w:rPr>
        <w:t xml:space="preserve">structureel </w:t>
      </w:r>
      <w:r w:rsidRPr="003D5241">
        <w:rPr>
          <w:rFonts w:ascii="Verdana" w:hAnsi="Verdana"/>
          <w:sz w:val="18"/>
          <w:szCs w:val="18"/>
        </w:rPr>
        <w:t>geen b</w:t>
      </w:r>
      <w:r w:rsidRPr="003D5241">
        <w:rPr>
          <w:rFonts w:ascii="Verdana" w:hAnsi="Verdana"/>
          <w:sz w:val="18"/>
          <w:szCs w:val="18"/>
        </w:rPr>
        <w:t>e</w:t>
      </w:r>
      <w:r w:rsidRPr="003D5241">
        <w:rPr>
          <w:rFonts w:ascii="Verdana" w:hAnsi="Verdana"/>
          <w:sz w:val="18"/>
          <w:szCs w:val="18"/>
        </w:rPr>
        <w:t xml:space="preserve">stuurders in loondienst hebben, maar </w:t>
      </w:r>
      <w:r>
        <w:rPr>
          <w:rFonts w:ascii="Verdana" w:hAnsi="Verdana"/>
          <w:sz w:val="18"/>
          <w:szCs w:val="18"/>
        </w:rPr>
        <w:t xml:space="preserve">structureel </w:t>
      </w:r>
      <w:r w:rsidRPr="003D5241">
        <w:rPr>
          <w:rFonts w:ascii="Verdana" w:hAnsi="Verdana"/>
          <w:sz w:val="18"/>
          <w:szCs w:val="18"/>
        </w:rPr>
        <w:t xml:space="preserve">werken met </w:t>
      </w:r>
      <w:r>
        <w:rPr>
          <w:rFonts w:ascii="Verdana" w:hAnsi="Verdana"/>
          <w:sz w:val="18"/>
          <w:szCs w:val="18"/>
        </w:rPr>
        <w:t xml:space="preserve">dezelfde extern ingehuurde </w:t>
      </w:r>
      <w:r w:rsidRPr="003D5241">
        <w:rPr>
          <w:rFonts w:ascii="Verdana" w:hAnsi="Verdana"/>
          <w:sz w:val="18"/>
          <w:szCs w:val="18"/>
        </w:rPr>
        <w:t>bestuu</w:t>
      </w:r>
      <w:r w:rsidRPr="003D5241">
        <w:rPr>
          <w:rFonts w:ascii="Verdana" w:hAnsi="Verdana"/>
          <w:sz w:val="18"/>
          <w:szCs w:val="18"/>
        </w:rPr>
        <w:t>r</w:t>
      </w:r>
      <w:r w:rsidRPr="003D5241">
        <w:rPr>
          <w:rFonts w:ascii="Verdana" w:hAnsi="Verdana"/>
          <w:sz w:val="18"/>
          <w:szCs w:val="18"/>
        </w:rPr>
        <w:t xml:space="preserve">der. </w:t>
      </w:r>
      <w:r>
        <w:rPr>
          <w:rFonts w:ascii="Verdana" w:hAnsi="Verdana"/>
          <w:sz w:val="18"/>
          <w:szCs w:val="18"/>
        </w:rPr>
        <w:t>Vaak gaat het dan om instellingen die werken met een bestuurder die werkt via een manag</w:t>
      </w:r>
      <w:r>
        <w:rPr>
          <w:rFonts w:ascii="Verdana" w:hAnsi="Verdana"/>
          <w:sz w:val="18"/>
          <w:szCs w:val="18"/>
        </w:rPr>
        <w:t>e</w:t>
      </w:r>
      <w:r>
        <w:rPr>
          <w:rFonts w:ascii="Verdana" w:hAnsi="Verdana"/>
          <w:sz w:val="18"/>
          <w:szCs w:val="18"/>
        </w:rPr>
        <w:t xml:space="preserve">ment-bv. </w:t>
      </w:r>
    </w:p>
    <w:p w:rsidR="003F3457" w:rsidP="003F3457" w:rsidRDefault="00B6102D">
      <w:pPr>
        <w:rPr>
          <w:rFonts w:ascii="Verdana" w:hAnsi="Verdana"/>
          <w:sz w:val="18"/>
          <w:szCs w:val="18"/>
        </w:rPr>
      </w:pPr>
      <w:r w:rsidRPr="003D5241">
        <w:rPr>
          <w:rFonts w:ascii="Verdana" w:hAnsi="Verdana"/>
          <w:sz w:val="18"/>
          <w:szCs w:val="18"/>
        </w:rPr>
        <w:t xml:space="preserve">De interim-bestuurder verbleef </w:t>
      </w:r>
      <w:r>
        <w:rPr>
          <w:rFonts w:ascii="Verdana" w:hAnsi="Verdana"/>
          <w:sz w:val="18"/>
          <w:szCs w:val="18"/>
        </w:rPr>
        <w:t xml:space="preserve">in 2012 </w:t>
      </w:r>
      <w:r w:rsidRPr="003D5241">
        <w:rPr>
          <w:rFonts w:ascii="Verdana" w:hAnsi="Verdana"/>
          <w:sz w:val="18"/>
          <w:szCs w:val="18"/>
        </w:rPr>
        <w:t xml:space="preserve">gemiddeld </w:t>
      </w:r>
      <w:r>
        <w:rPr>
          <w:rFonts w:ascii="Verdana" w:hAnsi="Verdana"/>
          <w:sz w:val="18"/>
          <w:szCs w:val="18"/>
        </w:rPr>
        <w:t xml:space="preserve">10 </w:t>
      </w:r>
      <w:r w:rsidRPr="003D5241">
        <w:rPr>
          <w:rFonts w:ascii="Verdana" w:hAnsi="Verdana"/>
          <w:sz w:val="18"/>
          <w:szCs w:val="18"/>
        </w:rPr>
        <w:t xml:space="preserve">maanden </w:t>
      </w:r>
      <w:r>
        <w:rPr>
          <w:rFonts w:ascii="Verdana" w:hAnsi="Verdana"/>
          <w:sz w:val="18"/>
          <w:szCs w:val="18"/>
        </w:rPr>
        <w:t xml:space="preserve">(2011: 9) </w:t>
      </w:r>
      <w:r w:rsidRPr="003D5241">
        <w:rPr>
          <w:rFonts w:ascii="Verdana" w:hAnsi="Verdana"/>
          <w:sz w:val="18"/>
          <w:szCs w:val="18"/>
        </w:rPr>
        <w:t>bij de instelling</w:t>
      </w:r>
      <w:r>
        <w:rPr>
          <w:rFonts w:ascii="Verdana" w:hAnsi="Verdana"/>
          <w:sz w:val="18"/>
          <w:szCs w:val="18"/>
        </w:rPr>
        <w:t>. D</w:t>
      </w:r>
      <w:r w:rsidRPr="003D5241">
        <w:rPr>
          <w:rFonts w:ascii="Verdana" w:hAnsi="Verdana"/>
          <w:sz w:val="18"/>
          <w:szCs w:val="18"/>
        </w:rPr>
        <w:t>at is op zich lang voor een interim</w:t>
      </w:r>
      <w:r>
        <w:rPr>
          <w:rFonts w:ascii="Verdana" w:hAnsi="Verdana"/>
          <w:sz w:val="18"/>
          <w:szCs w:val="18"/>
        </w:rPr>
        <w:t>mer.</w:t>
      </w:r>
    </w:p>
    <w:p w:rsidRPr="003D5241" w:rsidR="003F3457" w:rsidP="003F3457" w:rsidRDefault="00B6102D">
      <w:pPr>
        <w:rPr>
          <w:rFonts w:ascii="Verdana" w:hAnsi="Verdana"/>
          <w:sz w:val="18"/>
          <w:szCs w:val="18"/>
        </w:rPr>
      </w:pPr>
      <w:r w:rsidRPr="003D5241">
        <w:rPr>
          <w:rFonts w:ascii="Verdana" w:hAnsi="Verdana"/>
          <w:sz w:val="18"/>
          <w:szCs w:val="18"/>
        </w:rPr>
        <w:t xml:space="preserve">De gemiddelde vergoeding (dat is dus een ruimer begrip dan ‘de beloning’ omdat daar ook allerlei kostenvergoedingen voor zelf af te sluiten sociale zekerheid en dergelijke, plus </w:t>
      </w:r>
      <w:r w:rsidRPr="003D5241">
        <w:rPr>
          <w:rFonts w:ascii="Verdana" w:hAnsi="Verdana"/>
          <w:sz w:val="18"/>
          <w:szCs w:val="18"/>
        </w:rPr>
        <w:t>overheadkosten van de interimmer in zitten), omgerekend naar jaarbasis bedroeg €</w:t>
      </w:r>
      <w:r>
        <w:rPr>
          <w:rFonts w:ascii="Verdana" w:hAnsi="Verdana"/>
          <w:sz w:val="18"/>
          <w:szCs w:val="18"/>
        </w:rPr>
        <w:t>183</w:t>
      </w:r>
      <w:r w:rsidRPr="003D5241">
        <w:rPr>
          <w:rFonts w:ascii="Verdana" w:hAnsi="Verdana"/>
          <w:sz w:val="18"/>
          <w:szCs w:val="18"/>
        </w:rPr>
        <w:t>.000</w:t>
      </w:r>
      <w:r>
        <w:rPr>
          <w:rFonts w:ascii="Verdana" w:hAnsi="Verdana"/>
          <w:sz w:val="18"/>
          <w:szCs w:val="18"/>
        </w:rPr>
        <w:t xml:space="preserve">, lager dus dan in </w:t>
      </w:r>
      <w:r w:rsidRPr="003D5241">
        <w:rPr>
          <w:rFonts w:ascii="Verdana" w:hAnsi="Verdana"/>
          <w:sz w:val="18"/>
          <w:szCs w:val="18"/>
        </w:rPr>
        <w:t>20</w:t>
      </w:r>
      <w:r>
        <w:rPr>
          <w:rFonts w:ascii="Verdana" w:hAnsi="Verdana"/>
          <w:sz w:val="18"/>
          <w:szCs w:val="18"/>
        </w:rPr>
        <w:t xml:space="preserve">11 toen het gemiddelde op </w:t>
      </w:r>
      <w:r w:rsidRPr="003D5241">
        <w:rPr>
          <w:rFonts w:ascii="Verdana" w:hAnsi="Verdana"/>
          <w:sz w:val="18"/>
          <w:szCs w:val="18"/>
        </w:rPr>
        <w:t>€2</w:t>
      </w:r>
      <w:r>
        <w:rPr>
          <w:rFonts w:ascii="Verdana" w:hAnsi="Verdana"/>
          <w:sz w:val="18"/>
          <w:szCs w:val="18"/>
        </w:rPr>
        <w:t>26</w:t>
      </w:r>
      <w:r w:rsidRPr="003D5241">
        <w:rPr>
          <w:rFonts w:ascii="Verdana" w:hAnsi="Verdana"/>
          <w:sz w:val="18"/>
          <w:szCs w:val="18"/>
        </w:rPr>
        <w:t>.000</w:t>
      </w:r>
      <w:r>
        <w:rPr>
          <w:rFonts w:ascii="Verdana" w:hAnsi="Verdana"/>
          <w:sz w:val="18"/>
          <w:szCs w:val="18"/>
        </w:rPr>
        <w:t xml:space="preserve"> lag.</w:t>
      </w:r>
    </w:p>
    <w:p w:rsidR="003F3457" w:rsidP="003F3457" w:rsidRDefault="00B6102D">
      <w:pPr>
        <w:rPr>
          <w:rFonts w:ascii="Verdana" w:hAnsi="Verdana"/>
          <w:sz w:val="18"/>
          <w:szCs w:val="18"/>
        </w:rPr>
      </w:pPr>
    </w:p>
    <w:p w:rsidR="003F3457" w:rsidP="003F3457" w:rsidRDefault="00B6102D">
      <w:pPr>
        <w:rPr>
          <w:rFonts w:ascii="Verdana" w:hAnsi="Verdana"/>
          <w:sz w:val="18"/>
          <w:szCs w:val="18"/>
        </w:rPr>
      </w:pPr>
      <w:r w:rsidRPr="002444FC">
        <w:rPr>
          <w:rFonts w:ascii="Verdana" w:hAnsi="Verdana"/>
          <w:i/>
          <w:sz w:val="18"/>
          <w:szCs w:val="18"/>
        </w:rPr>
        <w:t>Toezichthouders</w:t>
      </w:r>
    </w:p>
    <w:p w:rsidR="003F3457" w:rsidP="003F3457" w:rsidRDefault="00B6102D">
      <w:pPr>
        <w:rPr>
          <w:rFonts w:ascii="Verdana" w:hAnsi="Verdana"/>
          <w:sz w:val="18"/>
          <w:szCs w:val="18"/>
        </w:rPr>
      </w:pPr>
      <w:r>
        <w:rPr>
          <w:rFonts w:ascii="Verdana" w:hAnsi="Verdana"/>
          <w:sz w:val="18"/>
          <w:szCs w:val="18"/>
        </w:rPr>
        <w:t xml:space="preserve">In deze analyse is de beloning van toezichthouders bij zorginstellingen in de onderstaande </w:t>
      </w:r>
      <w:r>
        <w:rPr>
          <w:rFonts w:ascii="Verdana" w:hAnsi="Verdana"/>
          <w:sz w:val="18"/>
          <w:szCs w:val="18"/>
        </w:rPr>
        <w:t>tabel 6 afgezet tegen de globaal werkende norm (want onafhankelijk van hun werkelijke inzet) van €10.000 voor een lid en €15.000 voor een voorzitter. Dat zijn de bedragen die de NVTZ als max</w:t>
      </w:r>
      <w:r>
        <w:rPr>
          <w:rFonts w:ascii="Verdana" w:hAnsi="Verdana"/>
          <w:sz w:val="18"/>
          <w:szCs w:val="18"/>
        </w:rPr>
        <w:t>i</w:t>
      </w:r>
      <w:r>
        <w:rPr>
          <w:rFonts w:ascii="Verdana" w:hAnsi="Verdana"/>
          <w:sz w:val="18"/>
          <w:szCs w:val="18"/>
        </w:rPr>
        <w:t>mum adviseert bij een normale werkbelasting en exclusief deelname</w:t>
      </w:r>
      <w:r>
        <w:rPr>
          <w:rFonts w:ascii="Verdana" w:hAnsi="Verdana"/>
          <w:sz w:val="18"/>
          <w:szCs w:val="18"/>
        </w:rPr>
        <w:t xml:space="preserve"> aan commissies. Overschri</w:t>
      </w:r>
      <w:r>
        <w:rPr>
          <w:rFonts w:ascii="Verdana" w:hAnsi="Verdana"/>
          <w:sz w:val="18"/>
          <w:szCs w:val="18"/>
        </w:rPr>
        <w:t>j</w:t>
      </w:r>
      <w:r>
        <w:rPr>
          <w:rFonts w:ascii="Verdana" w:hAnsi="Verdana"/>
          <w:sz w:val="18"/>
          <w:szCs w:val="18"/>
        </w:rPr>
        <w:t xml:space="preserve">dingen ten opzichte van dat referentiekader zijn dus niet noodzakelijk meteen in strijd met de NVTZ-regeling omdat er per geval verklarende factoren voor kunnen zijn. </w:t>
      </w:r>
    </w:p>
    <w:p w:rsidR="003F3457" w:rsidP="003F3457" w:rsidRDefault="00B6102D">
      <w:pPr>
        <w:rPr>
          <w:rFonts w:ascii="Verdana" w:hAnsi="Verdana"/>
          <w:sz w:val="18"/>
          <w:szCs w:val="18"/>
        </w:rPr>
      </w:pPr>
    </w:p>
    <w:p w:rsidRPr="003D5241" w:rsidR="003F3457" w:rsidP="003F3457" w:rsidRDefault="00B6102D">
      <w:pPr>
        <w:rPr>
          <w:rFonts w:ascii="Verdana" w:hAnsi="Verdana"/>
          <w:i/>
          <w:sz w:val="16"/>
          <w:szCs w:val="16"/>
        </w:rPr>
      </w:pPr>
      <w:r>
        <w:rPr>
          <w:rFonts w:ascii="Verdana" w:hAnsi="Verdana"/>
          <w:i/>
          <w:sz w:val="16"/>
          <w:szCs w:val="16"/>
        </w:rPr>
        <w:t>Ta</w:t>
      </w:r>
      <w:r w:rsidRPr="003D5241">
        <w:rPr>
          <w:rFonts w:ascii="Verdana" w:hAnsi="Verdana"/>
          <w:i/>
          <w:sz w:val="16"/>
          <w:szCs w:val="16"/>
        </w:rPr>
        <w:t xml:space="preserve">bel </w:t>
      </w:r>
      <w:r>
        <w:rPr>
          <w:rFonts w:ascii="Verdana" w:hAnsi="Verdana"/>
          <w:i/>
          <w:sz w:val="16"/>
          <w:szCs w:val="16"/>
        </w:rPr>
        <w:t>6</w:t>
      </w:r>
      <w:r w:rsidRPr="003D5241">
        <w:rPr>
          <w:rFonts w:ascii="Verdana" w:hAnsi="Verdana"/>
          <w:i/>
          <w:sz w:val="16"/>
          <w:szCs w:val="16"/>
        </w:rPr>
        <w:t xml:space="preserve"> </w:t>
      </w:r>
      <w:r>
        <w:rPr>
          <w:rFonts w:ascii="Verdana" w:hAnsi="Verdana"/>
          <w:i/>
          <w:sz w:val="16"/>
          <w:szCs w:val="16"/>
        </w:rPr>
        <w:t xml:space="preserve">Analyse vergoeding toezichthouders </w:t>
      </w:r>
      <w:r w:rsidRPr="003D5241">
        <w:rPr>
          <w:rFonts w:ascii="Verdana" w:hAnsi="Verdana"/>
          <w:i/>
          <w:sz w:val="16"/>
          <w:szCs w:val="16"/>
        </w:rPr>
        <w:t>20</w:t>
      </w:r>
      <w:r>
        <w:rPr>
          <w:rFonts w:ascii="Verdana" w:hAnsi="Verdana"/>
          <w:i/>
          <w:sz w:val="16"/>
          <w:szCs w:val="16"/>
        </w:rPr>
        <w:t>12</w:t>
      </w:r>
    </w:p>
    <w:tbl>
      <w:tblPr>
        <w:tblStyle w:val="Tabelraster"/>
        <w:tblW w:w="0" w:type="auto"/>
        <w:tblBorders>
          <w:left w:val="nil"/>
          <w:right w:val="nil"/>
          <w:insideH w:val="nil"/>
          <w:insideV w:val="nil"/>
        </w:tblBorders>
        <w:tblLayout w:type="fixed"/>
        <w:tblLook w:val="01E0"/>
      </w:tblPr>
      <w:tblGrid>
        <w:gridCol w:w="3652"/>
        <w:gridCol w:w="1118"/>
        <w:gridCol w:w="1118"/>
        <w:gridCol w:w="1118"/>
        <w:gridCol w:w="1118"/>
        <w:gridCol w:w="1118"/>
      </w:tblGrid>
      <w:tr w:rsidR="0073095E" w:rsidTr="003F3457">
        <w:tc>
          <w:tcPr>
            <w:tcW w:w="3652" w:type="dxa"/>
          </w:tcPr>
          <w:p w:rsidRPr="003D5241" w:rsidR="003F3457" w:rsidP="003F3457" w:rsidRDefault="00B6102D">
            <w:pPr>
              <w:rPr>
                <w:rFonts w:ascii="Verdana" w:hAnsi="Verdana"/>
                <w:sz w:val="16"/>
                <w:szCs w:val="16"/>
              </w:rPr>
            </w:pPr>
          </w:p>
        </w:tc>
        <w:tc>
          <w:tcPr>
            <w:tcW w:w="1118"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Zieke</w:t>
            </w:r>
            <w:r w:rsidRPr="003D5241">
              <w:rPr>
                <w:rFonts w:ascii="Verdana" w:hAnsi="Verdana"/>
                <w:sz w:val="16"/>
                <w:szCs w:val="16"/>
              </w:rPr>
              <w:t>n</w:t>
            </w:r>
            <w:r w:rsidRPr="003D5241">
              <w:rPr>
                <w:rFonts w:ascii="Verdana" w:hAnsi="Verdana"/>
                <w:sz w:val="16"/>
                <w:szCs w:val="16"/>
              </w:rPr>
              <w:t>huiszorg</w:t>
            </w:r>
          </w:p>
        </w:tc>
        <w:tc>
          <w:tcPr>
            <w:tcW w:w="1118"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GGZ</w:t>
            </w:r>
          </w:p>
        </w:tc>
        <w:tc>
          <w:tcPr>
            <w:tcW w:w="1118"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Gehand</w:t>
            </w:r>
            <w:r w:rsidRPr="003D5241">
              <w:rPr>
                <w:rFonts w:ascii="Verdana" w:hAnsi="Verdana"/>
                <w:sz w:val="16"/>
                <w:szCs w:val="16"/>
              </w:rPr>
              <w:t>i</w:t>
            </w:r>
            <w:r w:rsidRPr="003D5241">
              <w:rPr>
                <w:rFonts w:ascii="Verdana" w:hAnsi="Verdana"/>
                <w:sz w:val="16"/>
                <w:szCs w:val="16"/>
              </w:rPr>
              <w:t>captenzorg</w:t>
            </w:r>
          </w:p>
        </w:tc>
        <w:tc>
          <w:tcPr>
            <w:tcW w:w="1118"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VVT</w:t>
            </w:r>
          </w:p>
        </w:tc>
        <w:tc>
          <w:tcPr>
            <w:tcW w:w="1118" w:type="dxa"/>
            <w:tcBorders>
              <w:top w:val="single" w:color="auto" w:sz="4" w:space="0"/>
              <w:bottom w:val="single" w:color="auto" w:sz="4" w:space="0"/>
            </w:tcBorders>
            <w:vAlign w:val="bottom"/>
          </w:tcPr>
          <w:p w:rsidRPr="003D5241" w:rsidR="003F3457" w:rsidP="003F3457" w:rsidRDefault="00B6102D">
            <w:pPr>
              <w:spacing w:line="360" w:lineRule="auto"/>
              <w:jc w:val="center"/>
              <w:rPr>
                <w:rFonts w:ascii="Verdana" w:hAnsi="Verdana"/>
                <w:sz w:val="16"/>
                <w:szCs w:val="16"/>
              </w:rPr>
            </w:pPr>
            <w:r w:rsidRPr="003D5241">
              <w:rPr>
                <w:rFonts w:ascii="Verdana" w:hAnsi="Verdana"/>
                <w:sz w:val="16"/>
                <w:szCs w:val="16"/>
              </w:rPr>
              <w:t>Totaal</w:t>
            </w:r>
          </w:p>
        </w:tc>
      </w:tr>
      <w:tr w:rsidR="0073095E" w:rsidTr="003F3457">
        <w:tc>
          <w:tcPr>
            <w:tcW w:w="3652" w:type="dxa"/>
          </w:tcPr>
          <w:p w:rsidRPr="003D5241" w:rsidR="003F3457" w:rsidP="003F3457" w:rsidRDefault="00B6102D">
            <w:pPr>
              <w:rPr>
                <w:rFonts w:ascii="Verdana" w:hAnsi="Verdana"/>
                <w:sz w:val="16"/>
                <w:szCs w:val="16"/>
              </w:rPr>
            </w:pPr>
            <w:r>
              <w:rPr>
                <w:rFonts w:ascii="Verdana" w:hAnsi="Verdana"/>
                <w:sz w:val="16"/>
                <w:szCs w:val="16"/>
              </w:rPr>
              <w:t>Voorzitters met vergoeding &gt; € 15.000</w:t>
            </w:r>
          </w:p>
        </w:tc>
        <w:tc>
          <w:tcPr>
            <w:tcW w:w="1118" w:type="dxa"/>
            <w:tcBorders>
              <w:top w:val="single" w:color="auto" w:sz="4" w:space="0"/>
            </w:tcBorders>
          </w:tcPr>
          <w:p w:rsidRPr="0027154C" w:rsidR="003F3457" w:rsidP="003F3457" w:rsidRDefault="00B6102D">
            <w:pPr>
              <w:jc w:val="right"/>
              <w:rPr>
                <w:rFonts w:ascii="Verdana" w:hAnsi="Verdana"/>
                <w:sz w:val="16"/>
                <w:szCs w:val="16"/>
              </w:rPr>
            </w:pPr>
            <w:r w:rsidRPr="0027154C">
              <w:rPr>
                <w:rFonts w:ascii="Verdana" w:hAnsi="Verdana"/>
                <w:sz w:val="16"/>
                <w:szCs w:val="16"/>
              </w:rPr>
              <w:t>9,3%</w:t>
            </w:r>
          </w:p>
        </w:tc>
        <w:tc>
          <w:tcPr>
            <w:tcW w:w="1118" w:type="dxa"/>
            <w:tcBorders>
              <w:top w:val="single" w:color="auto" w:sz="4" w:space="0"/>
            </w:tcBorders>
          </w:tcPr>
          <w:p w:rsidRPr="0027154C" w:rsidR="003F3457" w:rsidP="003F3457" w:rsidRDefault="00B6102D">
            <w:pPr>
              <w:jc w:val="right"/>
              <w:rPr>
                <w:rFonts w:ascii="Verdana" w:hAnsi="Verdana"/>
                <w:sz w:val="16"/>
                <w:szCs w:val="16"/>
              </w:rPr>
            </w:pPr>
            <w:r w:rsidRPr="0027154C">
              <w:rPr>
                <w:rFonts w:ascii="Verdana" w:hAnsi="Verdana"/>
                <w:sz w:val="16"/>
                <w:szCs w:val="16"/>
              </w:rPr>
              <w:t>1,8%</w:t>
            </w:r>
          </w:p>
        </w:tc>
        <w:tc>
          <w:tcPr>
            <w:tcW w:w="1118" w:type="dxa"/>
            <w:tcBorders>
              <w:top w:val="single" w:color="auto" w:sz="4" w:space="0"/>
            </w:tcBorders>
          </w:tcPr>
          <w:p w:rsidRPr="0027154C" w:rsidR="003F3457" w:rsidP="003F3457" w:rsidRDefault="00B6102D">
            <w:pPr>
              <w:jc w:val="right"/>
              <w:rPr>
                <w:rFonts w:ascii="Verdana" w:hAnsi="Verdana"/>
                <w:sz w:val="16"/>
                <w:szCs w:val="16"/>
              </w:rPr>
            </w:pPr>
            <w:r w:rsidRPr="0027154C">
              <w:rPr>
                <w:rFonts w:ascii="Verdana" w:hAnsi="Verdana"/>
                <w:sz w:val="16"/>
                <w:szCs w:val="16"/>
              </w:rPr>
              <w:t>2,5%</w:t>
            </w:r>
          </w:p>
        </w:tc>
        <w:tc>
          <w:tcPr>
            <w:tcW w:w="1118" w:type="dxa"/>
            <w:tcBorders>
              <w:top w:val="single" w:color="auto" w:sz="4" w:space="0"/>
            </w:tcBorders>
          </w:tcPr>
          <w:p w:rsidRPr="0027154C" w:rsidR="003F3457" w:rsidP="003F3457" w:rsidRDefault="00B6102D">
            <w:pPr>
              <w:jc w:val="right"/>
              <w:rPr>
                <w:rFonts w:ascii="Verdana" w:hAnsi="Verdana"/>
                <w:sz w:val="16"/>
                <w:szCs w:val="16"/>
              </w:rPr>
            </w:pPr>
            <w:r w:rsidRPr="0027154C">
              <w:rPr>
                <w:rFonts w:ascii="Verdana" w:hAnsi="Verdana"/>
                <w:sz w:val="16"/>
                <w:szCs w:val="16"/>
              </w:rPr>
              <w:t>1,5%</w:t>
            </w:r>
          </w:p>
        </w:tc>
        <w:tc>
          <w:tcPr>
            <w:tcW w:w="1118" w:type="dxa"/>
            <w:tcBorders>
              <w:top w:val="single" w:color="auto" w:sz="4" w:space="0"/>
            </w:tcBorders>
          </w:tcPr>
          <w:p w:rsidRPr="0027154C" w:rsidR="003F3457" w:rsidP="003F3457" w:rsidRDefault="00B6102D">
            <w:pPr>
              <w:jc w:val="right"/>
              <w:rPr>
                <w:rFonts w:ascii="Verdana" w:hAnsi="Verdana"/>
                <w:sz w:val="16"/>
                <w:szCs w:val="16"/>
              </w:rPr>
            </w:pPr>
            <w:r w:rsidRPr="0027154C">
              <w:rPr>
                <w:rFonts w:ascii="Verdana" w:hAnsi="Verdana"/>
                <w:sz w:val="16"/>
                <w:szCs w:val="16"/>
              </w:rPr>
              <w:t>2,8%</w:t>
            </w:r>
          </w:p>
        </w:tc>
      </w:tr>
      <w:tr w:rsidR="0073095E" w:rsidTr="003F3457">
        <w:tc>
          <w:tcPr>
            <w:tcW w:w="3652" w:type="dxa"/>
          </w:tcPr>
          <w:p w:rsidRPr="003D5241" w:rsidR="003F3457" w:rsidP="003F3457" w:rsidRDefault="00B6102D">
            <w:pPr>
              <w:rPr>
                <w:rFonts w:ascii="Verdana" w:hAnsi="Verdana"/>
                <w:sz w:val="16"/>
                <w:szCs w:val="16"/>
              </w:rPr>
            </w:pPr>
            <w:r>
              <w:rPr>
                <w:rFonts w:ascii="Verdana" w:hAnsi="Verdana"/>
                <w:sz w:val="16"/>
                <w:szCs w:val="16"/>
              </w:rPr>
              <w:t>Leden met vergoeding &gt; € 10.000</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21,4%</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5,3%</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7,3%</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3,4%</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7,3%</w:t>
            </w:r>
          </w:p>
        </w:tc>
      </w:tr>
      <w:tr w:rsidR="0073095E" w:rsidTr="003F3457">
        <w:tc>
          <w:tcPr>
            <w:tcW w:w="3652" w:type="dxa"/>
          </w:tcPr>
          <w:p w:rsidRPr="003D5241" w:rsidR="003F3457" w:rsidP="003F3457" w:rsidRDefault="00B6102D">
            <w:pPr>
              <w:rPr>
                <w:rFonts w:ascii="Verdana" w:hAnsi="Verdana"/>
                <w:sz w:val="16"/>
                <w:szCs w:val="16"/>
              </w:rPr>
            </w:pPr>
          </w:p>
        </w:tc>
        <w:tc>
          <w:tcPr>
            <w:tcW w:w="1118" w:type="dxa"/>
          </w:tcPr>
          <w:p w:rsidRPr="0027154C" w:rsidR="003F3457" w:rsidP="003F3457" w:rsidRDefault="00B6102D">
            <w:pPr>
              <w:jc w:val="right"/>
              <w:rPr>
                <w:rFonts w:ascii="Verdana" w:hAnsi="Verdana"/>
                <w:sz w:val="16"/>
                <w:szCs w:val="16"/>
              </w:rPr>
            </w:pPr>
          </w:p>
        </w:tc>
        <w:tc>
          <w:tcPr>
            <w:tcW w:w="1118" w:type="dxa"/>
          </w:tcPr>
          <w:p w:rsidRPr="0027154C" w:rsidR="003F3457" w:rsidP="003F3457" w:rsidRDefault="00B6102D">
            <w:pPr>
              <w:jc w:val="right"/>
              <w:rPr>
                <w:rFonts w:ascii="Verdana" w:hAnsi="Verdana"/>
                <w:sz w:val="16"/>
                <w:szCs w:val="16"/>
              </w:rPr>
            </w:pPr>
          </w:p>
        </w:tc>
        <w:tc>
          <w:tcPr>
            <w:tcW w:w="1118" w:type="dxa"/>
          </w:tcPr>
          <w:p w:rsidRPr="0027154C" w:rsidR="003F3457" w:rsidP="003F3457" w:rsidRDefault="00B6102D">
            <w:pPr>
              <w:jc w:val="right"/>
              <w:rPr>
                <w:rFonts w:ascii="Verdana" w:hAnsi="Verdana"/>
                <w:sz w:val="16"/>
                <w:szCs w:val="16"/>
              </w:rPr>
            </w:pPr>
          </w:p>
        </w:tc>
        <w:tc>
          <w:tcPr>
            <w:tcW w:w="1118" w:type="dxa"/>
          </w:tcPr>
          <w:p w:rsidRPr="0027154C" w:rsidR="003F3457" w:rsidP="003F3457" w:rsidRDefault="00B6102D">
            <w:pPr>
              <w:jc w:val="right"/>
              <w:rPr>
                <w:rFonts w:ascii="Verdana" w:hAnsi="Verdana"/>
                <w:sz w:val="16"/>
                <w:szCs w:val="16"/>
              </w:rPr>
            </w:pPr>
          </w:p>
        </w:tc>
        <w:tc>
          <w:tcPr>
            <w:tcW w:w="1118" w:type="dxa"/>
          </w:tcPr>
          <w:p w:rsidRPr="0027154C" w:rsidR="003F3457" w:rsidP="003F3457" w:rsidRDefault="00B6102D">
            <w:pPr>
              <w:jc w:val="right"/>
              <w:rPr>
                <w:rFonts w:ascii="Verdana" w:hAnsi="Verdana"/>
                <w:sz w:val="16"/>
                <w:szCs w:val="16"/>
              </w:rPr>
            </w:pPr>
          </w:p>
        </w:tc>
      </w:tr>
      <w:tr w:rsidR="0073095E" w:rsidTr="003F3457">
        <w:tc>
          <w:tcPr>
            <w:tcW w:w="3652" w:type="dxa"/>
          </w:tcPr>
          <w:p w:rsidRPr="003D5241" w:rsidR="003F3457" w:rsidP="003F3457" w:rsidRDefault="00B6102D">
            <w:pPr>
              <w:rPr>
                <w:rFonts w:ascii="Verdana" w:hAnsi="Verdana"/>
                <w:sz w:val="16"/>
                <w:szCs w:val="16"/>
              </w:rPr>
            </w:pPr>
            <w:r w:rsidRPr="003D5241">
              <w:rPr>
                <w:rFonts w:ascii="Verdana" w:hAnsi="Verdana"/>
                <w:sz w:val="16"/>
                <w:szCs w:val="16"/>
              </w:rPr>
              <w:t>Totaal</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19,2%</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4,6%</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6,4%</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3,1%</w:t>
            </w:r>
          </w:p>
        </w:tc>
        <w:tc>
          <w:tcPr>
            <w:tcW w:w="1118" w:type="dxa"/>
          </w:tcPr>
          <w:p w:rsidRPr="0027154C" w:rsidR="003F3457" w:rsidP="003F3457" w:rsidRDefault="00B6102D">
            <w:pPr>
              <w:jc w:val="right"/>
              <w:rPr>
                <w:rFonts w:ascii="Verdana" w:hAnsi="Verdana"/>
                <w:sz w:val="16"/>
                <w:szCs w:val="16"/>
              </w:rPr>
            </w:pPr>
            <w:r w:rsidRPr="0027154C">
              <w:rPr>
                <w:rFonts w:ascii="Verdana" w:hAnsi="Verdana"/>
                <w:sz w:val="16"/>
                <w:szCs w:val="16"/>
              </w:rPr>
              <w:t>6,4%</w:t>
            </w:r>
          </w:p>
        </w:tc>
      </w:tr>
    </w:tbl>
    <w:p w:rsidR="003F3457" w:rsidP="003F3457" w:rsidRDefault="00B6102D">
      <w:pPr>
        <w:rPr>
          <w:rFonts w:ascii="Verdana" w:hAnsi="Verdana"/>
          <w:sz w:val="18"/>
          <w:szCs w:val="18"/>
        </w:rPr>
      </w:pPr>
    </w:p>
    <w:p w:rsidR="003F3457" w:rsidP="003F3457" w:rsidRDefault="00B6102D">
      <w:pPr>
        <w:rPr>
          <w:rFonts w:ascii="Verdana" w:hAnsi="Verdana"/>
          <w:i/>
          <w:sz w:val="18"/>
          <w:szCs w:val="18"/>
        </w:rPr>
      </w:pPr>
    </w:p>
    <w:p w:rsidRPr="003D5241" w:rsidR="003F3457" w:rsidP="003F3457" w:rsidRDefault="00B6102D">
      <w:pPr>
        <w:rPr>
          <w:rFonts w:ascii="Verdana" w:hAnsi="Verdana"/>
          <w:sz w:val="18"/>
          <w:szCs w:val="18"/>
        </w:rPr>
      </w:pPr>
    </w:p>
    <w:p w:rsidR="003F3457" w:rsidP="003F3457" w:rsidRDefault="00B6102D">
      <w:pPr>
        <w:rPr>
          <w:rFonts w:ascii="Verdana" w:hAnsi="Verdana"/>
          <w:sz w:val="18"/>
          <w:szCs w:val="18"/>
        </w:rPr>
      </w:pPr>
      <w:r>
        <w:rPr>
          <w:rFonts w:ascii="Verdana" w:hAnsi="Verdana"/>
          <w:sz w:val="18"/>
          <w:szCs w:val="18"/>
        </w:rPr>
        <w:t xml:space="preserve">Hier is sprake van een stijging bij de leden (2012 7,3%, 2011 6,3%) in tegenstelling tot bij de voorzitters (2012 2,8%, 2011 3,9%). Zoals vermeld hoeft dit niet te wijzen op overschrijdingen van het maximale NVTZ-advies omdat bijvoorbeeld werkbelasting en </w:t>
      </w:r>
      <w:r>
        <w:rPr>
          <w:rFonts w:ascii="Verdana" w:hAnsi="Verdana"/>
          <w:sz w:val="18"/>
          <w:szCs w:val="18"/>
        </w:rPr>
        <w:t>deelname aan commissies verklarende factoren kunnen zijn.</w:t>
      </w:r>
    </w:p>
    <w:p w:rsidR="003F3457" w:rsidP="003F3457" w:rsidRDefault="00B6102D">
      <w:pPr>
        <w:rPr>
          <w:rFonts w:ascii="Verdana" w:hAnsi="Verdana"/>
          <w:i/>
          <w:sz w:val="18"/>
          <w:szCs w:val="18"/>
        </w:rPr>
      </w:pPr>
    </w:p>
    <w:sectPr w:rsidR="003F3457" w:rsidSect="003F3457">
      <w:footerReference w:type="even" r:id="rId8"/>
      <w:footerReference w:type="default" r:id="rId9"/>
      <w:footerReference w:type="first" r:id="rId10"/>
      <w:pgSz w:w="11906" w:h="16838" w:code="9"/>
      <w:pgMar w:top="1440" w:right="1440" w:bottom="1440" w:left="1440" w:header="0" w:footer="706" w:gutter="0"/>
      <w:cols w:space="708"/>
      <w:titlePg/>
      <w:docGrid w:linePitch="272"/>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95E" w:rsidRDefault="0073095E" w:rsidP="0073095E">
      <w:pPr>
        <w:spacing w:line="240" w:lineRule="auto"/>
      </w:pPr>
      <w:r>
        <w:separator/>
      </w:r>
    </w:p>
  </w:endnote>
  <w:endnote w:type="continuationSeparator" w:id="0">
    <w:p w:rsidR="0073095E" w:rsidRDefault="0073095E" w:rsidP="007309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80000027" w:usb1="0000004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57" w:rsidRDefault="0073095E" w:rsidP="003F3457">
    <w:pPr>
      <w:pStyle w:val="Voettekst"/>
      <w:framePr w:wrap="around" w:vAnchor="text" w:hAnchor="margin" w:xAlign="center" w:y="1"/>
      <w:rPr>
        <w:rStyle w:val="Paginanummer"/>
      </w:rPr>
    </w:pPr>
    <w:r>
      <w:rPr>
        <w:rStyle w:val="Paginanummer"/>
      </w:rPr>
      <w:fldChar w:fldCharType="begin"/>
    </w:r>
    <w:r w:rsidR="00B6102D">
      <w:rPr>
        <w:rStyle w:val="Paginanummer"/>
      </w:rPr>
      <w:instrText xml:space="preserve">PAGE  </w:instrText>
    </w:r>
    <w:r>
      <w:rPr>
        <w:rStyle w:val="Paginanummer"/>
      </w:rPr>
      <w:fldChar w:fldCharType="separate"/>
    </w:r>
    <w:r w:rsidR="00B6102D">
      <w:rPr>
        <w:rStyle w:val="Paginanummer"/>
        <w:noProof/>
      </w:rPr>
      <w:t>3</w:t>
    </w:r>
    <w:r>
      <w:rPr>
        <w:rStyle w:val="Paginanummer"/>
      </w:rPr>
      <w:fldChar w:fldCharType="end"/>
    </w:r>
  </w:p>
  <w:p w:rsidR="003F3457" w:rsidRDefault="00B6102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57" w:rsidRDefault="0073095E" w:rsidP="003F3457">
    <w:pPr>
      <w:pStyle w:val="Voettekst"/>
      <w:framePr w:wrap="around" w:vAnchor="text" w:hAnchor="margin" w:xAlign="center" w:y="1"/>
      <w:rPr>
        <w:rStyle w:val="Paginanummer"/>
      </w:rPr>
    </w:pPr>
    <w:r>
      <w:rPr>
        <w:rStyle w:val="Paginanummer"/>
      </w:rPr>
      <w:fldChar w:fldCharType="begin"/>
    </w:r>
    <w:r w:rsidR="00B6102D">
      <w:rPr>
        <w:rStyle w:val="Paginanummer"/>
      </w:rPr>
      <w:instrText xml:space="preserve">PAGE  </w:instrText>
    </w:r>
    <w:r>
      <w:rPr>
        <w:rStyle w:val="Paginanummer"/>
      </w:rPr>
      <w:fldChar w:fldCharType="separate"/>
    </w:r>
    <w:r w:rsidR="00B6102D">
      <w:rPr>
        <w:rStyle w:val="Paginanummer"/>
        <w:noProof/>
      </w:rPr>
      <w:t>5</w:t>
    </w:r>
    <w:r>
      <w:rPr>
        <w:rStyle w:val="Paginanummer"/>
      </w:rPr>
      <w:fldChar w:fldCharType="end"/>
    </w:r>
  </w:p>
  <w:p w:rsidR="003F3457" w:rsidRDefault="00B6102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53376"/>
      <w:docPartObj>
        <w:docPartGallery w:val="Page Numbers (Bottom of Page)"/>
        <w:docPartUnique/>
      </w:docPartObj>
    </w:sdtPr>
    <w:sdtContent>
      <w:p w:rsidR="00AC63B6" w:rsidRDefault="0073095E">
        <w:pPr>
          <w:pStyle w:val="Voettekst"/>
          <w:jc w:val="center"/>
        </w:pPr>
        <w:r>
          <w:fldChar w:fldCharType="begin"/>
        </w:r>
        <w:r w:rsidR="00B6102D">
          <w:instrText xml:space="preserve"> PAGE   \* MERGEFORMAT </w:instrText>
        </w:r>
        <w:r>
          <w:fldChar w:fldCharType="separate"/>
        </w:r>
        <w:r w:rsidR="00B6102D">
          <w:rPr>
            <w:noProof/>
          </w:rPr>
          <w:t>1</w:t>
        </w:r>
        <w:r>
          <w:rPr>
            <w:noProof/>
          </w:rPr>
          <w:fldChar w:fldCharType="end"/>
        </w:r>
      </w:p>
    </w:sdtContent>
  </w:sdt>
  <w:p w:rsidR="00AC63B6" w:rsidRDefault="00B6102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95E" w:rsidRDefault="0073095E" w:rsidP="0073095E">
      <w:pPr>
        <w:spacing w:line="240" w:lineRule="auto"/>
      </w:pPr>
      <w:r>
        <w:separator/>
      </w:r>
    </w:p>
  </w:footnote>
  <w:footnote w:type="continuationSeparator" w:id="0">
    <w:p w:rsidR="0073095E" w:rsidRDefault="0073095E" w:rsidP="007309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592E056"/>
    <w:lvl w:ilvl="0">
      <w:start w:val="1"/>
      <w:numFmt w:val="decimal"/>
      <w:lvlText w:val="%1."/>
      <w:lvlJc w:val="left"/>
      <w:pPr>
        <w:tabs>
          <w:tab w:val="num" w:pos="1209"/>
        </w:tabs>
        <w:ind w:left="1209" w:hanging="360"/>
      </w:pPr>
    </w:lvl>
  </w:abstractNum>
  <w:abstractNum w:abstractNumId="2">
    <w:nsid w:val="FFFFFF7E"/>
    <w:multiLevelType w:val="singleLevel"/>
    <w:tmpl w:val="F93AA850"/>
    <w:lvl w:ilvl="0">
      <w:start w:val="1"/>
      <w:numFmt w:val="decimal"/>
      <w:lvlText w:val="%1."/>
      <w:lvlJc w:val="left"/>
      <w:pPr>
        <w:tabs>
          <w:tab w:val="num" w:pos="926"/>
        </w:tabs>
        <w:ind w:left="926" w:hanging="360"/>
      </w:pPr>
    </w:lvl>
  </w:abstractNum>
  <w:abstractNum w:abstractNumId="3">
    <w:nsid w:val="FFFFFF7F"/>
    <w:multiLevelType w:val="singleLevel"/>
    <w:tmpl w:val="BA7A734A"/>
    <w:lvl w:ilvl="0">
      <w:start w:val="1"/>
      <w:numFmt w:val="decimal"/>
      <w:lvlText w:val="%1."/>
      <w:lvlJc w:val="left"/>
      <w:pPr>
        <w:tabs>
          <w:tab w:val="num" w:pos="643"/>
        </w:tabs>
        <w:ind w:left="643" w:hanging="360"/>
      </w:pPr>
    </w:lvl>
  </w:abstractNum>
  <w:abstractNum w:abstractNumId="4">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108C16FC"/>
    <w:lvl w:ilvl="0">
      <w:start w:val="1"/>
      <w:numFmt w:val="decimal"/>
      <w:lvlText w:val="%1."/>
      <w:lvlJc w:val="left"/>
      <w:pPr>
        <w:tabs>
          <w:tab w:val="num" w:pos="360"/>
        </w:tabs>
        <w:ind w:left="360" w:hanging="360"/>
      </w:pPr>
    </w:lvl>
  </w:abstractNum>
  <w:abstractNum w:abstractNumId="9">
    <w:nsid w:val="FFFFFF89"/>
    <w:multiLevelType w:val="singleLevel"/>
    <w:tmpl w:val="A2FADFDE"/>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18E40C6B"/>
    <w:multiLevelType w:val="singleLevel"/>
    <w:tmpl w:val="0413000F"/>
    <w:lvl w:ilvl="0">
      <w:start w:val="1"/>
      <w:numFmt w:val="decimal"/>
      <w:lvlText w:val="%1."/>
      <w:lvlJc w:val="left"/>
      <w:pPr>
        <w:tabs>
          <w:tab w:val="num" w:pos="720"/>
        </w:tabs>
        <w:ind w:left="720" w:hanging="360"/>
      </w:pPr>
    </w:lvl>
  </w:abstractNum>
  <w:abstractNum w:abstractNumId="12">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4">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nsid w:val="616356C0"/>
    <w:multiLevelType w:val="hybridMultilevel"/>
    <w:tmpl w:val="69288F6C"/>
    <w:lvl w:ilvl="0" w:tplc="B6545880">
      <w:numFmt w:val="bullet"/>
      <w:lvlText w:val="-"/>
      <w:lvlJc w:val="left"/>
      <w:pPr>
        <w:tabs>
          <w:tab w:val="num" w:pos="720"/>
        </w:tabs>
        <w:ind w:left="720" w:hanging="360"/>
      </w:pPr>
      <w:rPr>
        <w:rFonts w:ascii="Univers" w:eastAsia="Times New Roman" w:hAnsi="Univers" w:cs="Times New Roman" w:hint="default"/>
      </w:rPr>
    </w:lvl>
    <w:lvl w:ilvl="1" w:tplc="BEC03DC0">
      <w:start w:val="1"/>
      <w:numFmt w:val="decimal"/>
      <w:lvlText w:val="%2."/>
      <w:lvlJc w:val="left"/>
      <w:pPr>
        <w:tabs>
          <w:tab w:val="num" w:pos="720"/>
        </w:tabs>
        <w:ind w:left="720" w:hanging="360"/>
      </w:pPr>
      <w:rPr>
        <w:rFonts w:hint="default"/>
      </w:rPr>
    </w:lvl>
    <w:lvl w:ilvl="2" w:tplc="5B6A488C" w:tentative="1">
      <w:start w:val="1"/>
      <w:numFmt w:val="bullet"/>
      <w:lvlText w:val=""/>
      <w:lvlJc w:val="left"/>
      <w:pPr>
        <w:tabs>
          <w:tab w:val="num" w:pos="2160"/>
        </w:tabs>
        <w:ind w:left="2160" w:hanging="360"/>
      </w:pPr>
      <w:rPr>
        <w:rFonts w:ascii="Wingdings" w:hAnsi="Wingdings" w:hint="default"/>
      </w:rPr>
    </w:lvl>
    <w:lvl w:ilvl="3" w:tplc="774E786E" w:tentative="1">
      <w:start w:val="1"/>
      <w:numFmt w:val="bullet"/>
      <w:lvlText w:val=""/>
      <w:lvlJc w:val="left"/>
      <w:pPr>
        <w:tabs>
          <w:tab w:val="num" w:pos="2880"/>
        </w:tabs>
        <w:ind w:left="2880" w:hanging="360"/>
      </w:pPr>
      <w:rPr>
        <w:rFonts w:ascii="Symbol" w:hAnsi="Symbol" w:hint="default"/>
      </w:rPr>
    </w:lvl>
    <w:lvl w:ilvl="4" w:tplc="71949874" w:tentative="1">
      <w:start w:val="1"/>
      <w:numFmt w:val="bullet"/>
      <w:lvlText w:val="o"/>
      <w:lvlJc w:val="left"/>
      <w:pPr>
        <w:tabs>
          <w:tab w:val="num" w:pos="3600"/>
        </w:tabs>
        <w:ind w:left="3600" w:hanging="360"/>
      </w:pPr>
      <w:rPr>
        <w:rFonts w:ascii="Courier New" w:hAnsi="Courier New" w:cs="Courier New" w:hint="default"/>
      </w:rPr>
    </w:lvl>
    <w:lvl w:ilvl="5" w:tplc="1DF48900" w:tentative="1">
      <w:start w:val="1"/>
      <w:numFmt w:val="bullet"/>
      <w:lvlText w:val=""/>
      <w:lvlJc w:val="left"/>
      <w:pPr>
        <w:tabs>
          <w:tab w:val="num" w:pos="4320"/>
        </w:tabs>
        <w:ind w:left="4320" w:hanging="360"/>
      </w:pPr>
      <w:rPr>
        <w:rFonts w:ascii="Wingdings" w:hAnsi="Wingdings" w:hint="default"/>
      </w:rPr>
    </w:lvl>
    <w:lvl w:ilvl="6" w:tplc="45DA0E0A" w:tentative="1">
      <w:start w:val="1"/>
      <w:numFmt w:val="bullet"/>
      <w:lvlText w:val=""/>
      <w:lvlJc w:val="left"/>
      <w:pPr>
        <w:tabs>
          <w:tab w:val="num" w:pos="5040"/>
        </w:tabs>
        <w:ind w:left="5040" w:hanging="360"/>
      </w:pPr>
      <w:rPr>
        <w:rFonts w:ascii="Symbol" w:hAnsi="Symbol" w:hint="default"/>
      </w:rPr>
    </w:lvl>
    <w:lvl w:ilvl="7" w:tplc="F5323570" w:tentative="1">
      <w:start w:val="1"/>
      <w:numFmt w:val="bullet"/>
      <w:lvlText w:val="o"/>
      <w:lvlJc w:val="left"/>
      <w:pPr>
        <w:tabs>
          <w:tab w:val="num" w:pos="5760"/>
        </w:tabs>
        <w:ind w:left="5760" w:hanging="360"/>
      </w:pPr>
      <w:rPr>
        <w:rFonts w:ascii="Courier New" w:hAnsi="Courier New" w:cs="Courier New" w:hint="default"/>
      </w:rPr>
    </w:lvl>
    <w:lvl w:ilvl="8" w:tplc="65F26A5A" w:tentative="1">
      <w:start w:val="1"/>
      <w:numFmt w:val="bullet"/>
      <w:lvlText w:val=""/>
      <w:lvlJc w:val="left"/>
      <w:pPr>
        <w:tabs>
          <w:tab w:val="num" w:pos="6480"/>
        </w:tabs>
        <w:ind w:left="6480" w:hanging="360"/>
      </w:pPr>
      <w:rPr>
        <w:rFonts w:ascii="Wingdings" w:hAnsi="Wingdings" w:hint="default"/>
      </w:rPr>
    </w:lvl>
  </w:abstractNum>
  <w:abstractNum w:abstractNumId="16">
    <w:nsid w:val="67E87A0B"/>
    <w:multiLevelType w:val="singleLevel"/>
    <w:tmpl w:val="0413000F"/>
    <w:lvl w:ilvl="0">
      <w:start w:val="1"/>
      <w:numFmt w:val="decimal"/>
      <w:lvlText w:val="%1."/>
      <w:lvlJc w:val="left"/>
      <w:pPr>
        <w:tabs>
          <w:tab w:val="num" w:pos="720"/>
        </w:tabs>
        <w:ind w:left="720" w:hanging="360"/>
      </w:pPr>
    </w:lvl>
  </w:abstractNum>
  <w:abstractNum w:abstractNumId="17">
    <w:nsid w:val="6BF90A98"/>
    <w:multiLevelType w:val="hybridMultilevel"/>
    <w:tmpl w:val="322AF376"/>
    <w:lvl w:ilvl="0" w:tplc="CB983D3A">
      <w:start w:val="1"/>
      <w:numFmt w:val="decimal"/>
      <w:lvlText w:val="%1."/>
      <w:lvlJc w:val="left"/>
      <w:pPr>
        <w:ind w:left="1065" w:hanging="705"/>
      </w:pPr>
      <w:rPr>
        <w:rFonts w:hint="default"/>
      </w:rPr>
    </w:lvl>
    <w:lvl w:ilvl="1" w:tplc="2ED86758" w:tentative="1">
      <w:start w:val="1"/>
      <w:numFmt w:val="lowerLetter"/>
      <w:lvlText w:val="%2."/>
      <w:lvlJc w:val="left"/>
      <w:pPr>
        <w:ind w:left="1440" w:hanging="360"/>
      </w:pPr>
    </w:lvl>
    <w:lvl w:ilvl="2" w:tplc="2DBCF9BA" w:tentative="1">
      <w:start w:val="1"/>
      <w:numFmt w:val="lowerRoman"/>
      <w:lvlText w:val="%3."/>
      <w:lvlJc w:val="right"/>
      <w:pPr>
        <w:ind w:left="2160" w:hanging="180"/>
      </w:pPr>
    </w:lvl>
    <w:lvl w:ilvl="3" w:tplc="F864995E" w:tentative="1">
      <w:start w:val="1"/>
      <w:numFmt w:val="decimal"/>
      <w:lvlText w:val="%4."/>
      <w:lvlJc w:val="left"/>
      <w:pPr>
        <w:ind w:left="2880" w:hanging="360"/>
      </w:pPr>
    </w:lvl>
    <w:lvl w:ilvl="4" w:tplc="2AD489EC" w:tentative="1">
      <w:start w:val="1"/>
      <w:numFmt w:val="lowerLetter"/>
      <w:lvlText w:val="%5."/>
      <w:lvlJc w:val="left"/>
      <w:pPr>
        <w:ind w:left="3600" w:hanging="360"/>
      </w:pPr>
    </w:lvl>
    <w:lvl w:ilvl="5" w:tplc="C8ECAB90" w:tentative="1">
      <w:start w:val="1"/>
      <w:numFmt w:val="lowerRoman"/>
      <w:lvlText w:val="%6."/>
      <w:lvlJc w:val="right"/>
      <w:pPr>
        <w:ind w:left="4320" w:hanging="180"/>
      </w:pPr>
    </w:lvl>
    <w:lvl w:ilvl="6" w:tplc="35B84842" w:tentative="1">
      <w:start w:val="1"/>
      <w:numFmt w:val="decimal"/>
      <w:lvlText w:val="%7."/>
      <w:lvlJc w:val="left"/>
      <w:pPr>
        <w:ind w:left="5040" w:hanging="360"/>
      </w:pPr>
    </w:lvl>
    <w:lvl w:ilvl="7" w:tplc="8842B1AC" w:tentative="1">
      <w:start w:val="1"/>
      <w:numFmt w:val="lowerLetter"/>
      <w:lvlText w:val="%8."/>
      <w:lvlJc w:val="left"/>
      <w:pPr>
        <w:ind w:left="5760" w:hanging="360"/>
      </w:pPr>
    </w:lvl>
    <w:lvl w:ilvl="8" w:tplc="A3D21AAC" w:tentative="1">
      <w:start w:val="1"/>
      <w:numFmt w:val="lowerRoman"/>
      <w:lvlText w:val="%9."/>
      <w:lvlJc w:val="right"/>
      <w:pPr>
        <w:ind w:left="6480" w:hanging="180"/>
      </w:pPr>
    </w:lvl>
  </w:abstractNum>
  <w:abstractNum w:abstractNumId="18">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nsid w:val="7F67664D"/>
    <w:multiLevelType w:val="multilevel"/>
    <w:tmpl w:val="0D4C97F6"/>
    <w:lvl w:ilvl="0">
      <w:start w:val="1"/>
      <w:numFmt w:val="decimal"/>
      <w:pStyle w:val="Lijstnummering"/>
      <w:lvlText w:val="%1"/>
      <w:lvlJc w:val="left"/>
      <w:pPr>
        <w:tabs>
          <w:tab w:val="num" w:pos="2628"/>
        </w:tabs>
        <w:ind w:left="2628" w:hanging="360"/>
      </w:pPr>
    </w:lvl>
    <w:lvl w:ilvl="1">
      <w:start w:val="1"/>
      <w:numFmt w:val="decimal"/>
      <w:pStyle w:val="Lijstnummering2"/>
      <w:lvlText w:val="%1.%2"/>
      <w:lvlJc w:val="left"/>
      <w:pPr>
        <w:tabs>
          <w:tab w:val="num" w:pos="3060"/>
        </w:tabs>
        <w:ind w:left="3060" w:hanging="432"/>
      </w:pPr>
    </w:lvl>
    <w:lvl w:ilvl="2">
      <w:start w:val="1"/>
      <w:numFmt w:val="decimal"/>
      <w:pStyle w:val="Lijstnummering3"/>
      <w:lvlText w:val="%1.%2.%3"/>
      <w:lvlJc w:val="left"/>
      <w:pPr>
        <w:tabs>
          <w:tab w:val="num" w:pos="3708"/>
        </w:tabs>
        <w:ind w:left="3492" w:hanging="504"/>
      </w:pPr>
    </w:lvl>
    <w:lvl w:ilvl="3">
      <w:start w:val="1"/>
      <w:numFmt w:val="lowerLetter"/>
      <w:pStyle w:val="Lijstnummering4"/>
      <w:lvlText w:val="%1.%2.%3.%4"/>
      <w:lvlJc w:val="left"/>
      <w:pPr>
        <w:tabs>
          <w:tab w:val="num" w:pos="4428"/>
        </w:tabs>
        <w:ind w:left="3996" w:hanging="648"/>
      </w:pPr>
    </w:lvl>
    <w:lvl w:ilvl="4">
      <w:start w:val="1"/>
      <w:numFmt w:val="lowerLetter"/>
      <w:lvlText w:val="%1.%2.%3.%4.%5"/>
      <w:lvlJc w:val="left"/>
      <w:pPr>
        <w:tabs>
          <w:tab w:val="num" w:pos="5148"/>
        </w:tabs>
        <w:ind w:left="4500" w:hanging="792"/>
      </w:pPr>
    </w:lvl>
    <w:lvl w:ilvl="5">
      <w:start w:val="1"/>
      <w:numFmt w:val="decimal"/>
      <w:lvlText w:val="%1.%2.%3.%4.%5.%6."/>
      <w:lvlJc w:val="left"/>
      <w:pPr>
        <w:tabs>
          <w:tab w:val="num" w:pos="5508"/>
        </w:tabs>
        <w:ind w:left="5004" w:hanging="936"/>
      </w:pPr>
    </w:lvl>
    <w:lvl w:ilvl="6">
      <w:start w:val="1"/>
      <w:numFmt w:val="decimal"/>
      <w:lvlText w:val="%1.%2.%3.%4.%5.%6.%7."/>
      <w:lvlJc w:val="left"/>
      <w:pPr>
        <w:tabs>
          <w:tab w:val="num" w:pos="8028"/>
        </w:tabs>
        <w:ind w:left="5508" w:hanging="1080"/>
      </w:pPr>
    </w:lvl>
    <w:lvl w:ilvl="7">
      <w:start w:val="1"/>
      <w:numFmt w:val="decimal"/>
      <w:lvlText w:val="%1.%2.%3.%4.%5.%6.%7.%8."/>
      <w:lvlJc w:val="left"/>
      <w:pPr>
        <w:tabs>
          <w:tab w:val="num" w:pos="8748"/>
        </w:tabs>
        <w:ind w:left="6012" w:hanging="1224"/>
      </w:pPr>
    </w:lvl>
    <w:lvl w:ilvl="8">
      <w:start w:val="1"/>
      <w:numFmt w:val="decimal"/>
      <w:lvlText w:val="%1.%2.%3.%4.%5.%6.%7.%8.%9."/>
      <w:lvlJc w:val="left"/>
      <w:pPr>
        <w:tabs>
          <w:tab w:val="num" w:pos="9828"/>
        </w:tabs>
        <w:ind w:left="6588" w:hanging="1440"/>
      </w:pPr>
    </w:lvl>
  </w:abstractNum>
  <w:num w:numId="1">
    <w:abstractNumId w:val="9"/>
  </w:num>
  <w:num w:numId="2">
    <w:abstractNumId w:val="1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0"/>
  </w:num>
  <w:num w:numId="15">
    <w:abstractNumId w:val="18"/>
  </w:num>
  <w:num w:numId="16">
    <w:abstractNumId w:val="18"/>
  </w:num>
  <w:num w:numId="17">
    <w:abstractNumId w:val="18"/>
  </w:num>
  <w:num w:numId="18">
    <w:abstractNumId w:val="12"/>
  </w:num>
  <w:num w:numId="19">
    <w:abstractNumId w:val="12"/>
  </w:num>
  <w:num w:numId="20">
    <w:abstractNumId w:val="12"/>
  </w:num>
  <w:num w:numId="21">
    <w:abstractNumId w:val="13"/>
  </w:num>
  <w:num w:numId="22">
    <w:abstractNumId w:val="7"/>
  </w:num>
  <w:num w:numId="23">
    <w:abstractNumId w:val="6"/>
  </w:num>
  <w:num w:numId="24">
    <w:abstractNumId w:val="10"/>
  </w:num>
  <w:num w:numId="25">
    <w:abstractNumId w:val="13"/>
  </w:num>
  <w:num w:numId="26">
    <w:abstractNumId w:val="7"/>
  </w:num>
  <w:num w:numId="27">
    <w:abstractNumId w:val="6"/>
  </w:num>
  <w:num w:numId="28">
    <w:abstractNumId w:val="19"/>
  </w:num>
  <w:num w:numId="29">
    <w:abstractNumId w:val="19"/>
  </w:num>
  <w:num w:numId="30">
    <w:abstractNumId w:val="19"/>
  </w:num>
  <w:num w:numId="31">
    <w:abstractNumId w:val="19"/>
  </w:num>
  <w:num w:numId="32">
    <w:abstractNumId w:val="15"/>
  </w:num>
  <w:num w:numId="33">
    <w:abstractNumId w:val="11"/>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stylePaneFormatFilter w:val="3F01"/>
  <w:doNotTrackMoves/>
  <w:documentProtection w:edit="readOnly" w:enforcement="1" w:cryptProviderType="rsaFull" w:cryptAlgorithmClass="hash" w:cryptAlgorithmType="typeAny" w:cryptAlgorithmSid="4" w:cryptSpinCount="50000" w:hash="iIMI9pcDi7dA9WJdSAjYMcrUgto=" w:salt="hIqOl99kIr/+N0hyovEq7Q=="/>
  <w:defaultTabStop w:val="709"/>
  <w:autoHyphenation/>
  <w:hyphenationZone w:val="51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3095E"/>
    <w:rsid w:val="0073095E"/>
    <w:rsid w:val="00B6102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41DD"/>
    <w:pPr>
      <w:spacing w:line="260" w:lineRule="atLeast"/>
    </w:pPr>
    <w:rPr>
      <w:rFonts w:ascii="Univers" w:hAnsi="Univers"/>
    </w:rPr>
  </w:style>
  <w:style w:type="paragraph" w:styleId="Kop1">
    <w:name w:val="heading 1"/>
    <w:basedOn w:val="Standaard"/>
    <w:next w:val="Standaard"/>
    <w:qFormat/>
    <w:rsid w:val="006641DD"/>
    <w:pPr>
      <w:keepNext/>
      <w:pageBreakBefore/>
      <w:spacing w:after="500" w:line="240" w:lineRule="auto"/>
      <w:outlineLvl w:val="0"/>
    </w:pPr>
    <w:rPr>
      <w:rFonts w:ascii="Univers 45 Light" w:hAnsi="Univers 45 Light"/>
      <w:b/>
      <w:kern w:val="28"/>
      <w:sz w:val="28"/>
    </w:rPr>
  </w:style>
  <w:style w:type="paragraph" w:styleId="Kop2">
    <w:name w:val="heading 2"/>
    <w:basedOn w:val="Standaard"/>
    <w:next w:val="Standaard"/>
    <w:qFormat/>
    <w:rsid w:val="006641DD"/>
    <w:pPr>
      <w:keepNext/>
      <w:spacing w:before="260" w:after="260"/>
      <w:outlineLvl w:val="1"/>
    </w:pPr>
    <w:rPr>
      <w:rFonts w:ascii="Univers 45 Light" w:hAnsi="Univers 45 Light"/>
      <w:b/>
    </w:rPr>
  </w:style>
  <w:style w:type="paragraph" w:styleId="Kop3">
    <w:name w:val="heading 3"/>
    <w:basedOn w:val="Kop2"/>
    <w:next w:val="Standaard"/>
    <w:qFormat/>
    <w:rsid w:val="006641DD"/>
    <w:pPr>
      <w:spacing w:after="0"/>
      <w:outlineLvl w:val="2"/>
    </w:pPr>
  </w:style>
  <w:style w:type="paragraph" w:styleId="Kop4">
    <w:name w:val="heading 4"/>
    <w:basedOn w:val="Standaard"/>
    <w:next w:val="Standaard"/>
    <w:qFormat/>
    <w:rsid w:val="006641DD"/>
    <w:pPr>
      <w:keepNext/>
      <w:spacing w:before="260"/>
      <w:outlineLvl w:val="3"/>
    </w:pPr>
    <w:rPr>
      <w:i/>
    </w:rPr>
  </w:style>
  <w:style w:type="paragraph" w:styleId="Kop5">
    <w:name w:val="heading 5"/>
    <w:basedOn w:val="Kop4"/>
    <w:next w:val="Standaard"/>
    <w:qFormat/>
    <w:rsid w:val="006641DD"/>
    <w:pPr>
      <w:spacing w:line="260" w:lineRule="exact"/>
      <w:outlineLvl w:val="4"/>
    </w:pPr>
  </w:style>
  <w:style w:type="paragraph" w:styleId="Kop6">
    <w:name w:val="heading 6"/>
    <w:basedOn w:val="Kop4"/>
    <w:next w:val="Standaard"/>
    <w:qFormat/>
    <w:rsid w:val="006641DD"/>
    <w:pPr>
      <w:outlineLvl w:val="5"/>
    </w:pPr>
  </w:style>
  <w:style w:type="paragraph" w:styleId="Kop7">
    <w:name w:val="heading 7"/>
    <w:basedOn w:val="Kop4"/>
    <w:next w:val="Standaard"/>
    <w:qFormat/>
    <w:rsid w:val="006641DD"/>
    <w:pPr>
      <w:outlineLvl w:val="6"/>
    </w:pPr>
  </w:style>
  <w:style w:type="paragraph" w:styleId="Kop8">
    <w:name w:val="heading 8"/>
    <w:basedOn w:val="Kop4"/>
    <w:next w:val="Standaard"/>
    <w:qFormat/>
    <w:rsid w:val="006641DD"/>
    <w:pPr>
      <w:outlineLvl w:val="7"/>
    </w:pPr>
  </w:style>
  <w:style w:type="paragraph" w:styleId="Kop9">
    <w:name w:val="heading 9"/>
    <w:basedOn w:val="Kop4"/>
    <w:next w:val="Standaard"/>
    <w:qFormat/>
    <w:rsid w:val="006641DD"/>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641DD"/>
    <w:pPr>
      <w:tabs>
        <w:tab w:val="center" w:pos="4536"/>
        <w:tab w:val="right" w:pos="9072"/>
      </w:tabs>
      <w:spacing w:line="240" w:lineRule="auto"/>
    </w:pPr>
  </w:style>
  <w:style w:type="paragraph" w:customStyle="1" w:styleId="Ondertekening">
    <w:name w:val="Ondertekening"/>
    <w:basedOn w:val="Standaard"/>
    <w:next w:val="Standaard"/>
    <w:rsid w:val="006641DD"/>
    <w:pPr>
      <w:spacing w:before="810" w:line="240" w:lineRule="auto"/>
    </w:pPr>
  </w:style>
  <w:style w:type="paragraph" w:styleId="Voettekst">
    <w:name w:val="footer"/>
    <w:basedOn w:val="Standaard"/>
    <w:link w:val="VoettekstChar"/>
    <w:uiPriority w:val="99"/>
    <w:rsid w:val="006641DD"/>
    <w:pPr>
      <w:tabs>
        <w:tab w:val="center" w:pos="4536"/>
        <w:tab w:val="right" w:pos="9072"/>
      </w:tabs>
      <w:spacing w:line="240" w:lineRule="auto"/>
    </w:pPr>
  </w:style>
  <w:style w:type="character" w:styleId="Paginanummer">
    <w:name w:val="page number"/>
    <w:basedOn w:val="Standaardalinea-lettertype"/>
    <w:rsid w:val="006641DD"/>
  </w:style>
  <w:style w:type="paragraph" w:styleId="Lijstopsomteken">
    <w:name w:val="List Bullet"/>
    <w:basedOn w:val="Standaard"/>
    <w:rsid w:val="006641DD"/>
    <w:pPr>
      <w:numPr>
        <w:numId w:val="25"/>
      </w:numPr>
      <w:tabs>
        <w:tab w:val="clear" w:pos="360"/>
        <w:tab w:val="left" w:pos="567"/>
      </w:tabs>
      <w:spacing w:line="240" w:lineRule="auto"/>
      <w:ind w:left="567" w:hanging="567"/>
    </w:pPr>
  </w:style>
  <w:style w:type="paragraph" w:styleId="Aanhef">
    <w:name w:val="Salutation"/>
    <w:basedOn w:val="Standaard"/>
    <w:next w:val="Standaard"/>
    <w:rsid w:val="006641DD"/>
    <w:pPr>
      <w:spacing w:line="240" w:lineRule="auto"/>
    </w:pPr>
  </w:style>
  <w:style w:type="paragraph" w:styleId="Adresenvelop">
    <w:name w:val="envelope address"/>
    <w:basedOn w:val="Standaard"/>
    <w:rsid w:val="006641DD"/>
    <w:pPr>
      <w:framePr w:w="7920" w:h="1980" w:hRule="exact" w:hSpace="141" w:wrap="auto" w:hAnchor="page" w:xAlign="center" w:yAlign="bottom"/>
      <w:spacing w:line="240" w:lineRule="auto"/>
      <w:ind w:left="2880"/>
    </w:pPr>
    <w:rPr>
      <w:rFonts w:ascii="Arial" w:hAnsi="Arial"/>
      <w:sz w:val="24"/>
    </w:rPr>
  </w:style>
  <w:style w:type="paragraph" w:styleId="Afsluiting">
    <w:name w:val="Closing"/>
    <w:basedOn w:val="Standaard"/>
    <w:rsid w:val="006641DD"/>
    <w:pPr>
      <w:spacing w:line="240" w:lineRule="auto"/>
      <w:ind w:left="4252"/>
    </w:pPr>
  </w:style>
  <w:style w:type="paragraph" w:styleId="Afzender">
    <w:name w:val="envelope return"/>
    <w:basedOn w:val="Standaard"/>
    <w:rsid w:val="006641DD"/>
    <w:pPr>
      <w:spacing w:line="240" w:lineRule="auto"/>
    </w:pPr>
    <w:rPr>
      <w:rFonts w:ascii="Arial" w:hAnsi="Arial"/>
    </w:rPr>
  </w:style>
  <w:style w:type="paragraph" w:styleId="Berichtkop">
    <w:name w:val="Message Header"/>
    <w:basedOn w:val="Standaard"/>
    <w:rsid w:val="006641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Bijschrift">
    <w:name w:val="caption"/>
    <w:basedOn w:val="Standaard"/>
    <w:next w:val="Standaard"/>
    <w:qFormat/>
    <w:rsid w:val="006641DD"/>
    <w:pPr>
      <w:spacing w:before="120" w:after="120" w:line="240" w:lineRule="auto"/>
    </w:pPr>
    <w:rPr>
      <w:b/>
    </w:rPr>
  </w:style>
  <w:style w:type="paragraph" w:styleId="Bloktekst">
    <w:name w:val="Block Text"/>
    <w:basedOn w:val="Standaard"/>
    <w:rsid w:val="006641DD"/>
    <w:pPr>
      <w:spacing w:after="120" w:line="240" w:lineRule="auto"/>
      <w:ind w:left="1440" w:right="1440"/>
    </w:pPr>
  </w:style>
  <w:style w:type="paragraph" w:styleId="Bronvermelding">
    <w:name w:val="table of authorities"/>
    <w:basedOn w:val="Standaard"/>
    <w:next w:val="Standaard"/>
    <w:semiHidden/>
    <w:rsid w:val="006641DD"/>
    <w:pPr>
      <w:spacing w:line="240" w:lineRule="auto"/>
      <w:ind w:left="220" w:hanging="220"/>
    </w:pPr>
  </w:style>
  <w:style w:type="paragraph" w:styleId="Datum">
    <w:name w:val="Date"/>
    <w:basedOn w:val="Standaard"/>
    <w:next w:val="Standaard"/>
    <w:rsid w:val="006641DD"/>
    <w:pPr>
      <w:spacing w:line="240" w:lineRule="auto"/>
    </w:pPr>
  </w:style>
  <w:style w:type="paragraph" w:styleId="Documentstructuur">
    <w:name w:val="Document Map"/>
    <w:basedOn w:val="Standaard"/>
    <w:semiHidden/>
    <w:rsid w:val="006641DD"/>
    <w:pPr>
      <w:shd w:val="clear" w:color="auto" w:fill="000080"/>
      <w:spacing w:line="240" w:lineRule="auto"/>
    </w:pPr>
    <w:rPr>
      <w:rFonts w:ascii="Tahoma" w:hAnsi="Tahoma"/>
    </w:rPr>
  </w:style>
  <w:style w:type="paragraph" w:styleId="Eindnoottekst">
    <w:name w:val="endnote text"/>
    <w:basedOn w:val="Standaard"/>
    <w:semiHidden/>
    <w:rsid w:val="006641DD"/>
    <w:pPr>
      <w:spacing w:line="240" w:lineRule="auto"/>
    </w:pPr>
  </w:style>
  <w:style w:type="paragraph" w:styleId="Handtekening">
    <w:name w:val="Signature"/>
    <w:basedOn w:val="Standaard"/>
    <w:rsid w:val="006641DD"/>
    <w:pPr>
      <w:spacing w:line="240" w:lineRule="auto"/>
      <w:ind w:left="4252"/>
    </w:pPr>
  </w:style>
  <w:style w:type="paragraph" w:styleId="Index1">
    <w:name w:val="index 1"/>
    <w:basedOn w:val="Standaard"/>
    <w:next w:val="Standaard"/>
    <w:semiHidden/>
    <w:rsid w:val="006641DD"/>
    <w:pPr>
      <w:spacing w:line="240" w:lineRule="auto"/>
      <w:ind w:left="220" w:hanging="220"/>
    </w:pPr>
  </w:style>
  <w:style w:type="paragraph" w:styleId="Index2">
    <w:name w:val="index 2"/>
    <w:basedOn w:val="Standaard"/>
    <w:next w:val="Standaard"/>
    <w:semiHidden/>
    <w:rsid w:val="006641DD"/>
    <w:pPr>
      <w:spacing w:line="240" w:lineRule="auto"/>
      <w:ind w:left="440" w:hanging="220"/>
    </w:pPr>
  </w:style>
  <w:style w:type="paragraph" w:styleId="Index3">
    <w:name w:val="index 3"/>
    <w:basedOn w:val="Standaard"/>
    <w:next w:val="Standaard"/>
    <w:semiHidden/>
    <w:rsid w:val="006641DD"/>
    <w:pPr>
      <w:spacing w:line="240" w:lineRule="auto"/>
      <w:ind w:left="660" w:hanging="220"/>
    </w:pPr>
  </w:style>
  <w:style w:type="paragraph" w:styleId="Index4">
    <w:name w:val="index 4"/>
    <w:basedOn w:val="Standaard"/>
    <w:next w:val="Standaard"/>
    <w:semiHidden/>
    <w:rsid w:val="006641DD"/>
    <w:pPr>
      <w:spacing w:line="240" w:lineRule="auto"/>
      <w:ind w:left="880" w:hanging="220"/>
    </w:pPr>
  </w:style>
  <w:style w:type="paragraph" w:styleId="Index5">
    <w:name w:val="index 5"/>
    <w:basedOn w:val="Standaard"/>
    <w:next w:val="Standaard"/>
    <w:semiHidden/>
    <w:rsid w:val="006641DD"/>
    <w:pPr>
      <w:spacing w:line="240" w:lineRule="auto"/>
      <w:ind w:left="1100" w:hanging="220"/>
    </w:pPr>
  </w:style>
  <w:style w:type="paragraph" w:styleId="Index6">
    <w:name w:val="index 6"/>
    <w:basedOn w:val="Standaard"/>
    <w:next w:val="Standaard"/>
    <w:semiHidden/>
    <w:rsid w:val="006641DD"/>
    <w:pPr>
      <w:spacing w:line="240" w:lineRule="auto"/>
      <w:ind w:left="1320" w:hanging="220"/>
    </w:pPr>
  </w:style>
  <w:style w:type="paragraph" w:styleId="Index7">
    <w:name w:val="index 7"/>
    <w:basedOn w:val="Standaard"/>
    <w:next w:val="Standaard"/>
    <w:semiHidden/>
    <w:rsid w:val="006641DD"/>
    <w:pPr>
      <w:spacing w:line="240" w:lineRule="auto"/>
      <w:ind w:left="1540" w:hanging="220"/>
    </w:pPr>
  </w:style>
  <w:style w:type="paragraph" w:styleId="Index8">
    <w:name w:val="index 8"/>
    <w:basedOn w:val="Standaard"/>
    <w:next w:val="Standaard"/>
    <w:semiHidden/>
    <w:rsid w:val="006641DD"/>
    <w:pPr>
      <w:spacing w:line="240" w:lineRule="auto"/>
      <w:ind w:left="1760" w:hanging="220"/>
    </w:pPr>
  </w:style>
  <w:style w:type="paragraph" w:styleId="Index9">
    <w:name w:val="index 9"/>
    <w:basedOn w:val="Standaard"/>
    <w:next w:val="Standaard"/>
    <w:semiHidden/>
    <w:rsid w:val="006641DD"/>
    <w:pPr>
      <w:spacing w:line="240" w:lineRule="auto"/>
      <w:ind w:left="1980" w:hanging="220"/>
    </w:pPr>
  </w:style>
  <w:style w:type="paragraph" w:styleId="Indexkop">
    <w:name w:val="index heading"/>
    <w:basedOn w:val="Standaard"/>
    <w:next w:val="Index1"/>
    <w:semiHidden/>
    <w:rsid w:val="006641DD"/>
    <w:pPr>
      <w:spacing w:line="240" w:lineRule="auto"/>
    </w:pPr>
    <w:rPr>
      <w:rFonts w:ascii="Arial" w:hAnsi="Arial"/>
      <w:b/>
    </w:rPr>
  </w:style>
  <w:style w:type="paragraph" w:styleId="Inhopg1">
    <w:name w:val="toc 1"/>
    <w:basedOn w:val="Standaard"/>
    <w:next w:val="Standaard"/>
    <w:semiHidden/>
    <w:rsid w:val="006641DD"/>
    <w:pPr>
      <w:spacing w:line="240" w:lineRule="auto"/>
    </w:pPr>
  </w:style>
  <w:style w:type="paragraph" w:styleId="Inhopg2">
    <w:name w:val="toc 2"/>
    <w:basedOn w:val="Standaard"/>
    <w:next w:val="Standaard"/>
    <w:semiHidden/>
    <w:rsid w:val="006641DD"/>
    <w:pPr>
      <w:spacing w:line="240" w:lineRule="auto"/>
      <w:ind w:left="220"/>
    </w:pPr>
  </w:style>
  <w:style w:type="paragraph" w:styleId="Inhopg3">
    <w:name w:val="toc 3"/>
    <w:basedOn w:val="Standaard"/>
    <w:next w:val="Standaard"/>
    <w:semiHidden/>
    <w:rsid w:val="006641DD"/>
    <w:pPr>
      <w:spacing w:line="240" w:lineRule="auto"/>
      <w:ind w:left="440"/>
    </w:pPr>
  </w:style>
  <w:style w:type="paragraph" w:styleId="Inhopg4">
    <w:name w:val="toc 4"/>
    <w:basedOn w:val="Standaard"/>
    <w:next w:val="Standaard"/>
    <w:semiHidden/>
    <w:rsid w:val="006641DD"/>
    <w:pPr>
      <w:spacing w:line="240" w:lineRule="auto"/>
      <w:ind w:left="660"/>
    </w:pPr>
  </w:style>
  <w:style w:type="paragraph" w:styleId="Inhopg5">
    <w:name w:val="toc 5"/>
    <w:basedOn w:val="Standaard"/>
    <w:next w:val="Standaard"/>
    <w:semiHidden/>
    <w:rsid w:val="006641DD"/>
    <w:pPr>
      <w:spacing w:line="240" w:lineRule="auto"/>
      <w:ind w:left="880"/>
    </w:pPr>
  </w:style>
  <w:style w:type="paragraph" w:styleId="Inhopg6">
    <w:name w:val="toc 6"/>
    <w:basedOn w:val="Standaard"/>
    <w:next w:val="Standaard"/>
    <w:semiHidden/>
    <w:rsid w:val="006641DD"/>
    <w:pPr>
      <w:spacing w:line="240" w:lineRule="auto"/>
      <w:ind w:left="1100"/>
    </w:pPr>
  </w:style>
  <w:style w:type="paragraph" w:styleId="Inhopg7">
    <w:name w:val="toc 7"/>
    <w:basedOn w:val="Standaard"/>
    <w:next w:val="Standaard"/>
    <w:semiHidden/>
    <w:rsid w:val="006641DD"/>
    <w:pPr>
      <w:spacing w:line="240" w:lineRule="auto"/>
      <w:ind w:left="1320"/>
    </w:pPr>
  </w:style>
  <w:style w:type="paragraph" w:styleId="Inhopg8">
    <w:name w:val="toc 8"/>
    <w:basedOn w:val="Standaard"/>
    <w:next w:val="Standaard"/>
    <w:semiHidden/>
    <w:rsid w:val="006641DD"/>
    <w:pPr>
      <w:spacing w:line="240" w:lineRule="auto"/>
      <w:ind w:left="1540"/>
    </w:pPr>
  </w:style>
  <w:style w:type="paragraph" w:styleId="Inhopg9">
    <w:name w:val="toc 9"/>
    <w:basedOn w:val="Standaard"/>
    <w:next w:val="Standaard"/>
    <w:semiHidden/>
    <w:rsid w:val="006641DD"/>
    <w:pPr>
      <w:spacing w:line="240" w:lineRule="auto"/>
      <w:ind w:left="1760"/>
    </w:pPr>
  </w:style>
  <w:style w:type="paragraph" w:styleId="Kopbronvermelding">
    <w:name w:val="toa heading"/>
    <w:basedOn w:val="Standaard"/>
    <w:next w:val="Standaard"/>
    <w:semiHidden/>
    <w:rsid w:val="006641DD"/>
    <w:pPr>
      <w:spacing w:before="120" w:line="240" w:lineRule="auto"/>
    </w:pPr>
    <w:rPr>
      <w:rFonts w:ascii="Arial" w:hAnsi="Arial"/>
      <w:b/>
      <w:sz w:val="24"/>
    </w:rPr>
  </w:style>
  <w:style w:type="paragraph" w:styleId="Lijst">
    <w:name w:val="List"/>
    <w:basedOn w:val="Standaard"/>
    <w:rsid w:val="006641DD"/>
    <w:pPr>
      <w:numPr>
        <w:numId w:val="18"/>
      </w:numPr>
      <w:tabs>
        <w:tab w:val="clear" w:pos="360"/>
        <w:tab w:val="left" w:pos="567"/>
      </w:tabs>
      <w:ind w:left="567" w:hanging="567"/>
    </w:pPr>
  </w:style>
  <w:style w:type="paragraph" w:styleId="Lijst2">
    <w:name w:val="List 2"/>
    <w:basedOn w:val="Standaard"/>
    <w:rsid w:val="006641DD"/>
    <w:pPr>
      <w:numPr>
        <w:ilvl w:val="1"/>
        <w:numId w:val="19"/>
      </w:numPr>
      <w:tabs>
        <w:tab w:val="clear" w:pos="927"/>
        <w:tab w:val="left" w:pos="851"/>
      </w:tabs>
    </w:pPr>
  </w:style>
  <w:style w:type="paragraph" w:styleId="Lijst3">
    <w:name w:val="List 3"/>
    <w:basedOn w:val="Standaard"/>
    <w:rsid w:val="006641DD"/>
    <w:pPr>
      <w:numPr>
        <w:ilvl w:val="2"/>
        <w:numId w:val="20"/>
      </w:numPr>
      <w:tabs>
        <w:tab w:val="clear" w:pos="1571"/>
        <w:tab w:val="left" w:pos="1134"/>
      </w:tabs>
      <w:ind w:left="1418" w:hanging="567"/>
    </w:pPr>
  </w:style>
  <w:style w:type="paragraph" w:styleId="Lijst4">
    <w:name w:val="List 4"/>
    <w:basedOn w:val="Standaard"/>
    <w:rsid w:val="006641DD"/>
    <w:pPr>
      <w:spacing w:line="240" w:lineRule="auto"/>
      <w:ind w:left="1132" w:hanging="283"/>
    </w:pPr>
  </w:style>
  <w:style w:type="paragraph" w:styleId="Lijst5">
    <w:name w:val="List 5"/>
    <w:basedOn w:val="Standaard"/>
    <w:rsid w:val="006641DD"/>
    <w:pPr>
      <w:spacing w:line="240" w:lineRule="auto"/>
      <w:ind w:left="1415" w:hanging="283"/>
    </w:pPr>
  </w:style>
  <w:style w:type="paragraph" w:styleId="Lijstmetafbeeldingen">
    <w:name w:val="table of figures"/>
    <w:basedOn w:val="Standaard"/>
    <w:next w:val="Standaard"/>
    <w:semiHidden/>
    <w:rsid w:val="006641DD"/>
    <w:pPr>
      <w:spacing w:line="240" w:lineRule="auto"/>
      <w:ind w:left="440" w:hanging="440"/>
    </w:pPr>
  </w:style>
  <w:style w:type="paragraph" w:styleId="Lijstopsomteken2">
    <w:name w:val="List Bullet 2"/>
    <w:basedOn w:val="Standaard"/>
    <w:rsid w:val="006641DD"/>
    <w:pPr>
      <w:numPr>
        <w:numId w:val="26"/>
      </w:numPr>
      <w:tabs>
        <w:tab w:val="clear" w:pos="643"/>
        <w:tab w:val="left" w:pos="851"/>
      </w:tabs>
      <w:ind w:left="851" w:hanging="851"/>
    </w:pPr>
  </w:style>
  <w:style w:type="paragraph" w:styleId="Lijstopsomteken3">
    <w:name w:val="List Bullet 3"/>
    <w:basedOn w:val="Standaard"/>
    <w:rsid w:val="006641DD"/>
    <w:pPr>
      <w:numPr>
        <w:numId w:val="27"/>
      </w:numPr>
      <w:tabs>
        <w:tab w:val="clear" w:pos="926"/>
        <w:tab w:val="num" w:pos="1134"/>
      </w:tabs>
      <w:spacing w:line="240" w:lineRule="auto"/>
      <w:ind w:left="1134" w:hanging="1134"/>
    </w:pPr>
  </w:style>
  <w:style w:type="paragraph" w:styleId="Lijstopsomteken4">
    <w:name w:val="List Bullet 4"/>
    <w:basedOn w:val="Standaard"/>
    <w:rsid w:val="006641DD"/>
    <w:pPr>
      <w:numPr>
        <w:numId w:val="5"/>
      </w:numPr>
      <w:spacing w:line="240" w:lineRule="auto"/>
    </w:pPr>
  </w:style>
  <w:style w:type="paragraph" w:styleId="Lijstopsomteken5">
    <w:name w:val="List Bullet 5"/>
    <w:basedOn w:val="Standaard"/>
    <w:rsid w:val="006641DD"/>
    <w:pPr>
      <w:numPr>
        <w:numId w:val="6"/>
      </w:numPr>
      <w:spacing w:line="240" w:lineRule="auto"/>
    </w:pPr>
  </w:style>
  <w:style w:type="paragraph" w:styleId="Lijstnummering">
    <w:name w:val="List Number"/>
    <w:basedOn w:val="Standaard"/>
    <w:rsid w:val="006641DD"/>
    <w:pPr>
      <w:numPr>
        <w:numId w:val="28"/>
      </w:numPr>
      <w:tabs>
        <w:tab w:val="left" w:pos="567"/>
      </w:tabs>
      <w:ind w:left="567" w:hanging="567"/>
    </w:pPr>
  </w:style>
  <w:style w:type="paragraph" w:styleId="Lijstnummering2">
    <w:name w:val="List Number 2"/>
    <w:basedOn w:val="Standaard"/>
    <w:rsid w:val="006641DD"/>
    <w:pPr>
      <w:numPr>
        <w:ilvl w:val="1"/>
        <w:numId w:val="29"/>
      </w:numPr>
      <w:tabs>
        <w:tab w:val="left" w:pos="851"/>
      </w:tabs>
      <w:ind w:left="851" w:hanging="851"/>
    </w:pPr>
  </w:style>
  <w:style w:type="paragraph" w:styleId="Lijstnummering3">
    <w:name w:val="List Number 3"/>
    <w:basedOn w:val="Standaard"/>
    <w:rsid w:val="006641DD"/>
    <w:pPr>
      <w:numPr>
        <w:ilvl w:val="2"/>
        <w:numId w:val="30"/>
      </w:numPr>
      <w:tabs>
        <w:tab w:val="left" w:pos="1134"/>
      </w:tabs>
      <w:ind w:left="1134" w:hanging="1134"/>
    </w:pPr>
  </w:style>
  <w:style w:type="paragraph" w:styleId="Lijstnummering4">
    <w:name w:val="List Number 4"/>
    <w:basedOn w:val="Standaard"/>
    <w:rsid w:val="006641DD"/>
    <w:pPr>
      <w:numPr>
        <w:ilvl w:val="3"/>
        <w:numId w:val="31"/>
      </w:numPr>
      <w:tabs>
        <w:tab w:val="left" w:pos="1418"/>
      </w:tabs>
      <w:ind w:left="1418" w:hanging="1418"/>
    </w:pPr>
  </w:style>
  <w:style w:type="paragraph" w:styleId="Lijstnummering5">
    <w:name w:val="List Number 5"/>
    <w:basedOn w:val="Standaard"/>
    <w:rsid w:val="006641DD"/>
    <w:pPr>
      <w:numPr>
        <w:numId w:val="11"/>
      </w:numPr>
      <w:spacing w:line="240" w:lineRule="auto"/>
    </w:pPr>
  </w:style>
  <w:style w:type="paragraph" w:styleId="Lijstvoortzetting">
    <w:name w:val="List Continue"/>
    <w:basedOn w:val="Standaard"/>
    <w:rsid w:val="006641DD"/>
    <w:pPr>
      <w:spacing w:after="120" w:line="240" w:lineRule="auto"/>
      <w:ind w:left="283"/>
    </w:pPr>
  </w:style>
  <w:style w:type="paragraph" w:styleId="Lijstvoortzetting2">
    <w:name w:val="List Continue 2"/>
    <w:basedOn w:val="Standaard"/>
    <w:rsid w:val="006641DD"/>
    <w:pPr>
      <w:spacing w:after="120" w:line="240" w:lineRule="auto"/>
      <w:ind w:left="566"/>
    </w:pPr>
  </w:style>
  <w:style w:type="paragraph" w:styleId="Lijstvoortzetting3">
    <w:name w:val="List Continue 3"/>
    <w:basedOn w:val="Standaard"/>
    <w:rsid w:val="006641DD"/>
    <w:pPr>
      <w:spacing w:after="120" w:line="240" w:lineRule="auto"/>
      <w:ind w:left="849"/>
    </w:pPr>
  </w:style>
  <w:style w:type="paragraph" w:styleId="Lijstvoortzetting4">
    <w:name w:val="List Continue 4"/>
    <w:basedOn w:val="Standaard"/>
    <w:rsid w:val="006641DD"/>
    <w:pPr>
      <w:spacing w:after="120" w:line="240" w:lineRule="auto"/>
      <w:ind w:left="1132"/>
    </w:pPr>
  </w:style>
  <w:style w:type="paragraph" w:styleId="Lijstvoortzetting5">
    <w:name w:val="List Continue 5"/>
    <w:basedOn w:val="Standaard"/>
    <w:rsid w:val="006641DD"/>
    <w:pPr>
      <w:spacing w:after="120" w:line="240" w:lineRule="auto"/>
      <w:ind w:left="1415"/>
    </w:pPr>
  </w:style>
  <w:style w:type="paragraph" w:styleId="Macrotekst">
    <w:name w:val="macro"/>
    <w:semiHidden/>
    <w:rsid w:val="006641D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Notitiekop1">
    <w:name w:val="Notitiekop1"/>
    <w:basedOn w:val="Standaard"/>
    <w:next w:val="Standaard"/>
    <w:rsid w:val="006641DD"/>
    <w:pPr>
      <w:spacing w:line="240" w:lineRule="auto"/>
    </w:pPr>
  </w:style>
  <w:style w:type="paragraph" w:styleId="Tekstzonderopmaak">
    <w:name w:val="Plain Text"/>
    <w:basedOn w:val="Standaard"/>
    <w:rsid w:val="006641DD"/>
    <w:pPr>
      <w:spacing w:line="240" w:lineRule="auto"/>
    </w:pPr>
    <w:rPr>
      <w:rFonts w:ascii="Courier New" w:hAnsi="Courier New"/>
    </w:rPr>
  </w:style>
  <w:style w:type="paragraph" w:styleId="Plattetekst">
    <w:name w:val="Body Text"/>
    <w:basedOn w:val="Standaard"/>
    <w:rsid w:val="006641DD"/>
    <w:pPr>
      <w:spacing w:after="120" w:line="240" w:lineRule="auto"/>
    </w:pPr>
  </w:style>
  <w:style w:type="paragraph" w:styleId="Plattetekst2">
    <w:name w:val="Body Text 2"/>
    <w:basedOn w:val="Standaard"/>
    <w:rsid w:val="006641DD"/>
    <w:pPr>
      <w:spacing w:after="120" w:line="480" w:lineRule="auto"/>
    </w:pPr>
  </w:style>
  <w:style w:type="paragraph" w:styleId="Plattetekst3">
    <w:name w:val="Body Text 3"/>
    <w:basedOn w:val="Standaard"/>
    <w:rsid w:val="006641DD"/>
    <w:pPr>
      <w:spacing w:after="120" w:line="240" w:lineRule="auto"/>
    </w:pPr>
    <w:rPr>
      <w:sz w:val="16"/>
    </w:rPr>
  </w:style>
  <w:style w:type="paragraph" w:styleId="Platteteksteersteinspringing">
    <w:name w:val="Body Text First Indent"/>
    <w:basedOn w:val="Plattetekst"/>
    <w:rsid w:val="006641DD"/>
    <w:pPr>
      <w:ind w:firstLine="210"/>
    </w:pPr>
  </w:style>
  <w:style w:type="paragraph" w:styleId="Plattetekstinspringen">
    <w:name w:val="Body Text Indent"/>
    <w:basedOn w:val="Standaard"/>
    <w:rsid w:val="006641DD"/>
    <w:pPr>
      <w:spacing w:after="120" w:line="240" w:lineRule="auto"/>
      <w:ind w:left="283"/>
    </w:pPr>
  </w:style>
  <w:style w:type="paragraph" w:styleId="Platteteksteersteinspringing2">
    <w:name w:val="Body Text First Indent 2"/>
    <w:basedOn w:val="Plattetekstinspringen"/>
    <w:rsid w:val="006641DD"/>
    <w:pPr>
      <w:ind w:firstLine="210"/>
    </w:pPr>
  </w:style>
  <w:style w:type="paragraph" w:styleId="Plattetekstinspringen2">
    <w:name w:val="Body Text Indent 2"/>
    <w:basedOn w:val="Standaard"/>
    <w:rsid w:val="006641DD"/>
    <w:pPr>
      <w:spacing w:after="120" w:line="480" w:lineRule="auto"/>
      <w:ind w:left="283"/>
    </w:pPr>
  </w:style>
  <w:style w:type="paragraph" w:styleId="Plattetekstinspringen3">
    <w:name w:val="Body Text Indent 3"/>
    <w:basedOn w:val="Standaard"/>
    <w:rsid w:val="006641DD"/>
    <w:pPr>
      <w:spacing w:after="120" w:line="240" w:lineRule="auto"/>
      <w:ind w:left="283"/>
    </w:pPr>
    <w:rPr>
      <w:sz w:val="16"/>
    </w:rPr>
  </w:style>
  <w:style w:type="paragraph" w:styleId="Standaardinspringing">
    <w:name w:val="Normal Indent"/>
    <w:basedOn w:val="Standaard"/>
    <w:rsid w:val="006641DD"/>
    <w:pPr>
      <w:spacing w:line="240" w:lineRule="auto"/>
      <w:ind w:left="709"/>
    </w:pPr>
  </w:style>
  <w:style w:type="paragraph" w:styleId="Subtitel">
    <w:name w:val="Subtitle"/>
    <w:basedOn w:val="Standaard"/>
    <w:qFormat/>
    <w:rsid w:val="006641DD"/>
    <w:pPr>
      <w:spacing w:after="60" w:line="240" w:lineRule="auto"/>
      <w:jc w:val="center"/>
      <w:outlineLvl w:val="1"/>
    </w:pPr>
    <w:rPr>
      <w:rFonts w:ascii="Arial" w:hAnsi="Arial"/>
      <w:sz w:val="24"/>
    </w:rPr>
  </w:style>
  <w:style w:type="paragraph" w:styleId="Tekstopmerking">
    <w:name w:val="annotation text"/>
    <w:basedOn w:val="Standaard"/>
    <w:semiHidden/>
    <w:rsid w:val="006641DD"/>
    <w:pPr>
      <w:spacing w:line="240" w:lineRule="auto"/>
    </w:pPr>
  </w:style>
  <w:style w:type="paragraph" w:styleId="Titel">
    <w:name w:val="Title"/>
    <w:basedOn w:val="Standaard"/>
    <w:qFormat/>
    <w:rsid w:val="006641DD"/>
    <w:pPr>
      <w:spacing w:before="240" w:after="60" w:line="240" w:lineRule="auto"/>
      <w:jc w:val="center"/>
      <w:outlineLvl w:val="0"/>
    </w:pPr>
    <w:rPr>
      <w:rFonts w:ascii="Arial" w:hAnsi="Arial"/>
      <w:b/>
      <w:kern w:val="28"/>
      <w:sz w:val="32"/>
    </w:rPr>
  </w:style>
  <w:style w:type="paragraph" w:styleId="Voetnoottekst">
    <w:name w:val="footnote text"/>
    <w:basedOn w:val="Standaard"/>
    <w:semiHidden/>
    <w:rsid w:val="006641DD"/>
    <w:pPr>
      <w:spacing w:line="240" w:lineRule="auto"/>
    </w:pPr>
  </w:style>
  <w:style w:type="paragraph" w:customStyle="1" w:styleId="GroteLetters">
    <w:name w:val="Grote Letters"/>
    <w:basedOn w:val="Standaard"/>
    <w:rsid w:val="006641DD"/>
    <w:pPr>
      <w:spacing w:line="364" w:lineRule="atLeast"/>
    </w:pPr>
    <w:rPr>
      <w:sz w:val="28"/>
    </w:rPr>
  </w:style>
  <w:style w:type="paragraph" w:customStyle="1" w:styleId="Inspringen">
    <w:name w:val="Inspringen"/>
    <w:basedOn w:val="Standaard"/>
    <w:rsid w:val="006641DD"/>
    <w:pPr>
      <w:ind w:left="567"/>
    </w:pPr>
  </w:style>
  <w:style w:type="paragraph" w:customStyle="1" w:styleId="Inspringen2">
    <w:name w:val="Inspringen 2"/>
    <w:basedOn w:val="Standaard"/>
    <w:rsid w:val="006641DD"/>
    <w:pPr>
      <w:ind w:left="851"/>
    </w:pPr>
  </w:style>
  <w:style w:type="paragraph" w:customStyle="1" w:styleId="Inspringen3">
    <w:name w:val="Inspringen 3"/>
    <w:basedOn w:val="Standaard"/>
    <w:rsid w:val="006641DD"/>
    <w:pPr>
      <w:ind w:left="1134"/>
    </w:pPr>
  </w:style>
  <w:style w:type="paragraph" w:customStyle="1" w:styleId="Inspringen4">
    <w:name w:val="Inspringen 4"/>
    <w:basedOn w:val="Standaard"/>
    <w:rsid w:val="006641DD"/>
    <w:pPr>
      <w:ind w:left="1418"/>
    </w:pPr>
  </w:style>
  <w:style w:type="paragraph" w:customStyle="1" w:styleId="Inspringen5">
    <w:name w:val="Inspringen 5"/>
    <w:basedOn w:val="Standaard"/>
    <w:rsid w:val="006641DD"/>
    <w:pPr>
      <w:ind w:left="1701"/>
    </w:pPr>
  </w:style>
  <w:style w:type="paragraph" w:customStyle="1" w:styleId="Inspringen6">
    <w:name w:val="Inspringen 6"/>
    <w:basedOn w:val="Standaard"/>
    <w:rsid w:val="006641DD"/>
    <w:pPr>
      <w:ind w:left="1985"/>
    </w:pPr>
  </w:style>
  <w:style w:type="paragraph" w:customStyle="1" w:styleId="Inspringen7">
    <w:name w:val="Inspringen 7"/>
    <w:basedOn w:val="Standaard"/>
    <w:rsid w:val="006641DD"/>
    <w:pPr>
      <w:ind w:left="2268"/>
    </w:pPr>
  </w:style>
  <w:style w:type="paragraph" w:customStyle="1" w:styleId="Inspringen8">
    <w:name w:val="Inspringen 8"/>
    <w:basedOn w:val="Standaard"/>
    <w:rsid w:val="006641DD"/>
    <w:pPr>
      <w:ind w:left="2552"/>
    </w:pPr>
  </w:style>
  <w:style w:type="paragraph" w:customStyle="1" w:styleId="Inspringen9">
    <w:name w:val="Inspringen 9"/>
    <w:basedOn w:val="Standaard"/>
    <w:rsid w:val="006641DD"/>
    <w:pPr>
      <w:ind w:left="2835"/>
    </w:pPr>
  </w:style>
  <w:style w:type="paragraph" w:styleId="Ballontekst">
    <w:name w:val="Balloon Text"/>
    <w:basedOn w:val="Standaard"/>
    <w:semiHidden/>
    <w:rsid w:val="000E7AC8"/>
    <w:rPr>
      <w:rFonts w:ascii="Tahoma" w:hAnsi="Tahoma" w:cs="Tahoma"/>
      <w:sz w:val="16"/>
      <w:szCs w:val="16"/>
    </w:rPr>
  </w:style>
  <w:style w:type="table" w:styleId="Tabelraster">
    <w:name w:val="Table Grid"/>
    <w:basedOn w:val="Standaardtabel"/>
    <w:rsid w:val="00074866"/>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rsid w:val="002020C2"/>
    <w:rPr>
      <w:color w:val="0000FF"/>
      <w:u w:val="single"/>
    </w:rPr>
  </w:style>
  <w:style w:type="table" w:styleId="Professioneletabel">
    <w:name w:val="Table Professional"/>
    <w:aliases w:val="Sandertabel"/>
    <w:basedOn w:val="Standaardtabel"/>
    <w:rsid w:val="00F17794"/>
    <w:pPr>
      <w:spacing w:line="260" w:lineRule="atLeast"/>
    </w:pPr>
    <w:tblPr>
      <w:tblInd w:w="0" w:type="dxa"/>
      <w:tblBorders>
        <w:top w:val="double" w:sz="4" w:space="0" w:color="auto"/>
        <w:left w:val="single" w:sz="6" w:space="0" w:color="000000"/>
        <w:bottom w:val="double" w:sz="4" w:space="0" w:color="auto"/>
        <w:right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Tabelopmaakprofiel1">
    <w:name w:val="Tabelopmaakprofiel1"/>
    <w:basedOn w:val="Tabelraster"/>
    <w:rsid w:val="00C14743"/>
    <w:tblPr>
      <w:tblInd w:w="0" w:type="dxa"/>
      <w:tblBorders>
        <w:top w:val="double" w:sz="4" w:space="0" w:color="auto"/>
        <w:bottom w:val="double" w:sz="4" w:space="0" w:color="auto"/>
      </w:tblBorders>
      <w:tblCellMar>
        <w:top w:w="0" w:type="dxa"/>
        <w:left w:w="108" w:type="dxa"/>
        <w:bottom w:w="0" w:type="dxa"/>
        <w:right w:w="108" w:type="dxa"/>
      </w:tblCellMar>
    </w:tblPr>
    <w:tcPr>
      <w:shd w:val="clear" w:color="auto" w:fill="auto"/>
    </w:tcPr>
  </w:style>
  <w:style w:type="paragraph" w:styleId="Lijstalinea">
    <w:name w:val="List Paragraph"/>
    <w:basedOn w:val="Standaard"/>
    <w:uiPriority w:val="34"/>
    <w:qFormat/>
    <w:rsid w:val="001046D8"/>
    <w:pPr>
      <w:ind w:left="720"/>
      <w:contextualSpacing/>
    </w:pPr>
  </w:style>
  <w:style w:type="character" w:customStyle="1" w:styleId="VoettekstChar">
    <w:name w:val="Voettekst Char"/>
    <w:basedOn w:val="Standaardalinea-lettertype"/>
    <w:link w:val="Voettekst"/>
    <w:uiPriority w:val="99"/>
    <w:rsid w:val="00AC63B6"/>
    <w:rPr>
      <w:rFonts w:ascii="Univers" w:hAnsi="Univer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1762</ap:Words>
  <ap:Characters>9696</ap:Characters>
  <ap:DocSecurity>12</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2013-12-10T12:38:00.0000000Z</lastPrinted>
  <dcterms:created xsi:type="dcterms:W3CDTF">2013-12-12T11:47:00.0000000Z</dcterms:created>
  <dcterms:modified xsi:type="dcterms:W3CDTF">2013-12-12T11:47:00.0000000Z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0x010100F8D80E4DBB08AB4BBD98B53F411ABB0A</vt:lpwstr>
  </property>
</Properties>
</file>