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F208C" w:rsidR="00DD1DFF" w:rsidP="00FB62D2" w:rsidRDefault="0000680B">
      <w:pPr>
        <w:spacing w:after="0"/>
        <w:rPr>
          <w:rFonts w:ascii="Verdana" w:hAnsi="Verdana" w:cs="Calibri"/>
          <w:sz w:val="18"/>
          <w:szCs w:val="18"/>
        </w:rPr>
      </w:pPr>
      <w:bookmarkStart w:name="_GoBack" w:id="0"/>
      <w:bookmarkEnd w:id="0"/>
      <w:r w:rsidRPr="008F208C">
        <w:rPr>
          <w:rFonts w:ascii="Verdana" w:hAnsi="Verdana" w:cs="Calibri"/>
          <w:sz w:val="18"/>
          <w:szCs w:val="18"/>
        </w:rPr>
        <w:t>Bijlage 2</w:t>
      </w:r>
    </w:p>
    <w:p w:rsidRPr="008F208C" w:rsidR="0000680B" w:rsidP="00FB62D2" w:rsidRDefault="0000680B">
      <w:pPr>
        <w:spacing w:after="0"/>
        <w:rPr>
          <w:rFonts w:ascii="Verdana" w:hAnsi="Verdana" w:cs="Calibri"/>
        </w:rPr>
      </w:pPr>
    </w:p>
    <w:p w:rsidRPr="008F208C" w:rsidR="008F208C" w:rsidP="008F208C" w:rsidRDefault="008F208C">
      <w:pPr>
        <w:rPr>
          <w:rFonts w:ascii="Verdana" w:hAnsi="Verdana" w:cs="Calibri"/>
          <w:sz w:val="16"/>
          <w:szCs w:val="16"/>
        </w:rPr>
      </w:pPr>
      <w:r w:rsidRPr="008F208C">
        <w:rPr>
          <w:rFonts w:ascii="Verdana" w:hAnsi="Verdana" w:cs="Calibri"/>
          <w:sz w:val="16"/>
          <w:szCs w:val="16"/>
        </w:rPr>
        <w:t xml:space="preserve">Tabel 1: Het aantal zware ongevallen sinds 2000 in Nederland </w:t>
      </w:r>
    </w:p>
    <w:tbl>
      <w:tblPr>
        <w:tblW w:w="8720"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089"/>
        <w:gridCol w:w="587"/>
        <w:gridCol w:w="587"/>
        <w:gridCol w:w="587"/>
        <w:gridCol w:w="587"/>
        <w:gridCol w:w="587"/>
        <w:gridCol w:w="587"/>
        <w:gridCol w:w="587"/>
        <w:gridCol w:w="587"/>
        <w:gridCol w:w="587"/>
        <w:gridCol w:w="587"/>
        <w:gridCol w:w="587"/>
        <w:gridCol w:w="587"/>
        <w:gridCol w:w="587"/>
      </w:tblGrid>
      <w:tr w:rsidRPr="008F208C" w:rsidR="008F208C" w:rsidTr="00346F5E">
        <w:trPr>
          <w:trHeight w:val="300"/>
        </w:trPr>
        <w:tc>
          <w:tcPr>
            <w:tcW w:w="8720" w:type="dxa"/>
            <w:gridSpan w:val="14"/>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sz w:val="16"/>
                <w:szCs w:val="16"/>
                <w:lang w:eastAsia="nl-NL"/>
              </w:rPr>
            </w:pPr>
            <w:r w:rsidRPr="008F208C">
              <w:rPr>
                <w:rFonts w:ascii="Verdana" w:hAnsi="Verdana" w:eastAsia="Times New Roman" w:cs="Calibri"/>
                <w:b/>
                <w:sz w:val="16"/>
                <w:szCs w:val="16"/>
                <w:lang w:eastAsia="nl-NL"/>
              </w:rPr>
              <w:t>Aantal zware ongevallen in Nederland sinds 2000</w:t>
            </w:r>
          </w:p>
        </w:tc>
      </w:tr>
      <w:tr w:rsidRPr="008F208C" w:rsidR="008F208C" w:rsidTr="00346F5E">
        <w:trPr>
          <w:trHeight w:val="300"/>
        </w:trPr>
        <w:tc>
          <w:tcPr>
            <w:tcW w:w="1089"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sz w:val="16"/>
                <w:szCs w:val="16"/>
                <w:lang w:eastAsia="nl-NL"/>
              </w:rPr>
            </w:pPr>
            <w:r w:rsidRPr="008F208C">
              <w:rPr>
                <w:rFonts w:ascii="Verdana" w:hAnsi="Verdana" w:eastAsia="Times New Roman" w:cs="Calibri"/>
                <w:b/>
                <w:sz w:val="16"/>
                <w:szCs w:val="16"/>
                <w:lang w:eastAsia="nl-NL"/>
              </w:rPr>
              <w:t>Jaar</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2000</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2001</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2002</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2003</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2004</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2005</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2006</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2007</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2008</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2009</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2010</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2011</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2012</w:t>
            </w:r>
          </w:p>
        </w:tc>
      </w:tr>
      <w:tr w:rsidRPr="008F208C" w:rsidR="008F208C" w:rsidTr="00346F5E">
        <w:trPr>
          <w:trHeight w:val="300"/>
        </w:trPr>
        <w:tc>
          <w:tcPr>
            <w:tcW w:w="1089"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sz w:val="16"/>
                <w:szCs w:val="16"/>
                <w:lang w:eastAsia="nl-NL"/>
              </w:rPr>
            </w:pPr>
            <w:r w:rsidRPr="008F208C">
              <w:rPr>
                <w:rFonts w:ascii="Verdana" w:hAnsi="Verdana" w:eastAsia="Times New Roman" w:cs="Calibri"/>
                <w:b/>
                <w:sz w:val="16"/>
                <w:szCs w:val="16"/>
                <w:lang w:eastAsia="nl-NL"/>
              </w:rPr>
              <w:t>Aantal</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3</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1</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4</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7</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4</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4</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4</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4</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0</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3</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1</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w:t>
            </w:r>
          </w:p>
        </w:tc>
        <w:tc>
          <w:tcPr>
            <w:tcW w:w="587" w:type="dxa"/>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3</w:t>
            </w:r>
          </w:p>
        </w:tc>
      </w:tr>
    </w:tbl>
    <w:p w:rsidRPr="008F208C" w:rsidR="008F208C" w:rsidP="008F208C" w:rsidRDefault="008F208C">
      <w:pPr>
        <w:rPr>
          <w:rFonts w:ascii="Verdana" w:hAnsi="Verdana" w:cs="Calibri"/>
        </w:rPr>
      </w:pPr>
    </w:p>
    <w:p w:rsidRPr="008F208C" w:rsidR="008F208C" w:rsidP="008F208C" w:rsidRDefault="008F208C">
      <w:pPr>
        <w:rPr>
          <w:rFonts w:ascii="Verdana" w:hAnsi="Verdana" w:cs="Calibri"/>
          <w:sz w:val="18"/>
          <w:szCs w:val="18"/>
        </w:rPr>
      </w:pPr>
      <w:r w:rsidRPr="008F208C">
        <w:rPr>
          <w:rFonts w:ascii="Verdana" w:hAnsi="Verdana" w:cs="Calibri"/>
          <w:sz w:val="18"/>
          <w:szCs w:val="18"/>
        </w:rPr>
        <w:t>De EC vindt het belangrijk dat iedereen de ongevalgegevens kan bekijken om hier van te leren en daarom zijn  deze gegevens gepubliceerd op de website</w:t>
      </w:r>
      <w:r w:rsidRPr="008F208C">
        <w:rPr>
          <w:rStyle w:val="FootnoteReference"/>
          <w:rFonts w:ascii="Verdana" w:hAnsi="Verdana" w:cs="Calibri"/>
          <w:sz w:val="18"/>
          <w:szCs w:val="18"/>
        </w:rPr>
        <w:footnoteReference w:id="1"/>
      </w:r>
      <w:r w:rsidRPr="008F208C">
        <w:rPr>
          <w:rFonts w:ascii="Verdana" w:hAnsi="Verdana" w:cs="Calibri"/>
          <w:sz w:val="18"/>
          <w:szCs w:val="18"/>
        </w:rPr>
        <w:t xml:space="preserve"> van de EC. In tabel 2 </w:t>
      </w:r>
      <w:r w:rsidR="00AB1E06">
        <w:rPr>
          <w:rFonts w:ascii="Verdana" w:hAnsi="Verdana" w:cs="Calibri"/>
          <w:sz w:val="18"/>
          <w:szCs w:val="18"/>
        </w:rPr>
        <w:t>zijn</w:t>
      </w:r>
      <w:r w:rsidRPr="008F208C">
        <w:rPr>
          <w:rFonts w:ascii="Verdana" w:hAnsi="Verdana" w:cs="Calibri"/>
          <w:sz w:val="18"/>
          <w:szCs w:val="18"/>
        </w:rPr>
        <w:t xml:space="preserve"> de cijfers weergegeven van de jaren 2000 – 2011. De cijfers uit Europa werden in eerste instantie per 3 jaar verzameld. De cijfers van het aantal zware ongevallen in Europa van de laatste jaren kunnen nog worden aangepast naar boven aangezien een incident pas opgenomen hoeft te worden als een complete ongevalanalyse van het incident beschikbaar is of een mogelijk strafrechtelijk onderzoek of rechtszaak afgerond is.  </w:t>
      </w:r>
    </w:p>
    <w:p w:rsidRPr="008F208C" w:rsidR="008F208C" w:rsidP="008F208C" w:rsidRDefault="008F208C">
      <w:pPr>
        <w:rPr>
          <w:rFonts w:ascii="Verdana" w:hAnsi="Verdana" w:cs="Calibri"/>
          <w:sz w:val="16"/>
          <w:szCs w:val="16"/>
        </w:rPr>
      </w:pPr>
      <w:r w:rsidRPr="008F208C">
        <w:rPr>
          <w:rFonts w:ascii="Verdana" w:hAnsi="Verdana" w:cs="Calibri"/>
          <w:sz w:val="16"/>
          <w:szCs w:val="16"/>
        </w:rPr>
        <w:t>Tabel 2: Aantal zware ongevallen in Europa en Nederland per 3 jaar</w:t>
      </w:r>
    </w:p>
    <w:tbl>
      <w:tblPr>
        <w:tblW w:w="9152" w:type="dxa"/>
        <w:jc w:val="center"/>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156"/>
        <w:gridCol w:w="1285"/>
        <w:gridCol w:w="1237"/>
        <w:gridCol w:w="1237"/>
        <w:gridCol w:w="1237"/>
      </w:tblGrid>
      <w:tr w:rsidRPr="008F208C" w:rsidR="008F208C" w:rsidTr="00346F5E">
        <w:trPr>
          <w:jc w:val="center"/>
        </w:trPr>
        <w:tc>
          <w:tcPr>
            <w:tcW w:w="4156" w:type="dxa"/>
            <w:noWrap/>
            <w:vAlign w:val="center"/>
            <w:hideMark/>
          </w:tcPr>
          <w:p w:rsidRPr="008F208C" w:rsidR="008F208C" w:rsidP="00346F5E" w:rsidRDefault="008F208C">
            <w:pPr>
              <w:spacing w:line="240" w:lineRule="auto"/>
              <w:jc w:val="center"/>
              <w:rPr>
                <w:rFonts w:ascii="Verdana" w:hAnsi="Verdana" w:eastAsia="Times New Roman" w:cs="Calibri"/>
                <w:sz w:val="16"/>
                <w:szCs w:val="16"/>
              </w:rPr>
            </w:pPr>
          </w:p>
        </w:tc>
        <w:tc>
          <w:tcPr>
            <w:tcW w:w="1285" w:type="dxa"/>
            <w:noWrap/>
            <w:vAlign w:val="center"/>
            <w:hideMark/>
          </w:tcPr>
          <w:p w:rsidRPr="008F208C" w:rsidR="008F208C" w:rsidP="00346F5E" w:rsidRDefault="008F208C">
            <w:pPr>
              <w:spacing w:line="240" w:lineRule="auto"/>
              <w:jc w:val="center"/>
              <w:rPr>
                <w:rFonts w:ascii="Verdana" w:hAnsi="Verdana" w:eastAsia="Times New Roman" w:cs="Calibri"/>
                <w:b/>
                <w:bCs/>
                <w:sz w:val="16"/>
                <w:szCs w:val="16"/>
              </w:rPr>
            </w:pPr>
            <w:r w:rsidRPr="008F208C">
              <w:rPr>
                <w:rFonts w:ascii="Verdana" w:hAnsi="Verdana" w:eastAsia="Times New Roman" w:cs="Calibri"/>
                <w:b/>
                <w:bCs/>
                <w:sz w:val="16"/>
                <w:szCs w:val="16"/>
              </w:rPr>
              <w:t>2000 - 2002</w:t>
            </w:r>
          </w:p>
        </w:tc>
        <w:tc>
          <w:tcPr>
            <w:tcW w:w="0" w:type="auto"/>
            <w:noWrap/>
            <w:vAlign w:val="center"/>
            <w:hideMark/>
          </w:tcPr>
          <w:p w:rsidRPr="008F208C" w:rsidR="008F208C" w:rsidP="00346F5E" w:rsidRDefault="008F208C">
            <w:pPr>
              <w:spacing w:line="240" w:lineRule="auto"/>
              <w:jc w:val="center"/>
              <w:rPr>
                <w:rFonts w:ascii="Verdana" w:hAnsi="Verdana" w:eastAsia="Times New Roman" w:cs="Calibri"/>
                <w:b/>
                <w:bCs/>
                <w:sz w:val="16"/>
                <w:szCs w:val="16"/>
              </w:rPr>
            </w:pPr>
            <w:r w:rsidRPr="008F208C">
              <w:rPr>
                <w:rFonts w:ascii="Verdana" w:hAnsi="Verdana" w:eastAsia="Times New Roman" w:cs="Calibri"/>
                <w:b/>
                <w:bCs/>
                <w:sz w:val="16"/>
                <w:szCs w:val="16"/>
              </w:rPr>
              <w:t>2003 - 2005</w:t>
            </w:r>
          </w:p>
        </w:tc>
        <w:tc>
          <w:tcPr>
            <w:tcW w:w="0" w:type="auto"/>
            <w:noWrap/>
            <w:vAlign w:val="center"/>
            <w:hideMark/>
          </w:tcPr>
          <w:p w:rsidRPr="008F208C" w:rsidR="008F208C" w:rsidP="00346F5E" w:rsidRDefault="008F208C">
            <w:pPr>
              <w:spacing w:line="240" w:lineRule="auto"/>
              <w:jc w:val="center"/>
              <w:rPr>
                <w:rFonts w:ascii="Verdana" w:hAnsi="Verdana" w:eastAsia="Times New Roman" w:cs="Calibri"/>
                <w:b/>
                <w:bCs/>
                <w:sz w:val="16"/>
                <w:szCs w:val="16"/>
              </w:rPr>
            </w:pPr>
            <w:r w:rsidRPr="008F208C">
              <w:rPr>
                <w:rFonts w:ascii="Verdana" w:hAnsi="Verdana" w:eastAsia="Times New Roman" w:cs="Calibri"/>
                <w:b/>
                <w:bCs/>
                <w:sz w:val="16"/>
                <w:szCs w:val="16"/>
              </w:rPr>
              <w:t>2006 - 2008</w:t>
            </w:r>
          </w:p>
        </w:tc>
        <w:tc>
          <w:tcPr>
            <w:tcW w:w="0" w:type="auto"/>
            <w:noWrap/>
            <w:vAlign w:val="center"/>
            <w:hideMark/>
          </w:tcPr>
          <w:p w:rsidRPr="008F208C" w:rsidR="008F208C" w:rsidP="00346F5E" w:rsidRDefault="008F208C">
            <w:pPr>
              <w:spacing w:line="240" w:lineRule="auto"/>
              <w:jc w:val="center"/>
              <w:rPr>
                <w:rFonts w:ascii="Verdana" w:hAnsi="Verdana" w:eastAsia="Times New Roman" w:cs="Calibri"/>
                <w:b/>
                <w:bCs/>
                <w:sz w:val="16"/>
                <w:szCs w:val="16"/>
              </w:rPr>
            </w:pPr>
            <w:r w:rsidRPr="008F208C">
              <w:rPr>
                <w:rFonts w:ascii="Verdana" w:hAnsi="Verdana" w:eastAsia="Times New Roman" w:cs="Calibri"/>
                <w:b/>
                <w:bCs/>
                <w:sz w:val="16"/>
                <w:szCs w:val="16"/>
              </w:rPr>
              <w:t>2009 - 2011</w:t>
            </w:r>
          </w:p>
        </w:tc>
      </w:tr>
      <w:tr w:rsidRPr="008F208C" w:rsidR="008F208C" w:rsidTr="00346F5E">
        <w:trPr>
          <w:jc w:val="center"/>
        </w:trPr>
        <w:tc>
          <w:tcPr>
            <w:tcW w:w="4156" w:type="dxa"/>
            <w:noWrap/>
            <w:vAlign w:val="bottom"/>
            <w:hideMark/>
          </w:tcPr>
          <w:p w:rsidRPr="008F208C" w:rsidR="008F208C" w:rsidP="00346F5E" w:rsidRDefault="008F208C">
            <w:pPr>
              <w:spacing w:line="240" w:lineRule="auto"/>
              <w:jc w:val="center"/>
              <w:rPr>
                <w:rFonts w:ascii="Verdana" w:hAnsi="Verdana" w:eastAsia="Times New Roman" w:cs="Calibri"/>
                <w:b/>
                <w:bCs/>
                <w:sz w:val="16"/>
                <w:szCs w:val="16"/>
              </w:rPr>
            </w:pPr>
            <w:r w:rsidRPr="008F208C">
              <w:rPr>
                <w:rFonts w:ascii="Verdana" w:hAnsi="Verdana" w:eastAsia="Times New Roman" w:cs="Calibri"/>
                <w:b/>
                <w:bCs/>
                <w:sz w:val="16"/>
                <w:szCs w:val="16"/>
              </w:rPr>
              <w:t>Aantal zware ongevallen in Europa</w:t>
            </w:r>
          </w:p>
        </w:tc>
        <w:tc>
          <w:tcPr>
            <w:tcW w:w="1285" w:type="dxa"/>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83</w:t>
            </w:r>
          </w:p>
        </w:tc>
        <w:tc>
          <w:tcPr>
            <w:tcW w:w="0" w:type="auto"/>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81</w:t>
            </w:r>
          </w:p>
        </w:tc>
        <w:tc>
          <w:tcPr>
            <w:tcW w:w="0" w:type="auto"/>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79</w:t>
            </w:r>
          </w:p>
        </w:tc>
        <w:tc>
          <w:tcPr>
            <w:tcW w:w="0" w:type="auto"/>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78</w:t>
            </w:r>
          </w:p>
        </w:tc>
      </w:tr>
      <w:tr w:rsidRPr="008F208C" w:rsidR="008F208C" w:rsidTr="00346F5E">
        <w:trPr>
          <w:jc w:val="center"/>
        </w:trPr>
        <w:tc>
          <w:tcPr>
            <w:tcW w:w="4156" w:type="dxa"/>
            <w:noWrap/>
            <w:vAlign w:val="bottom"/>
            <w:hideMark/>
          </w:tcPr>
          <w:p w:rsidRPr="008F208C" w:rsidR="008F208C" w:rsidP="00346F5E" w:rsidRDefault="008F208C">
            <w:pPr>
              <w:spacing w:line="240" w:lineRule="auto"/>
              <w:jc w:val="center"/>
              <w:rPr>
                <w:rFonts w:ascii="Verdana" w:hAnsi="Verdana" w:eastAsia="Times New Roman" w:cs="Calibri"/>
                <w:b/>
                <w:bCs/>
                <w:sz w:val="16"/>
                <w:szCs w:val="16"/>
              </w:rPr>
            </w:pPr>
            <w:r w:rsidRPr="008F208C">
              <w:rPr>
                <w:rFonts w:ascii="Verdana" w:hAnsi="Verdana" w:eastAsia="Times New Roman" w:cs="Calibri"/>
                <w:b/>
                <w:bCs/>
                <w:sz w:val="16"/>
                <w:szCs w:val="16"/>
              </w:rPr>
              <w:t>Aantal zware ongevallen in Nederland</w:t>
            </w:r>
          </w:p>
        </w:tc>
        <w:tc>
          <w:tcPr>
            <w:tcW w:w="1285" w:type="dxa"/>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8</w:t>
            </w:r>
          </w:p>
        </w:tc>
        <w:tc>
          <w:tcPr>
            <w:tcW w:w="0" w:type="auto"/>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15</w:t>
            </w:r>
          </w:p>
        </w:tc>
        <w:tc>
          <w:tcPr>
            <w:tcW w:w="0" w:type="auto"/>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8</w:t>
            </w:r>
          </w:p>
        </w:tc>
        <w:tc>
          <w:tcPr>
            <w:tcW w:w="0" w:type="auto"/>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6</w:t>
            </w:r>
          </w:p>
        </w:tc>
      </w:tr>
      <w:tr w:rsidRPr="008F208C" w:rsidR="008F208C" w:rsidTr="00346F5E">
        <w:trPr>
          <w:jc w:val="center"/>
        </w:trPr>
        <w:tc>
          <w:tcPr>
            <w:tcW w:w="4156" w:type="dxa"/>
            <w:noWrap/>
            <w:vAlign w:val="bottom"/>
            <w:hideMark/>
          </w:tcPr>
          <w:p w:rsidRPr="008F208C" w:rsidR="008F208C" w:rsidP="00346F5E" w:rsidRDefault="008F208C">
            <w:pPr>
              <w:spacing w:line="240" w:lineRule="auto"/>
              <w:jc w:val="center"/>
              <w:rPr>
                <w:rFonts w:ascii="Verdana" w:hAnsi="Verdana" w:eastAsia="Times New Roman" w:cs="Calibri"/>
                <w:b/>
                <w:bCs/>
                <w:sz w:val="16"/>
                <w:szCs w:val="16"/>
              </w:rPr>
            </w:pPr>
            <w:r w:rsidRPr="008F208C">
              <w:rPr>
                <w:rFonts w:ascii="Verdana" w:hAnsi="Verdana" w:eastAsia="Times New Roman" w:cs="Calibri"/>
                <w:b/>
                <w:bCs/>
                <w:sz w:val="16"/>
                <w:szCs w:val="16"/>
              </w:rPr>
              <w:t>Percentage zware ongevallen in Nederland tov Europa</w:t>
            </w:r>
          </w:p>
        </w:tc>
        <w:tc>
          <w:tcPr>
            <w:tcW w:w="1285" w:type="dxa"/>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9,6</w:t>
            </w:r>
          </w:p>
        </w:tc>
        <w:tc>
          <w:tcPr>
            <w:tcW w:w="0" w:type="auto"/>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18,5</w:t>
            </w:r>
          </w:p>
        </w:tc>
        <w:tc>
          <w:tcPr>
            <w:tcW w:w="0" w:type="auto"/>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10,1</w:t>
            </w:r>
          </w:p>
        </w:tc>
        <w:tc>
          <w:tcPr>
            <w:tcW w:w="0" w:type="auto"/>
            <w:noWrap/>
            <w:vAlign w:val="bottom"/>
            <w:hideMark/>
          </w:tcPr>
          <w:p w:rsidRPr="008F208C" w:rsidR="008F208C" w:rsidP="00346F5E" w:rsidRDefault="008F208C">
            <w:pPr>
              <w:spacing w:line="240" w:lineRule="auto"/>
              <w:jc w:val="center"/>
              <w:rPr>
                <w:rFonts w:ascii="Verdana" w:hAnsi="Verdana" w:eastAsia="Times New Roman" w:cs="Calibri"/>
                <w:sz w:val="16"/>
                <w:szCs w:val="16"/>
              </w:rPr>
            </w:pPr>
            <w:r w:rsidRPr="008F208C">
              <w:rPr>
                <w:rFonts w:ascii="Verdana" w:hAnsi="Verdana" w:eastAsia="Times New Roman" w:cs="Calibri"/>
                <w:sz w:val="16"/>
                <w:szCs w:val="16"/>
              </w:rPr>
              <w:t>7,7</w:t>
            </w:r>
          </w:p>
        </w:tc>
      </w:tr>
    </w:tbl>
    <w:p w:rsidRPr="008F208C" w:rsidR="008F208C" w:rsidP="008F208C" w:rsidRDefault="008F208C">
      <w:pPr>
        <w:rPr>
          <w:rFonts w:ascii="Verdana" w:hAnsi="Verdana" w:cs="Calibri"/>
          <w:sz w:val="16"/>
          <w:szCs w:val="16"/>
        </w:rPr>
      </w:pPr>
    </w:p>
    <w:p w:rsidRPr="008F208C" w:rsidR="008F208C" w:rsidP="008F208C" w:rsidRDefault="008F208C">
      <w:pPr>
        <w:rPr>
          <w:rFonts w:ascii="Verdana" w:hAnsi="Verdana" w:cs="Calibri"/>
          <w:sz w:val="18"/>
          <w:szCs w:val="18"/>
        </w:rPr>
      </w:pPr>
      <w:r w:rsidRPr="008F208C">
        <w:rPr>
          <w:rFonts w:ascii="Verdana" w:hAnsi="Verdana" w:cs="Calibri"/>
          <w:sz w:val="18"/>
          <w:szCs w:val="18"/>
        </w:rPr>
        <w:t>In tabel 3 is het aantal Seve</w:t>
      </w:r>
      <w:r w:rsidR="00C71429">
        <w:rPr>
          <w:rFonts w:ascii="Verdana" w:hAnsi="Verdana" w:cs="Calibri"/>
          <w:sz w:val="18"/>
          <w:szCs w:val="18"/>
        </w:rPr>
        <w:t>s</w:t>
      </w:r>
      <w:r w:rsidRPr="008F208C">
        <w:rPr>
          <w:rFonts w:ascii="Verdana" w:hAnsi="Verdana" w:cs="Calibri"/>
          <w:sz w:val="18"/>
          <w:szCs w:val="18"/>
        </w:rPr>
        <w:t>o-inrichtingen in Nederland en Europa uitgesplitst in het aantal lage en hoge drempel inrichtingen. Iets minder dan 10% van de Seveso-inrichtingen zijn in Nederland gevestigd.</w:t>
      </w:r>
      <w:r w:rsidRPr="008F208C">
        <w:rPr>
          <w:rFonts w:ascii="Verdana" w:hAnsi="Verdana" w:cs="Calibri"/>
          <w:sz w:val="18"/>
          <w:szCs w:val="18"/>
        </w:rPr>
        <w:br/>
        <w:t>Het percentage zware ongevallen in Nederland was in 2009 – 2011 ongeveer 8% van het totale aantal in Europa. Dit komt redelijk overeen met het percentage Seveso-inrichtingen in Nederland in die jaren. Vooral het percentage zware ongevallen in Nederland t.o.v. Europa in 2003 – 2005 was uitzonderlijk hoog. Sindsdien is er een dalende lijn.</w:t>
      </w:r>
    </w:p>
    <w:p w:rsidRPr="008F208C" w:rsidR="008F208C" w:rsidP="008F208C" w:rsidRDefault="00C71429">
      <w:pPr>
        <w:rPr>
          <w:rFonts w:ascii="Verdana" w:hAnsi="Verdana" w:cs="Calibri"/>
          <w:sz w:val="16"/>
          <w:szCs w:val="16"/>
        </w:rPr>
      </w:pPr>
      <w:r>
        <w:rPr>
          <w:rFonts w:ascii="Verdana" w:hAnsi="Verdana" w:cs="Calibri"/>
          <w:sz w:val="16"/>
          <w:szCs w:val="16"/>
        </w:rPr>
        <w:t>Tabel 3: Het aantal Se</w:t>
      </w:r>
      <w:r w:rsidRPr="008F208C" w:rsidR="008F208C">
        <w:rPr>
          <w:rFonts w:ascii="Verdana" w:hAnsi="Verdana" w:cs="Calibri"/>
          <w:sz w:val="16"/>
          <w:szCs w:val="16"/>
        </w:rPr>
        <w:t>veso-inrichtingen in Nederland en in Europa</w:t>
      </w:r>
    </w:p>
    <w:tbl>
      <w:tblPr>
        <w:tblW w:w="9570" w:type="dxa"/>
        <w:tblInd w:w="-356" w:type="dxa"/>
        <w:tblCellMar>
          <w:left w:w="70" w:type="dxa"/>
          <w:right w:w="70" w:type="dxa"/>
        </w:tblCellMar>
        <w:tblLook w:val="04A0" w:firstRow="1" w:lastRow="0" w:firstColumn="1" w:lastColumn="0" w:noHBand="0" w:noVBand="1"/>
      </w:tblPr>
      <w:tblGrid>
        <w:gridCol w:w="5262"/>
        <w:gridCol w:w="667"/>
        <w:gridCol w:w="667"/>
        <w:gridCol w:w="667"/>
        <w:gridCol w:w="769"/>
        <w:gridCol w:w="769"/>
        <w:gridCol w:w="769"/>
      </w:tblGrid>
      <w:tr w:rsidRPr="008F208C" w:rsidR="008F208C" w:rsidTr="00346F5E">
        <w:trPr>
          <w:trHeight w:val="300"/>
        </w:trPr>
        <w:tc>
          <w:tcPr>
            <w:tcW w:w="52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Aantal Seveso inrichtingen\Jaar</w:t>
            </w:r>
          </w:p>
        </w:tc>
        <w:tc>
          <w:tcPr>
            <w:tcW w:w="667" w:type="dxa"/>
            <w:tcBorders>
              <w:top w:val="single" w:color="auto" w:sz="4" w:space="0"/>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2002</w:t>
            </w:r>
          </w:p>
        </w:tc>
        <w:tc>
          <w:tcPr>
            <w:tcW w:w="667" w:type="dxa"/>
            <w:tcBorders>
              <w:top w:val="single" w:color="auto" w:sz="4" w:space="0"/>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2005</w:t>
            </w:r>
          </w:p>
        </w:tc>
        <w:tc>
          <w:tcPr>
            <w:tcW w:w="667" w:type="dxa"/>
            <w:tcBorders>
              <w:top w:val="single" w:color="auto" w:sz="4" w:space="0"/>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2008</w:t>
            </w:r>
          </w:p>
        </w:tc>
        <w:tc>
          <w:tcPr>
            <w:tcW w:w="769" w:type="dxa"/>
            <w:tcBorders>
              <w:top w:val="single" w:color="auto" w:sz="4" w:space="0"/>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2009</w:t>
            </w:r>
          </w:p>
        </w:tc>
        <w:tc>
          <w:tcPr>
            <w:tcW w:w="769" w:type="dxa"/>
            <w:tcBorders>
              <w:top w:val="single" w:color="auto" w:sz="4" w:space="0"/>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2010</w:t>
            </w:r>
          </w:p>
        </w:tc>
        <w:tc>
          <w:tcPr>
            <w:tcW w:w="769" w:type="dxa"/>
            <w:tcBorders>
              <w:top w:val="single" w:color="auto" w:sz="4" w:space="0"/>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2011</w:t>
            </w:r>
          </w:p>
        </w:tc>
      </w:tr>
      <w:tr w:rsidRPr="008F208C" w:rsidR="008F208C" w:rsidTr="00346F5E">
        <w:trPr>
          <w:trHeight w:val="300"/>
        </w:trPr>
        <w:tc>
          <w:tcPr>
            <w:tcW w:w="5262" w:type="dxa"/>
            <w:tcBorders>
              <w:top w:val="nil"/>
              <w:left w:val="single" w:color="auto" w:sz="4" w:space="0"/>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Europa - hoge drempel inrichtingen</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3677</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3949</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4528</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4649</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4668</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4791</w:t>
            </w:r>
          </w:p>
        </w:tc>
      </w:tr>
      <w:tr w:rsidRPr="008F208C" w:rsidR="008F208C" w:rsidTr="00346F5E">
        <w:trPr>
          <w:trHeight w:val="300"/>
        </w:trPr>
        <w:tc>
          <w:tcPr>
            <w:tcW w:w="5262" w:type="dxa"/>
            <w:tcBorders>
              <w:top w:val="nil"/>
              <w:left w:val="single" w:color="auto" w:sz="4" w:space="0"/>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Europa - lage drempelinrichtingen</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5523</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5418</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5523</w:t>
            </w:r>
          </w:p>
        </w:tc>
      </w:tr>
      <w:tr w:rsidRPr="008F208C" w:rsidR="008F208C" w:rsidTr="00346F5E">
        <w:trPr>
          <w:trHeight w:val="300"/>
        </w:trPr>
        <w:tc>
          <w:tcPr>
            <w:tcW w:w="5262" w:type="dxa"/>
            <w:tcBorders>
              <w:top w:val="nil"/>
              <w:left w:val="single" w:color="auto" w:sz="4" w:space="0"/>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Totaal in Europa</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10014</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10086</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10314</w:t>
            </w:r>
          </w:p>
        </w:tc>
      </w:tr>
      <w:tr w:rsidRPr="008F208C" w:rsidR="008F208C" w:rsidTr="00346F5E">
        <w:trPr>
          <w:trHeight w:val="300"/>
        </w:trPr>
        <w:tc>
          <w:tcPr>
            <w:tcW w:w="5262" w:type="dxa"/>
            <w:tcBorders>
              <w:top w:val="nil"/>
              <w:left w:val="single" w:color="auto" w:sz="4" w:space="0"/>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Nederland - hoge drempel inrichtingen</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176</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188</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221</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249</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255</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255</w:t>
            </w:r>
          </w:p>
        </w:tc>
      </w:tr>
      <w:tr w:rsidRPr="008F208C" w:rsidR="008F208C" w:rsidTr="00346F5E">
        <w:trPr>
          <w:trHeight w:val="300"/>
        </w:trPr>
        <w:tc>
          <w:tcPr>
            <w:tcW w:w="5262" w:type="dxa"/>
            <w:tcBorders>
              <w:top w:val="nil"/>
              <w:left w:val="single" w:color="auto" w:sz="4" w:space="0"/>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Nederland - lage drempel inrichtingen</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157</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134</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163</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167</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179</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187</w:t>
            </w:r>
          </w:p>
        </w:tc>
      </w:tr>
      <w:tr w:rsidRPr="008F208C" w:rsidR="008F208C" w:rsidTr="00346F5E">
        <w:trPr>
          <w:trHeight w:val="300"/>
        </w:trPr>
        <w:tc>
          <w:tcPr>
            <w:tcW w:w="5262" w:type="dxa"/>
            <w:tcBorders>
              <w:top w:val="nil"/>
              <w:left w:val="single" w:color="auto" w:sz="4" w:space="0"/>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Totaal in Nederland</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333</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322</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384</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442</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434</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416</w:t>
            </w:r>
          </w:p>
        </w:tc>
      </w:tr>
      <w:tr w:rsidRPr="008F208C" w:rsidR="008F208C" w:rsidTr="00346F5E">
        <w:trPr>
          <w:trHeight w:val="300"/>
        </w:trPr>
        <w:tc>
          <w:tcPr>
            <w:tcW w:w="5262" w:type="dxa"/>
            <w:tcBorders>
              <w:top w:val="nil"/>
              <w:left w:val="single" w:color="auto" w:sz="4" w:space="0"/>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sz w:val="16"/>
                <w:szCs w:val="16"/>
                <w:lang w:eastAsia="nl-NL"/>
              </w:rPr>
            </w:pPr>
            <w:r w:rsidRPr="008F208C">
              <w:rPr>
                <w:rFonts w:ascii="Verdana" w:hAnsi="Verdana" w:eastAsia="Times New Roman" w:cs="Calibri"/>
                <w:sz w:val="16"/>
                <w:szCs w:val="16"/>
                <w:lang w:eastAsia="nl-NL"/>
              </w:rPr>
              <w:t>Percentage Seveso-inrichtingen in Nederland t</w:t>
            </w:r>
            <w:r w:rsidR="00C71429">
              <w:rPr>
                <w:rFonts w:ascii="Verdana" w:hAnsi="Verdana" w:eastAsia="Times New Roman" w:cs="Calibri"/>
                <w:sz w:val="16"/>
                <w:szCs w:val="16"/>
                <w:lang w:eastAsia="nl-NL"/>
              </w:rPr>
              <w:t>.</w:t>
            </w:r>
            <w:r w:rsidRPr="008F208C">
              <w:rPr>
                <w:rFonts w:ascii="Verdana" w:hAnsi="Verdana" w:eastAsia="Times New Roman" w:cs="Calibri"/>
                <w:sz w:val="16"/>
                <w:szCs w:val="16"/>
                <w:lang w:eastAsia="nl-NL"/>
              </w:rPr>
              <w:t>o</w:t>
            </w:r>
            <w:r w:rsidR="00C71429">
              <w:rPr>
                <w:rFonts w:ascii="Verdana" w:hAnsi="Verdana" w:eastAsia="Times New Roman" w:cs="Calibri"/>
                <w:sz w:val="16"/>
                <w:szCs w:val="16"/>
                <w:lang w:eastAsia="nl-NL"/>
              </w:rPr>
              <w:t>.</w:t>
            </w:r>
            <w:r w:rsidRPr="008F208C">
              <w:rPr>
                <w:rFonts w:ascii="Verdana" w:hAnsi="Verdana" w:eastAsia="Times New Roman" w:cs="Calibri"/>
                <w:sz w:val="16"/>
                <w:szCs w:val="16"/>
                <w:lang w:eastAsia="nl-NL"/>
              </w:rPr>
              <w:t>v</w:t>
            </w:r>
            <w:r w:rsidR="00C71429">
              <w:rPr>
                <w:rFonts w:ascii="Verdana" w:hAnsi="Verdana" w:eastAsia="Times New Roman" w:cs="Calibri"/>
                <w:sz w:val="16"/>
                <w:szCs w:val="16"/>
                <w:lang w:eastAsia="nl-NL"/>
              </w:rPr>
              <w:t>.</w:t>
            </w:r>
            <w:r w:rsidRPr="008F208C">
              <w:rPr>
                <w:rFonts w:ascii="Verdana" w:hAnsi="Verdana" w:eastAsia="Times New Roman" w:cs="Calibri"/>
                <w:sz w:val="16"/>
                <w:szCs w:val="16"/>
                <w:lang w:eastAsia="nl-NL"/>
              </w:rPr>
              <w:t xml:space="preserve"> Europa</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9,1</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8,2</w:t>
            </w:r>
          </w:p>
        </w:tc>
        <w:tc>
          <w:tcPr>
            <w:tcW w:w="667"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8,5</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9,5</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9,3</w:t>
            </w:r>
          </w:p>
        </w:tc>
        <w:tc>
          <w:tcPr>
            <w:tcW w:w="769" w:type="dxa"/>
            <w:tcBorders>
              <w:top w:val="nil"/>
              <w:left w:val="nil"/>
              <w:bottom w:val="single" w:color="auto" w:sz="4" w:space="0"/>
              <w:right w:val="single" w:color="auto" w:sz="4" w:space="0"/>
            </w:tcBorders>
            <w:shd w:val="clear" w:color="auto" w:fill="auto"/>
            <w:noWrap/>
            <w:vAlign w:val="bottom"/>
            <w:hideMark/>
          </w:tcPr>
          <w:p w:rsidRPr="008F208C" w:rsidR="008F208C" w:rsidP="00346F5E" w:rsidRDefault="008F208C">
            <w:pPr>
              <w:spacing w:line="240" w:lineRule="auto"/>
              <w:jc w:val="center"/>
              <w:rPr>
                <w:rFonts w:ascii="Verdana" w:hAnsi="Verdana" w:eastAsia="Times New Roman" w:cs="Calibri"/>
                <w:b/>
                <w:bCs/>
                <w:sz w:val="16"/>
                <w:szCs w:val="16"/>
                <w:lang w:eastAsia="nl-NL"/>
              </w:rPr>
            </w:pPr>
            <w:r w:rsidRPr="008F208C">
              <w:rPr>
                <w:rFonts w:ascii="Verdana" w:hAnsi="Verdana" w:eastAsia="Times New Roman" w:cs="Calibri"/>
                <w:b/>
                <w:bCs/>
                <w:sz w:val="16"/>
                <w:szCs w:val="16"/>
                <w:lang w:eastAsia="nl-NL"/>
              </w:rPr>
              <w:t>8,7</w:t>
            </w:r>
          </w:p>
        </w:tc>
      </w:tr>
    </w:tbl>
    <w:p w:rsidRPr="008F208C" w:rsidR="00BB7C52" w:rsidP="008F208C" w:rsidRDefault="00BB7C52">
      <w:pPr>
        <w:spacing w:after="0"/>
        <w:rPr>
          <w:rFonts w:ascii="Verdana" w:hAnsi="Verdana" w:cs="Calibri"/>
        </w:rPr>
      </w:pPr>
    </w:p>
    <w:sectPr w:rsidRPr="008F208C" w:rsidR="00BB7C52" w:rsidSect="000C2A1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2C4" w:rsidRDefault="003932C4" w:rsidP="00DD1DFF">
      <w:pPr>
        <w:spacing w:after="0" w:line="240" w:lineRule="auto"/>
      </w:pPr>
      <w:r>
        <w:separator/>
      </w:r>
    </w:p>
  </w:endnote>
  <w:endnote w:type="continuationSeparator" w:id="0">
    <w:p w:rsidR="003932C4" w:rsidRDefault="003932C4" w:rsidP="00DD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2C4" w:rsidRDefault="003932C4" w:rsidP="00DD1DFF">
      <w:pPr>
        <w:spacing w:after="0" w:line="240" w:lineRule="auto"/>
      </w:pPr>
      <w:r>
        <w:separator/>
      </w:r>
    </w:p>
  </w:footnote>
  <w:footnote w:type="continuationSeparator" w:id="0">
    <w:p w:rsidR="003932C4" w:rsidRDefault="003932C4" w:rsidP="00DD1DFF">
      <w:pPr>
        <w:spacing w:after="0" w:line="240" w:lineRule="auto"/>
      </w:pPr>
      <w:r>
        <w:continuationSeparator/>
      </w:r>
    </w:p>
  </w:footnote>
  <w:footnote w:id="1">
    <w:p w:rsidR="008F208C" w:rsidRDefault="008F208C" w:rsidP="008F208C">
      <w:pPr>
        <w:pStyle w:val="FootnoteText"/>
      </w:pPr>
      <w:r w:rsidRPr="001357F5">
        <w:rPr>
          <w:rStyle w:val="FootnoteReference"/>
          <w:sz w:val="16"/>
          <w:szCs w:val="16"/>
        </w:rPr>
        <w:footnoteRef/>
      </w:r>
      <w:r w:rsidRPr="001357F5">
        <w:rPr>
          <w:sz w:val="16"/>
          <w:szCs w:val="16"/>
        </w:rPr>
        <w:t xml:space="preserve"> https://emars.jrc.ec.europa.eu/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DFF"/>
    <w:rsid w:val="0000680B"/>
    <w:rsid w:val="000A2065"/>
    <w:rsid w:val="000C2A1A"/>
    <w:rsid w:val="001B5494"/>
    <w:rsid w:val="0020161D"/>
    <w:rsid w:val="00273AE3"/>
    <w:rsid w:val="00314B54"/>
    <w:rsid w:val="00346F5E"/>
    <w:rsid w:val="003932C4"/>
    <w:rsid w:val="005F4A93"/>
    <w:rsid w:val="00666466"/>
    <w:rsid w:val="0072112A"/>
    <w:rsid w:val="007973F7"/>
    <w:rsid w:val="00872DDB"/>
    <w:rsid w:val="008F208C"/>
    <w:rsid w:val="00A17C6E"/>
    <w:rsid w:val="00AB1E06"/>
    <w:rsid w:val="00BB7C52"/>
    <w:rsid w:val="00C074D7"/>
    <w:rsid w:val="00C1185B"/>
    <w:rsid w:val="00C71429"/>
    <w:rsid w:val="00DD1DFF"/>
    <w:rsid w:val="00E423E0"/>
    <w:rsid w:val="00EA2F40"/>
    <w:rsid w:val="00F02235"/>
    <w:rsid w:val="00F22CDC"/>
    <w:rsid w:val="00FB6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1D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DFF"/>
    <w:rPr>
      <w:sz w:val="20"/>
      <w:szCs w:val="20"/>
    </w:rPr>
  </w:style>
  <w:style w:type="character" w:styleId="FootnoteReference">
    <w:name w:val="footnote reference"/>
    <w:basedOn w:val="DefaultParagraphFont"/>
    <w:uiPriority w:val="99"/>
    <w:semiHidden/>
    <w:unhideWhenUsed/>
    <w:rsid w:val="00DD1DFF"/>
    <w:rPr>
      <w:vertAlign w:val="superscript"/>
    </w:rPr>
  </w:style>
  <w:style w:type="character" w:styleId="CommentReference">
    <w:name w:val="annotation reference"/>
    <w:basedOn w:val="DefaultParagraphFont"/>
    <w:uiPriority w:val="99"/>
    <w:semiHidden/>
    <w:unhideWhenUsed/>
    <w:rsid w:val="00DD1DFF"/>
    <w:rPr>
      <w:sz w:val="16"/>
      <w:szCs w:val="16"/>
    </w:rPr>
  </w:style>
  <w:style w:type="paragraph" w:styleId="CommentText">
    <w:name w:val="annotation text"/>
    <w:basedOn w:val="Normal"/>
    <w:link w:val="CommentTextChar"/>
    <w:uiPriority w:val="99"/>
    <w:semiHidden/>
    <w:unhideWhenUsed/>
    <w:rsid w:val="00DD1DFF"/>
    <w:pPr>
      <w:widowControl w:val="0"/>
      <w:suppressAutoHyphens/>
      <w:autoSpaceDN w:val="0"/>
      <w:spacing w:after="0" w:line="240" w:lineRule="auto"/>
      <w:textAlignment w:val="baseline"/>
    </w:pPr>
    <w:rPr>
      <w:rFonts w:ascii="Verdana" w:eastAsia="DejaVu Sans" w:hAnsi="Verdana" w:cs="Mangal"/>
      <w:kern w:val="3"/>
      <w:sz w:val="20"/>
      <w:szCs w:val="18"/>
      <w:lang w:eastAsia="zh-CN" w:bidi="hi-IN"/>
    </w:rPr>
  </w:style>
  <w:style w:type="character" w:customStyle="1" w:styleId="CommentTextChar">
    <w:name w:val="Comment Text Char"/>
    <w:basedOn w:val="DefaultParagraphFont"/>
    <w:link w:val="CommentText"/>
    <w:uiPriority w:val="99"/>
    <w:semiHidden/>
    <w:rsid w:val="00DD1DFF"/>
    <w:rPr>
      <w:rFonts w:ascii="Verdana" w:eastAsia="DejaVu Sans" w:hAnsi="Verdana" w:cs="Mangal"/>
      <w:kern w:val="3"/>
      <w:sz w:val="20"/>
      <w:szCs w:val="18"/>
      <w:lang w:eastAsia="zh-CN" w:bidi="hi-IN"/>
    </w:rPr>
  </w:style>
  <w:style w:type="character" w:styleId="Hyperlink">
    <w:name w:val="Hyperlink"/>
    <w:basedOn w:val="DefaultParagraphFont"/>
    <w:uiPriority w:val="99"/>
    <w:semiHidden/>
    <w:unhideWhenUsed/>
    <w:rsid w:val="00DD1DFF"/>
    <w:rPr>
      <w:color w:val="0000FF"/>
      <w:u w:val="single"/>
    </w:rPr>
  </w:style>
  <w:style w:type="paragraph" w:styleId="BalloonText">
    <w:name w:val="Balloon Text"/>
    <w:basedOn w:val="Normal"/>
    <w:link w:val="BalloonTextChar"/>
    <w:uiPriority w:val="99"/>
    <w:semiHidden/>
    <w:unhideWhenUsed/>
    <w:rsid w:val="00DD1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9639">
      <w:bodyDiv w:val="1"/>
      <w:marLeft w:val="0"/>
      <w:marRight w:val="0"/>
      <w:marTop w:val="0"/>
      <w:marBottom w:val="0"/>
      <w:divBdr>
        <w:top w:val="none" w:sz="0" w:space="0" w:color="auto"/>
        <w:left w:val="none" w:sz="0" w:space="0" w:color="auto"/>
        <w:bottom w:val="none" w:sz="0" w:space="0" w:color="auto"/>
        <w:right w:val="none" w:sz="0" w:space="0" w:color="auto"/>
      </w:divBdr>
    </w:div>
    <w:div w:id="1030257734">
      <w:bodyDiv w:val="1"/>
      <w:marLeft w:val="0"/>
      <w:marRight w:val="0"/>
      <w:marTop w:val="0"/>
      <w:marBottom w:val="0"/>
      <w:divBdr>
        <w:top w:val="none" w:sz="0" w:space="0" w:color="auto"/>
        <w:left w:val="none" w:sz="0" w:space="0" w:color="auto"/>
        <w:bottom w:val="none" w:sz="0" w:space="0" w:color="auto"/>
        <w:right w:val="none" w:sz="0" w:space="0" w:color="auto"/>
      </w:divBdr>
    </w:div>
    <w:div w:id="1391877105">
      <w:bodyDiv w:val="1"/>
      <w:marLeft w:val="0"/>
      <w:marRight w:val="0"/>
      <w:marTop w:val="0"/>
      <w:marBottom w:val="0"/>
      <w:divBdr>
        <w:top w:val="none" w:sz="0" w:space="0" w:color="auto"/>
        <w:left w:val="none" w:sz="0" w:space="0" w:color="auto"/>
        <w:bottom w:val="none" w:sz="0" w:space="0" w:color="auto"/>
        <w:right w:val="none" w:sz="0" w:space="0" w:color="auto"/>
      </w:divBdr>
    </w:div>
    <w:div w:id="1691251231">
      <w:bodyDiv w:val="1"/>
      <w:marLeft w:val="0"/>
      <w:marRight w:val="0"/>
      <w:marTop w:val="0"/>
      <w:marBottom w:val="0"/>
      <w:divBdr>
        <w:top w:val="none" w:sz="0" w:space="0" w:color="auto"/>
        <w:left w:val="none" w:sz="0" w:space="0" w:color="auto"/>
        <w:bottom w:val="none" w:sz="0" w:space="0" w:color="auto"/>
        <w:right w:val="none" w:sz="0" w:space="0" w:color="auto"/>
      </w:divBdr>
    </w:div>
    <w:div w:id="2015767808">
      <w:bodyDiv w:val="1"/>
      <w:marLeft w:val="0"/>
      <w:marRight w:val="0"/>
      <w:marTop w:val="0"/>
      <w:marBottom w:val="0"/>
      <w:divBdr>
        <w:top w:val="none" w:sz="0" w:space="0" w:color="auto"/>
        <w:left w:val="none" w:sz="0" w:space="0" w:color="auto"/>
        <w:bottom w:val="none" w:sz="0" w:space="0" w:color="auto"/>
        <w:right w:val="none" w:sz="0" w:space="0" w:color="auto"/>
      </w:divBdr>
    </w:div>
    <w:div w:id="20738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339</ap:Words>
  <ap:Characters>1865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2013-12-04T14:45:00.0000000Z</dcterms:created>
  <dcterms:modified xsi:type="dcterms:W3CDTF">2013-12-04T14:45:00.0000000Z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0x01010037AA23FD31F030459D1F52CD355EC298</vt:lpwstr>
  </property>
</Properties>
</file>