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31" w:rsidRDefault="005A37CA">
      <w:pPr>
        <w:rPr>
          <w:b/>
        </w:rPr>
      </w:pPr>
      <w:bookmarkStart w:name="_GoBack" w:id="0"/>
      <w:bookmarkEnd w:id="0"/>
      <w:r w:rsidRPr="003C3004">
        <w:rPr>
          <w:b/>
        </w:rPr>
        <w:t>Bijlage</w:t>
      </w:r>
      <w:r w:rsidR="008D4631">
        <w:rPr>
          <w:b/>
        </w:rPr>
        <w:t xml:space="preserve"> 1</w:t>
      </w:r>
      <w:r w:rsidRPr="003C3004">
        <w:rPr>
          <w:b/>
        </w:rPr>
        <w:t xml:space="preserve"> </w:t>
      </w:r>
    </w:p>
    <w:p w:rsidRPr="008D4631" w:rsidR="005A37CA" w:rsidRDefault="005A37CA">
      <w:pPr>
        <w:rPr>
          <w:b/>
        </w:rPr>
      </w:pPr>
      <w:r>
        <w:t xml:space="preserve"> </w:t>
      </w:r>
      <w:r w:rsidRPr="003C3004">
        <w:t>Stand van zaken bedrijfsbrandweer</w:t>
      </w:r>
    </w:p>
    <w:p w:rsidR="005A37CA" w:rsidRDefault="005A37CA"/>
    <w:p w:rsidR="005A37CA" w:rsidRDefault="003C3004">
      <w:r>
        <w:t>O</w:t>
      </w:r>
      <w:r w:rsidR="005A37CA">
        <w:t>verzicht bedrijfsbrandweer op grond van artikel 31 Wet veiligheidsregio’s</w:t>
      </w:r>
      <w: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98"/>
        <w:gridCol w:w="1507"/>
        <w:gridCol w:w="1506"/>
        <w:gridCol w:w="1507"/>
        <w:gridCol w:w="1506"/>
        <w:gridCol w:w="1507"/>
      </w:tblGrid>
      <w:tr w:rsidR="005A37CA" w:rsidTr="003C3004">
        <w:trPr>
          <w:trHeight w:val="269"/>
        </w:trPr>
        <w:tc>
          <w:tcPr>
            <w:tcW w:w="1398" w:type="dxa"/>
          </w:tcPr>
          <w:p w:rsidR="005A37CA" w:rsidRDefault="005A37CA"/>
        </w:tc>
        <w:tc>
          <w:tcPr>
            <w:tcW w:w="1507" w:type="dxa"/>
          </w:tcPr>
          <w:p w:rsidR="005A37CA" w:rsidRDefault="005A37CA">
            <w:r>
              <w:t>Totaal</w:t>
            </w:r>
          </w:p>
        </w:tc>
        <w:tc>
          <w:tcPr>
            <w:tcW w:w="1506" w:type="dxa"/>
          </w:tcPr>
          <w:p w:rsidR="005A37CA" w:rsidRDefault="005A37CA">
            <w:r>
              <w:t>Beoordeeld</w:t>
            </w:r>
          </w:p>
        </w:tc>
        <w:tc>
          <w:tcPr>
            <w:tcW w:w="1507" w:type="dxa"/>
          </w:tcPr>
          <w:p w:rsidR="005A37CA" w:rsidRDefault="005A37CA">
            <w:r>
              <w:t>Aangewezen</w:t>
            </w:r>
          </w:p>
        </w:tc>
        <w:tc>
          <w:tcPr>
            <w:tcW w:w="1506" w:type="dxa"/>
          </w:tcPr>
          <w:p w:rsidR="005A37CA" w:rsidP="005A37CA" w:rsidRDefault="005A37CA">
            <w:r>
              <w:t>In procedure</w:t>
            </w:r>
          </w:p>
        </w:tc>
        <w:tc>
          <w:tcPr>
            <w:tcW w:w="1507" w:type="dxa"/>
          </w:tcPr>
          <w:p w:rsidR="005A37CA" w:rsidRDefault="005A37CA">
            <w:r>
              <w:t>Overig</w:t>
            </w:r>
            <w:r w:rsidRPr="003C3004">
              <w:rPr>
                <w:b/>
              </w:rPr>
              <w:t>*</w:t>
            </w:r>
          </w:p>
        </w:tc>
      </w:tr>
      <w:tr w:rsidR="00377922" w:rsidTr="003C3004">
        <w:trPr>
          <w:trHeight w:val="269"/>
        </w:trPr>
        <w:tc>
          <w:tcPr>
            <w:tcW w:w="1398" w:type="dxa"/>
          </w:tcPr>
          <w:p w:rsidR="00377922" w:rsidRDefault="00377922"/>
        </w:tc>
        <w:tc>
          <w:tcPr>
            <w:tcW w:w="1507" w:type="dxa"/>
          </w:tcPr>
          <w:p w:rsidR="00377922" w:rsidRDefault="00377922"/>
        </w:tc>
        <w:tc>
          <w:tcPr>
            <w:tcW w:w="1506" w:type="dxa"/>
          </w:tcPr>
          <w:p w:rsidR="00377922" w:rsidRDefault="00377922"/>
        </w:tc>
        <w:tc>
          <w:tcPr>
            <w:tcW w:w="1507" w:type="dxa"/>
          </w:tcPr>
          <w:p w:rsidR="00377922" w:rsidRDefault="00377922"/>
        </w:tc>
        <w:tc>
          <w:tcPr>
            <w:tcW w:w="1506" w:type="dxa"/>
          </w:tcPr>
          <w:p w:rsidR="00377922" w:rsidRDefault="00377922"/>
        </w:tc>
        <w:tc>
          <w:tcPr>
            <w:tcW w:w="1507" w:type="dxa"/>
          </w:tcPr>
          <w:p w:rsidR="00377922" w:rsidRDefault="00377922"/>
        </w:tc>
      </w:tr>
      <w:tr w:rsidR="005A37CA" w:rsidTr="003C3004">
        <w:trPr>
          <w:trHeight w:val="269"/>
        </w:trPr>
        <w:tc>
          <w:tcPr>
            <w:tcW w:w="1398" w:type="dxa"/>
          </w:tcPr>
          <w:p w:rsidR="005A37CA" w:rsidRDefault="005A37CA">
            <w:r>
              <w:t>VR</w:t>
            </w:r>
          </w:p>
        </w:tc>
        <w:tc>
          <w:tcPr>
            <w:tcW w:w="1507" w:type="dxa"/>
          </w:tcPr>
          <w:p w:rsidR="005A37CA" w:rsidRDefault="005A37CA">
            <w:r>
              <w:t>100% (268)</w:t>
            </w:r>
          </w:p>
        </w:tc>
        <w:tc>
          <w:tcPr>
            <w:tcW w:w="1506" w:type="dxa"/>
          </w:tcPr>
          <w:p w:rsidR="005A37CA" w:rsidRDefault="005A37CA">
            <w:r>
              <w:t>73% (195)</w:t>
            </w:r>
          </w:p>
        </w:tc>
        <w:tc>
          <w:tcPr>
            <w:tcW w:w="1507" w:type="dxa"/>
          </w:tcPr>
          <w:p w:rsidR="005A37CA" w:rsidRDefault="005A37CA">
            <w:r>
              <w:t>40% (108)</w:t>
            </w:r>
          </w:p>
        </w:tc>
        <w:tc>
          <w:tcPr>
            <w:tcW w:w="1506" w:type="dxa"/>
          </w:tcPr>
          <w:p w:rsidR="005A37CA" w:rsidRDefault="005A37CA">
            <w:r>
              <w:t>24% (64)</w:t>
            </w:r>
          </w:p>
        </w:tc>
        <w:tc>
          <w:tcPr>
            <w:tcW w:w="1507" w:type="dxa"/>
          </w:tcPr>
          <w:p w:rsidR="005A37CA" w:rsidRDefault="00F8315F">
            <w:r>
              <w:t xml:space="preserve">  </w:t>
            </w:r>
            <w:r w:rsidR="005A37CA">
              <w:t>3% (9)</w:t>
            </w:r>
          </w:p>
        </w:tc>
      </w:tr>
      <w:tr w:rsidR="005A37CA" w:rsidTr="003C3004">
        <w:trPr>
          <w:trHeight w:val="269"/>
        </w:trPr>
        <w:tc>
          <w:tcPr>
            <w:tcW w:w="1398" w:type="dxa"/>
          </w:tcPr>
          <w:p w:rsidR="005A37CA" w:rsidRDefault="005A37CA">
            <w:r>
              <w:t>PBZO</w:t>
            </w:r>
          </w:p>
        </w:tc>
        <w:tc>
          <w:tcPr>
            <w:tcW w:w="1507" w:type="dxa"/>
          </w:tcPr>
          <w:p w:rsidR="005A37CA" w:rsidRDefault="005A37CA">
            <w:r>
              <w:t>100% (153)</w:t>
            </w:r>
          </w:p>
        </w:tc>
        <w:tc>
          <w:tcPr>
            <w:tcW w:w="1506" w:type="dxa"/>
          </w:tcPr>
          <w:p w:rsidR="005A37CA" w:rsidRDefault="005A37CA">
            <w:r>
              <w:t>65% (99)</w:t>
            </w:r>
          </w:p>
        </w:tc>
        <w:tc>
          <w:tcPr>
            <w:tcW w:w="1507" w:type="dxa"/>
          </w:tcPr>
          <w:p w:rsidR="005A37CA" w:rsidRDefault="005A37CA">
            <w:r>
              <w:t xml:space="preserve"> 5% (8)</w:t>
            </w:r>
          </w:p>
        </w:tc>
        <w:tc>
          <w:tcPr>
            <w:tcW w:w="1506" w:type="dxa"/>
          </w:tcPr>
          <w:p w:rsidR="005A37CA" w:rsidRDefault="00F8315F">
            <w:r>
              <w:t>24% (37)</w:t>
            </w:r>
          </w:p>
        </w:tc>
        <w:tc>
          <w:tcPr>
            <w:tcW w:w="1507" w:type="dxa"/>
          </w:tcPr>
          <w:p w:rsidR="005A37CA" w:rsidRDefault="00F8315F">
            <w:r>
              <w:t>11% (17)</w:t>
            </w:r>
          </w:p>
        </w:tc>
      </w:tr>
      <w:tr w:rsidR="005A37CA" w:rsidTr="003C3004">
        <w:trPr>
          <w:trHeight w:val="269"/>
        </w:trPr>
        <w:tc>
          <w:tcPr>
            <w:tcW w:w="1398" w:type="dxa"/>
          </w:tcPr>
          <w:p w:rsidR="005A37CA" w:rsidRDefault="00F8315F">
            <w:r>
              <w:t>ARIE</w:t>
            </w:r>
          </w:p>
        </w:tc>
        <w:tc>
          <w:tcPr>
            <w:tcW w:w="1507" w:type="dxa"/>
          </w:tcPr>
          <w:p w:rsidR="005A37CA" w:rsidRDefault="00F8315F">
            <w:r>
              <w:t>100% (102)</w:t>
            </w:r>
          </w:p>
        </w:tc>
        <w:tc>
          <w:tcPr>
            <w:tcW w:w="1506" w:type="dxa"/>
          </w:tcPr>
          <w:p w:rsidR="005A37CA" w:rsidRDefault="00F8315F">
            <w:r>
              <w:t>76% (78)</w:t>
            </w:r>
          </w:p>
        </w:tc>
        <w:tc>
          <w:tcPr>
            <w:tcW w:w="1507" w:type="dxa"/>
          </w:tcPr>
          <w:p w:rsidR="005A37CA" w:rsidRDefault="00F8315F">
            <w:r>
              <w:t>14% (14)</w:t>
            </w:r>
          </w:p>
        </w:tc>
        <w:tc>
          <w:tcPr>
            <w:tcW w:w="1506" w:type="dxa"/>
          </w:tcPr>
          <w:p w:rsidR="005A37CA" w:rsidRDefault="00F8315F">
            <w:r>
              <w:t>11% (11)</w:t>
            </w:r>
          </w:p>
        </w:tc>
        <w:tc>
          <w:tcPr>
            <w:tcW w:w="1507" w:type="dxa"/>
          </w:tcPr>
          <w:p w:rsidR="005A37CA" w:rsidRDefault="00F8315F">
            <w:r>
              <w:t>13% (13)</w:t>
            </w:r>
          </w:p>
        </w:tc>
      </w:tr>
      <w:tr w:rsidR="005A37CA" w:rsidTr="003C3004">
        <w:trPr>
          <w:trHeight w:val="269"/>
        </w:trPr>
        <w:tc>
          <w:tcPr>
            <w:tcW w:w="1398" w:type="dxa"/>
          </w:tcPr>
          <w:p w:rsidR="005A37CA" w:rsidRDefault="00F8315F">
            <w:r>
              <w:t>KE</w:t>
            </w:r>
          </w:p>
        </w:tc>
        <w:tc>
          <w:tcPr>
            <w:tcW w:w="1507" w:type="dxa"/>
          </w:tcPr>
          <w:p w:rsidR="005A37CA" w:rsidRDefault="00F8315F">
            <w:r>
              <w:t>100% (3)</w:t>
            </w:r>
          </w:p>
        </w:tc>
        <w:tc>
          <w:tcPr>
            <w:tcW w:w="1506" w:type="dxa"/>
          </w:tcPr>
          <w:p w:rsidR="005A37CA" w:rsidRDefault="00F8315F">
            <w:r>
              <w:t>100% (3)</w:t>
            </w:r>
          </w:p>
        </w:tc>
        <w:tc>
          <w:tcPr>
            <w:tcW w:w="1507" w:type="dxa"/>
          </w:tcPr>
          <w:p w:rsidR="005A37CA" w:rsidRDefault="00F8315F">
            <w:r>
              <w:t>67% (2)</w:t>
            </w:r>
          </w:p>
        </w:tc>
        <w:tc>
          <w:tcPr>
            <w:tcW w:w="1506" w:type="dxa"/>
          </w:tcPr>
          <w:p w:rsidR="005A37CA" w:rsidRDefault="00F8315F">
            <w:r>
              <w:t xml:space="preserve">  0% (0)</w:t>
            </w:r>
          </w:p>
        </w:tc>
        <w:tc>
          <w:tcPr>
            <w:tcW w:w="1507" w:type="dxa"/>
          </w:tcPr>
          <w:p w:rsidR="005A37CA" w:rsidRDefault="00F8315F">
            <w:r>
              <w:t xml:space="preserve">  0% (0)</w:t>
            </w:r>
          </w:p>
        </w:tc>
      </w:tr>
      <w:tr w:rsidR="005A37CA" w:rsidTr="003C3004">
        <w:trPr>
          <w:trHeight w:val="269"/>
        </w:trPr>
        <w:tc>
          <w:tcPr>
            <w:tcW w:w="1398" w:type="dxa"/>
          </w:tcPr>
          <w:p w:rsidR="005A37CA" w:rsidRDefault="005A37CA"/>
        </w:tc>
        <w:tc>
          <w:tcPr>
            <w:tcW w:w="1507" w:type="dxa"/>
          </w:tcPr>
          <w:p w:rsidR="005A37CA" w:rsidRDefault="005A37CA"/>
        </w:tc>
        <w:tc>
          <w:tcPr>
            <w:tcW w:w="1506" w:type="dxa"/>
          </w:tcPr>
          <w:p w:rsidR="005A37CA" w:rsidRDefault="005A37CA"/>
        </w:tc>
        <w:tc>
          <w:tcPr>
            <w:tcW w:w="1507" w:type="dxa"/>
          </w:tcPr>
          <w:p w:rsidR="005A37CA" w:rsidRDefault="005A37CA"/>
        </w:tc>
        <w:tc>
          <w:tcPr>
            <w:tcW w:w="1506" w:type="dxa"/>
          </w:tcPr>
          <w:p w:rsidR="005A37CA" w:rsidRDefault="005A37CA"/>
        </w:tc>
        <w:tc>
          <w:tcPr>
            <w:tcW w:w="1507" w:type="dxa"/>
          </w:tcPr>
          <w:p w:rsidR="005A37CA" w:rsidRDefault="005A37CA"/>
        </w:tc>
      </w:tr>
    </w:tbl>
    <w:p w:rsidR="003C3004" w:rsidP="003C3004" w:rsidRDefault="003C3004">
      <w:pPr>
        <w:spacing w:after="0"/>
      </w:pPr>
    </w:p>
    <w:p w:rsidR="005A37CA" w:rsidRDefault="003C3004">
      <w:r>
        <w:t>Gegevens aangeleverd door het Landelijk Expertisecentrum Brandweer BRZO aan het ministerie van V</w:t>
      </w:r>
      <w:r w:rsidR="00C329CC">
        <w:t xml:space="preserve">eiligheid </w:t>
      </w:r>
      <w:r>
        <w:t>en</w:t>
      </w:r>
      <w:r w:rsidR="00C329CC">
        <w:t xml:space="preserve"> </w:t>
      </w:r>
      <w:r>
        <w:t>J</w:t>
      </w:r>
      <w:r w:rsidR="00C329CC">
        <w:t>ustitie</w:t>
      </w:r>
      <w:r>
        <w:t>. Peildatum 15 november 2013.</w:t>
      </w:r>
    </w:p>
    <w:p w:rsidR="003C3004" w:rsidP="003C3004" w:rsidRDefault="00F8315F">
      <w:pPr>
        <w:ind w:left="705" w:hanging="705"/>
      </w:pPr>
      <w:r w:rsidRPr="003C3004">
        <w:rPr>
          <w:b/>
        </w:rPr>
        <w:t>VR</w:t>
      </w:r>
      <w:r w:rsidR="003C3004">
        <w:t>:</w:t>
      </w:r>
      <w:r w:rsidR="003C3004">
        <w:tab/>
      </w:r>
      <w:r>
        <w:t>Brzo-bedrijven die moeten beschikken over een preventiebeleid en veiligheidsbeheersysteem en die</w:t>
      </w:r>
      <w:r w:rsidR="00991F0F">
        <w:t xml:space="preserve"> tevens een </w:t>
      </w:r>
      <w:r>
        <w:t xml:space="preserve"> veiligheidsrapport moeten opstellen (zware categorie)</w:t>
      </w:r>
      <w:r w:rsidR="00A97E44">
        <w:t>.</w:t>
      </w:r>
    </w:p>
    <w:p w:rsidR="00991F0F" w:rsidP="003C3004" w:rsidRDefault="00F8315F">
      <w:pPr>
        <w:ind w:left="705" w:hanging="705"/>
      </w:pPr>
      <w:r w:rsidRPr="003C3004">
        <w:rPr>
          <w:b/>
        </w:rPr>
        <w:t>PBZO</w:t>
      </w:r>
      <w:r>
        <w:t>:</w:t>
      </w:r>
      <w:r w:rsidR="003C3004">
        <w:tab/>
      </w:r>
      <w:r>
        <w:t xml:space="preserve"> Brzo-bedrijven die over </w:t>
      </w:r>
      <w:r w:rsidR="00755878">
        <w:t xml:space="preserve">een </w:t>
      </w:r>
      <w:r w:rsidRPr="00755878" w:rsidR="00755878">
        <w:t>P</w:t>
      </w:r>
      <w:r w:rsidR="00755878">
        <w:t>reventie</w:t>
      </w:r>
      <w:r w:rsidRPr="00A97E44" w:rsidR="00755878">
        <w:t>B</w:t>
      </w:r>
      <w:r>
        <w:t xml:space="preserve">eleid </w:t>
      </w:r>
      <w:r w:rsidRPr="00A97E44" w:rsidR="00755878">
        <w:t>Zware O</w:t>
      </w:r>
      <w:r w:rsidR="00755878">
        <w:t xml:space="preserve">ngevallen </w:t>
      </w:r>
      <w:r>
        <w:t>en</w:t>
      </w:r>
      <w:r w:rsidR="00755878">
        <w:t xml:space="preserve"> een</w:t>
      </w:r>
      <w:r>
        <w:t xml:space="preserve"> veiligheidsbeheersysteem</w:t>
      </w:r>
      <w:r w:rsidR="006A4C4B">
        <w:t xml:space="preserve"> </w:t>
      </w:r>
      <w:r>
        <w:t>moeten beschikken</w:t>
      </w:r>
      <w:r w:rsidR="00991F0F">
        <w:t xml:space="preserve"> (lichte categorie)</w:t>
      </w:r>
      <w:r w:rsidR="00A97E44">
        <w:t>.</w:t>
      </w:r>
    </w:p>
    <w:p w:rsidR="00991F0F" w:rsidP="003C3004" w:rsidRDefault="00991F0F">
      <w:pPr>
        <w:ind w:left="705" w:hanging="705"/>
      </w:pPr>
      <w:r w:rsidRPr="003C3004">
        <w:rPr>
          <w:b/>
        </w:rPr>
        <w:t>ARIE</w:t>
      </w:r>
      <w:r>
        <w:t>:</w:t>
      </w:r>
      <w:r w:rsidR="003C3004">
        <w:tab/>
      </w:r>
      <w:r w:rsidR="00C329CC">
        <w:t>O</w:t>
      </w:r>
      <w:r w:rsidR="00755878">
        <w:t xml:space="preserve">pslagbedrijven gericht op vervoer en spooremplacementen </w:t>
      </w:r>
      <w:r>
        <w:t xml:space="preserve"> die </w:t>
      </w:r>
      <w:r w:rsidR="00755878">
        <w:t xml:space="preserve">over </w:t>
      </w:r>
      <w:r w:rsidRPr="00A97E44" w:rsidR="00755878">
        <w:t>een A</w:t>
      </w:r>
      <w:r w:rsidR="00755878">
        <w:t xml:space="preserve">anvullende </w:t>
      </w:r>
      <w:r w:rsidRPr="00A97E44" w:rsidR="00755878">
        <w:t>R</w:t>
      </w:r>
      <w:r w:rsidR="00755878">
        <w:t>isico</w:t>
      </w:r>
      <w:r w:rsidRPr="00A97E44" w:rsidR="00755878">
        <w:t>I</w:t>
      </w:r>
      <w:r>
        <w:t xml:space="preserve">nventarisatie en </w:t>
      </w:r>
      <w:r w:rsidRPr="00A97E44">
        <w:t>E</w:t>
      </w:r>
      <w:r>
        <w:t>valuatie</w:t>
      </w:r>
      <w:r w:rsidR="00755878">
        <w:t xml:space="preserve"> moeten beschikken </w:t>
      </w:r>
      <w:r>
        <w:t>op grond van hoofdstuk 2, afdeling 2, van het Arbeidsomstandighedenbesluit</w:t>
      </w:r>
      <w:r w:rsidR="00A97E44">
        <w:t>.</w:t>
      </w:r>
    </w:p>
    <w:p w:rsidR="003005BB" w:rsidP="003C3004" w:rsidRDefault="00755878">
      <w:pPr>
        <w:ind w:left="705" w:hanging="705"/>
      </w:pPr>
      <w:r w:rsidRPr="003C3004">
        <w:rPr>
          <w:b/>
        </w:rPr>
        <w:t>KE</w:t>
      </w:r>
      <w:r>
        <w:t>:</w:t>
      </w:r>
      <w:r w:rsidR="003C3004">
        <w:tab/>
      </w:r>
      <w:r w:rsidR="00C329CC">
        <w:t>I</w:t>
      </w:r>
      <w:r w:rsidR="00991F0F">
        <w:t>nrichtingen, bedoeld in artikel 15, onderdeel b, van de Kernenergiewet, met uitzondering van de inrichtingen waarop artikel 44 van het Besluit kerninstallaties, splijtstof</w:t>
      </w:r>
      <w:r w:rsidR="00A97E44">
        <w:t>fen en ertsen van toepassing is.</w:t>
      </w:r>
    </w:p>
    <w:p w:rsidR="001C3A47" w:rsidP="001C3A47" w:rsidRDefault="001C3A47"/>
    <w:p w:rsidR="001C3A47" w:rsidP="003C3004" w:rsidRDefault="00D411D0">
      <w:pPr>
        <w:ind w:left="705" w:hanging="705"/>
      </w:pPr>
      <w:r w:rsidRPr="003C3004">
        <w:rPr>
          <w:b/>
        </w:rPr>
        <w:t xml:space="preserve">* </w:t>
      </w:r>
      <w:r w:rsidR="003C3004">
        <w:tab/>
      </w:r>
      <w:r w:rsidR="001C3A47">
        <w:t xml:space="preserve">Een aantal bedrijven is </w:t>
      </w:r>
      <w:r w:rsidR="0046554D">
        <w:t xml:space="preserve">om diverse redenen (nog) niet in </w:t>
      </w:r>
      <w:r w:rsidR="001C3A47">
        <w:t>procedure gebracht</w:t>
      </w:r>
      <w:r w:rsidR="0046554D">
        <w:t>. Dit betreft</w:t>
      </w:r>
      <w:r w:rsidR="00C46E4F">
        <w:t xml:space="preserve"> onder andere</w:t>
      </w:r>
      <w:r w:rsidR="0046554D">
        <w:t xml:space="preserve"> bedrijven die binnenkort stoppen</w:t>
      </w:r>
      <w:r>
        <w:t xml:space="preserve"> of de productie verminderen en</w:t>
      </w:r>
      <w:r w:rsidR="0046554D">
        <w:t xml:space="preserve"> bedrijven die recent binnen de reikwijdte van artikel 31 Wet veiligheidsregio</w:t>
      </w:r>
      <w:r w:rsidR="006C228E">
        <w:t>’</w:t>
      </w:r>
      <w:r w:rsidR="0046554D">
        <w:t xml:space="preserve">s </w:t>
      </w:r>
      <w:r w:rsidR="006C228E">
        <w:t xml:space="preserve">zijn komen te </w:t>
      </w:r>
      <w:r w:rsidR="0046554D">
        <w:t>vallen (door uitbreiding)</w:t>
      </w:r>
      <w:r w:rsidR="00C46E4F">
        <w:t>.</w:t>
      </w:r>
      <w:r w:rsidR="0046554D">
        <w:t xml:space="preserve">    </w:t>
      </w:r>
    </w:p>
    <w:p w:rsidR="00991F0F" w:rsidRDefault="00991F0F"/>
    <w:sectPr w:rsidR="00991F0F" w:rsidSect="00D6165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B02"/>
    <w:multiLevelType w:val="hybridMultilevel"/>
    <w:tmpl w:val="E8A0F8CE"/>
    <w:lvl w:ilvl="0" w:tplc="3CF87A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22AAD"/>
    <w:multiLevelType w:val="hybridMultilevel"/>
    <w:tmpl w:val="CDB2BBE8"/>
    <w:lvl w:ilvl="0" w:tplc="AC1C43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2584C"/>
    <w:multiLevelType w:val="hybridMultilevel"/>
    <w:tmpl w:val="EA78C464"/>
    <w:lvl w:ilvl="0" w:tplc="E1644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37CA"/>
    <w:rsid w:val="001C3A47"/>
    <w:rsid w:val="003005BB"/>
    <w:rsid w:val="00376AC7"/>
    <w:rsid w:val="00377922"/>
    <w:rsid w:val="003C3004"/>
    <w:rsid w:val="0046554D"/>
    <w:rsid w:val="005A37CA"/>
    <w:rsid w:val="006A4C4B"/>
    <w:rsid w:val="006C228E"/>
    <w:rsid w:val="00755878"/>
    <w:rsid w:val="00826418"/>
    <w:rsid w:val="008D4631"/>
    <w:rsid w:val="00952CA7"/>
    <w:rsid w:val="00991F0F"/>
    <w:rsid w:val="00A76006"/>
    <w:rsid w:val="00A97E44"/>
    <w:rsid w:val="00BF11F9"/>
    <w:rsid w:val="00C329CC"/>
    <w:rsid w:val="00C46E4F"/>
    <w:rsid w:val="00D126F1"/>
    <w:rsid w:val="00D411D0"/>
    <w:rsid w:val="00D5765F"/>
    <w:rsid w:val="00D6165A"/>
    <w:rsid w:val="00F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2013-11-21T08:26:00.0000000Z</lastPrinted>
  <dcterms:created xsi:type="dcterms:W3CDTF">2013-12-04T14:44:00.0000000Z</dcterms:created>
  <dcterms:modified xsi:type="dcterms:W3CDTF">2013-12-04T14:44:00.0000000Z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0x01010037AA23FD31F030459D1F52CD355EC298</vt:lpwstr>
  </property>
</Properties>
</file>