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558E6" w:rsidR="007214BC" w:rsidP="006558E6" w:rsidRDefault="006558E6">
      <w:pPr>
        <w:pStyle w:val="Kop2"/>
        <w:rPr>
          <w:rFonts w:ascii="Verdana" w:hAnsi="Verdana"/>
          <w:color w:val="000000" w:themeColor="text1"/>
          <w:sz w:val="18"/>
          <w:szCs w:val="18"/>
        </w:rPr>
      </w:pPr>
      <w:r w:rsidRPr="006558E6">
        <w:rPr>
          <w:rFonts w:ascii="Verdana" w:hAnsi="Verdana"/>
          <w:color w:val="000000" w:themeColor="text1"/>
          <w:sz w:val="18"/>
          <w:szCs w:val="18"/>
        </w:rPr>
        <w:t>Bijlage 2</w:t>
      </w:r>
      <w:r w:rsidRPr="006558E6">
        <w:rPr>
          <w:rFonts w:ascii="Verdana" w:hAnsi="Verdana"/>
          <w:color w:val="000000" w:themeColor="text1"/>
          <w:sz w:val="18"/>
          <w:szCs w:val="18"/>
        </w:rPr>
        <w:tab/>
      </w:r>
      <w:r w:rsidRPr="006558E6" w:rsidR="007214BC">
        <w:rPr>
          <w:rFonts w:ascii="Verdana" w:hAnsi="Verdana"/>
          <w:color w:val="000000" w:themeColor="text1"/>
          <w:sz w:val="18"/>
          <w:szCs w:val="18"/>
        </w:rPr>
        <w:t>Financiële effecten HLZ</w:t>
      </w:r>
    </w:p>
    <w:p w:rsidR="007214BC" w:rsidP="00885C87" w:rsidRDefault="007214BC">
      <w:pPr>
        <w:rPr>
          <w:rFonts w:ascii="Calibri" w:hAnsi="Calibri" w:eastAsia="Times New Roman" w:cs="Times New Roman"/>
          <w:b/>
          <w:bCs/>
          <w:color w:val="000000"/>
          <w:kern w:val="0"/>
          <w:sz w:val="22"/>
          <w:lang w:eastAsia="nl-NL" w:bidi="ar-SA"/>
        </w:rPr>
      </w:pPr>
    </w:p>
    <w:p w:rsidRPr="006558E6" w:rsidR="00885C87" w:rsidP="00885C87" w:rsidRDefault="00885C87">
      <w:pPr>
        <w:rPr>
          <w:b/>
          <w:szCs w:val="18"/>
        </w:rPr>
      </w:pPr>
      <w:r w:rsidRPr="006558E6">
        <w:rPr>
          <w:b/>
          <w:szCs w:val="18"/>
        </w:rPr>
        <w:t>Ombuigingen</w:t>
      </w:r>
    </w:p>
    <w:p w:rsidRPr="006558E6" w:rsidR="00885C87" w:rsidP="00885C87" w:rsidRDefault="00885C87">
      <w:pPr>
        <w:rPr>
          <w:szCs w:val="18"/>
        </w:rPr>
      </w:pPr>
      <w:r w:rsidRPr="006558E6">
        <w:rPr>
          <w:szCs w:val="18"/>
        </w:rPr>
        <w:t xml:space="preserve">In de brief van 9 juli jl. aan de Tweede Kamer over de voortgang van de Hervorming Langdurige Zorg (Kamerstuk 30597, nr. 368) is een volledig overzicht opgenomen van de maatregelen uit het </w:t>
      </w:r>
      <w:r w:rsidR="006558E6">
        <w:rPr>
          <w:szCs w:val="18"/>
        </w:rPr>
        <w:t>R</w:t>
      </w:r>
      <w:r w:rsidRPr="006558E6">
        <w:rPr>
          <w:szCs w:val="18"/>
        </w:rPr>
        <w:t xml:space="preserve">egeerakkoord en het zorgakkoord. Voor de volledigheid treft </w:t>
      </w:r>
      <w:r w:rsidRPr="006558E6" w:rsidR="00E238C5">
        <w:rPr>
          <w:szCs w:val="18"/>
        </w:rPr>
        <w:t>u</w:t>
      </w:r>
      <w:r w:rsidRPr="006558E6">
        <w:rPr>
          <w:szCs w:val="18"/>
        </w:rPr>
        <w:t xml:space="preserve"> dit overzicht nogmaals aan. Het overzicht is aangevuld met maatregelen die in het begrotingsakkoord zijn overeengekomen.</w:t>
      </w:r>
    </w:p>
    <w:p w:rsidRPr="006558E6" w:rsidR="00885C87" w:rsidP="00885C87" w:rsidRDefault="00885C87">
      <w:pPr>
        <w:rPr>
          <w:szCs w:val="18"/>
        </w:rPr>
      </w:pPr>
    </w:p>
    <w:p w:rsidRPr="006558E6" w:rsidR="00885C87" w:rsidP="00885C87" w:rsidRDefault="00885C87">
      <w:pPr>
        <w:rPr>
          <w:rFonts w:cs="Arial"/>
          <w:i/>
          <w:sz w:val="16"/>
          <w:szCs w:val="16"/>
        </w:rPr>
      </w:pPr>
      <w:r w:rsidRPr="006558E6">
        <w:rPr>
          <w:rFonts w:cs="Arial"/>
          <w:i/>
          <w:sz w:val="16"/>
          <w:szCs w:val="16"/>
        </w:rPr>
        <w:t>Totaaloverzicht maatregelen langdurige zorg 2014-2018 (in mln euro)</w:t>
      </w:r>
    </w:p>
    <w:tbl>
      <w:tblPr>
        <w:tblW w:w="8817" w:type="dxa"/>
        <w:tblInd w:w="65" w:type="dxa"/>
        <w:tblCellMar>
          <w:left w:w="70" w:type="dxa"/>
          <w:right w:w="70" w:type="dxa"/>
        </w:tblCellMar>
        <w:tblLook w:val="04A0"/>
      </w:tblPr>
      <w:tblGrid>
        <w:gridCol w:w="822"/>
        <w:gridCol w:w="823"/>
        <w:gridCol w:w="1270"/>
        <w:gridCol w:w="970"/>
        <w:gridCol w:w="822"/>
        <w:gridCol w:w="822"/>
        <w:gridCol w:w="822"/>
        <w:gridCol w:w="822"/>
        <w:gridCol w:w="822"/>
        <w:gridCol w:w="822"/>
      </w:tblGrid>
      <w:tr w:rsidRPr="006558E6" w:rsidR="00E238C5" w:rsidTr="00E238C5">
        <w:trPr>
          <w:trHeight w:val="288"/>
        </w:trPr>
        <w:tc>
          <w:tcPr>
            <w:tcW w:w="822" w:type="dxa"/>
            <w:tcBorders>
              <w:top w:val="single" w:color="auto" w:sz="4" w:space="0"/>
              <w:left w:val="single" w:color="auto" w:sz="4" w:space="0"/>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1270"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970"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single" w:color="auto" w:sz="4" w:space="0"/>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2014</w:t>
            </w:r>
          </w:p>
        </w:tc>
        <w:tc>
          <w:tcPr>
            <w:tcW w:w="822" w:type="dxa"/>
            <w:tcBorders>
              <w:top w:val="single" w:color="auto" w:sz="4" w:space="0"/>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2015</w:t>
            </w:r>
          </w:p>
        </w:tc>
        <w:tc>
          <w:tcPr>
            <w:tcW w:w="822" w:type="dxa"/>
            <w:tcBorders>
              <w:top w:val="single" w:color="auto" w:sz="4" w:space="0"/>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2016</w:t>
            </w:r>
          </w:p>
        </w:tc>
        <w:tc>
          <w:tcPr>
            <w:tcW w:w="822" w:type="dxa"/>
            <w:tcBorders>
              <w:top w:val="single" w:color="auto" w:sz="4" w:space="0"/>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2017</w:t>
            </w:r>
          </w:p>
        </w:tc>
        <w:tc>
          <w:tcPr>
            <w:tcW w:w="822" w:type="dxa"/>
            <w:tcBorders>
              <w:top w:val="single" w:color="auto" w:sz="4" w:space="0"/>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2018</w:t>
            </w:r>
          </w:p>
        </w:tc>
      </w:tr>
      <w:tr w:rsidRPr="006558E6" w:rsidR="00E238C5" w:rsidTr="00E238C5">
        <w:trPr>
          <w:trHeight w:val="288"/>
        </w:trPr>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12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9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single" w:color="auto" w:sz="4" w:space="0"/>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single" w:color="auto" w:sz="4" w:space="0"/>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single" w:color="auto" w:sz="4" w:space="0"/>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single" w:color="auto" w:sz="4" w:space="0"/>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single" w:color="auto" w:sz="4" w:space="0"/>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r>
      <w:tr w:rsidRPr="006558E6" w:rsidR="00E238C5" w:rsidTr="00E238C5">
        <w:trPr>
          <w:trHeight w:val="288"/>
        </w:trPr>
        <w:tc>
          <w:tcPr>
            <w:tcW w:w="3884" w:type="dxa"/>
            <w:gridSpan w:val="4"/>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Maatregelen begeleiding en PV</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-1607</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-1607</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-1622</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-1632</w:t>
            </w:r>
          </w:p>
        </w:tc>
      </w:tr>
      <w:tr w:rsidRPr="006558E6" w:rsidR="00E238C5" w:rsidTr="00E238C5">
        <w:trPr>
          <w:trHeight w:val="288"/>
        </w:trPr>
        <w:tc>
          <w:tcPr>
            <w:tcW w:w="3884" w:type="dxa"/>
            <w:gridSpan w:val="4"/>
            <w:tcBorders>
              <w:top w:val="nil"/>
              <w:left w:val="single" w:color="auto" w:sz="4" w:space="0"/>
              <w:bottom w:val="nil"/>
              <w:right w:val="nil"/>
            </w:tcBorders>
            <w:shd w:val="clear" w:color="auto" w:fill="auto"/>
            <w:noWrap/>
            <w:vAlign w:val="bottom"/>
            <w:hideMark/>
          </w:tcPr>
          <w:p w:rsidRPr="006558E6" w:rsidR="00885C87" w:rsidP="00E238C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xml:space="preserve">Beperken intramurale zorg  </w:t>
            </w:r>
            <w:r w:rsidRPr="006558E6" w:rsidR="00E238C5">
              <w:rPr>
                <w:rFonts w:eastAsia="Times New Roman" w:cs="Times New Roman"/>
                <w:color w:val="000000"/>
                <w:kern w:val="0"/>
                <w:sz w:val="14"/>
                <w:szCs w:val="14"/>
                <w:lang w:eastAsia="nl-NL" w:bidi="ar-SA"/>
              </w:rPr>
              <w:t>Wlz</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-45</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-500</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-500</w:t>
            </w:r>
          </w:p>
        </w:tc>
      </w:tr>
      <w:tr w:rsidRPr="006558E6" w:rsidR="00E238C5" w:rsidTr="00E238C5">
        <w:trPr>
          <w:trHeight w:val="288"/>
        </w:trPr>
        <w:tc>
          <w:tcPr>
            <w:tcW w:w="1645" w:type="dxa"/>
            <w:gridSpan w:val="2"/>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VP naar Zvw</w:t>
            </w:r>
          </w:p>
        </w:tc>
        <w:tc>
          <w:tcPr>
            <w:tcW w:w="12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9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-30</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-30</w:t>
            </w:r>
          </w:p>
        </w:tc>
      </w:tr>
      <w:tr w:rsidRPr="006558E6" w:rsidR="00E238C5" w:rsidTr="00E238C5">
        <w:trPr>
          <w:trHeight w:val="288"/>
        </w:trPr>
        <w:tc>
          <w:tcPr>
            <w:tcW w:w="2914" w:type="dxa"/>
            <w:gridSpan w:val="3"/>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Extramuraliseren zzp 4</w:t>
            </w:r>
          </w:p>
        </w:tc>
        <w:tc>
          <w:tcPr>
            <w:tcW w:w="9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-35</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-70</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-75</w:t>
            </w:r>
          </w:p>
        </w:tc>
      </w:tr>
      <w:tr w:rsidRPr="006558E6" w:rsidR="00E238C5" w:rsidTr="00E238C5">
        <w:trPr>
          <w:trHeight w:val="288"/>
        </w:trPr>
        <w:tc>
          <w:tcPr>
            <w:tcW w:w="2914" w:type="dxa"/>
            <w:gridSpan w:val="3"/>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Verzachten extramuralisering</w:t>
            </w:r>
          </w:p>
        </w:tc>
        <w:tc>
          <w:tcPr>
            <w:tcW w:w="9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30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130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280</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300</w:t>
            </w:r>
          </w:p>
        </w:tc>
      </w:tr>
      <w:tr w:rsidRPr="006558E6" w:rsidR="00E238C5" w:rsidTr="00E238C5">
        <w:trPr>
          <w:trHeight w:val="288"/>
        </w:trPr>
        <w:tc>
          <w:tcPr>
            <w:tcW w:w="2914" w:type="dxa"/>
            <w:gridSpan w:val="3"/>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Eigen bijdrage AWBZ</w:t>
            </w:r>
            <w:r w:rsidRPr="006558E6" w:rsidR="00E238C5">
              <w:rPr>
                <w:rFonts w:eastAsia="Times New Roman" w:cs="Times New Roman"/>
                <w:color w:val="000000"/>
                <w:kern w:val="0"/>
                <w:sz w:val="14"/>
                <w:szCs w:val="14"/>
                <w:lang w:eastAsia="nl-NL" w:bidi="ar-SA"/>
              </w:rPr>
              <w:t>/wlz</w:t>
            </w:r>
          </w:p>
        </w:tc>
        <w:tc>
          <w:tcPr>
            <w:tcW w:w="9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-30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-40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-50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-50</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-50</w:t>
            </w:r>
          </w:p>
        </w:tc>
      </w:tr>
      <w:tr w:rsidRPr="006558E6" w:rsidR="00E238C5" w:rsidTr="00E238C5">
        <w:trPr>
          <w:trHeight w:val="288"/>
        </w:trPr>
        <w:tc>
          <w:tcPr>
            <w:tcW w:w="3884" w:type="dxa"/>
            <w:gridSpan w:val="4"/>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Intensivering arbeidsmarkt zorg</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100</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100</w:t>
            </w:r>
          </w:p>
        </w:tc>
      </w:tr>
      <w:tr w:rsidRPr="006558E6" w:rsidR="00E238C5" w:rsidTr="00E238C5">
        <w:trPr>
          <w:trHeight w:val="288"/>
        </w:trPr>
        <w:tc>
          <w:tcPr>
            <w:tcW w:w="3884" w:type="dxa"/>
            <w:gridSpan w:val="4"/>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Beperken huishoudelijke hulp (40%)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-465</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-610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-610</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-610</w:t>
            </w:r>
          </w:p>
        </w:tc>
      </w:tr>
      <w:tr w:rsidRPr="006558E6" w:rsidR="00E238C5" w:rsidTr="00E238C5">
        <w:trPr>
          <w:trHeight w:val="288"/>
        </w:trPr>
        <w:tc>
          <w:tcPr>
            <w:tcW w:w="3884" w:type="dxa"/>
            <w:gridSpan w:val="4"/>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Beperken uitgaven scootmobiel</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-15</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-25</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-50</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-50</w:t>
            </w:r>
          </w:p>
        </w:tc>
      </w:tr>
      <w:tr w:rsidRPr="006558E6" w:rsidR="00E238C5" w:rsidTr="00E238C5">
        <w:trPr>
          <w:trHeight w:val="288"/>
        </w:trPr>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ILO-Care</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12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9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-60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-215</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-314</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-245</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-249</w:t>
            </w:r>
          </w:p>
        </w:tc>
      </w:tr>
      <w:tr w:rsidRPr="006558E6" w:rsidR="00E238C5" w:rsidTr="00E238C5">
        <w:trPr>
          <w:trHeight w:val="288"/>
        </w:trPr>
        <w:tc>
          <w:tcPr>
            <w:tcW w:w="2914" w:type="dxa"/>
            <w:gridSpan w:val="3"/>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Tariefmaatregel care</w:t>
            </w:r>
          </w:p>
        </w:tc>
        <w:tc>
          <w:tcPr>
            <w:tcW w:w="9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-160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-200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-200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-250</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-250</w:t>
            </w:r>
          </w:p>
        </w:tc>
      </w:tr>
      <w:tr w:rsidRPr="006558E6" w:rsidR="00E238C5" w:rsidTr="00E238C5">
        <w:trPr>
          <w:trHeight w:val="288"/>
        </w:trPr>
        <w:tc>
          <w:tcPr>
            <w:tcW w:w="3884" w:type="dxa"/>
            <w:gridSpan w:val="4"/>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Contracteerruimte 2014 en pgb</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-330</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r>
      <w:tr w:rsidRPr="006558E6" w:rsidR="00E238C5" w:rsidTr="00E238C5">
        <w:trPr>
          <w:trHeight w:val="288"/>
        </w:trPr>
        <w:tc>
          <w:tcPr>
            <w:tcW w:w="3884" w:type="dxa"/>
            <w:gridSpan w:val="4"/>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Incid. compensatie gem (extram. ZZP)</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54</w:t>
            </w: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r>
      <w:tr w:rsidRPr="006558E6" w:rsidR="00E238C5" w:rsidTr="00E238C5">
        <w:trPr>
          <w:trHeight w:val="288"/>
        </w:trPr>
        <w:tc>
          <w:tcPr>
            <w:tcW w:w="2914" w:type="dxa"/>
            <w:gridSpan w:val="3"/>
            <w:tcBorders>
              <w:top w:val="nil"/>
              <w:left w:val="single" w:color="auto" w:sz="4" w:space="0"/>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Beleggen groeimiddelen care</w:t>
            </w:r>
          </w:p>
        </w:tc>
        <w:tc>
          <w:tcPr>
            <w:tcW w:w="970"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nil"/>
              <w:left w:val="single" w:color="auto" w:sz="4" w:space="0"/>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-10</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-160</w:t>
            </w:r>
          </w:p>
        </w:tc>
        <w:tc>
          <w:tcPr>
            <w:tcW w:w="822" w:type="dxa"/>
            <w:tcBorders>
              <w:top w:val="nil"/>
              <w:left w:val="nil"/>
              <w:bottom w:val="single" w:color="auto" w:sz="4" w:space="0"/>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-180</w:t>
            </w:r>
          </w:p>
        </w:tc>
      </w:tr>
      <w:tr w:rsidRPr="006558E6" w:rsidR="00E238C5" w:rsidTr="00E238C5">
        <w:trPr>
          <w:trHeight w:val="288"/>
        </w:trPr>
        <w:tc>
          <w:tcPr>
            <w:tcW w:w="1645" w:type="dxa"/>
            <w:gridSpan w:val="2"/>
            <w:tcBorders>
              <w:top w:val="single" w:color="auto" w:sz="4" w:space="0"/>
              <w:left w:val="single" w:color="auto" w:sz="4" w:space="0"/>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totaal care sec</w:t>
            </w:r>
          </w:p>
        </w:tc>
        <w:tc>
          <w:tcPr>
            <w:tcW w:w="1270"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 </w:t>
            </w:r>
          </w:p>
        </w:tc>
        <w:tc>
          <w:tcPr>
            <w:tcW w:w="970"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 </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 </w:t>
            </w:r>
          </w:p>
        </w:tc>
        <w:tc>
          <w:tcPr>
            <w:tcW w:w="822" w:type="dxa"/>
            <w:tcBorders>
              <w:top w:val="nil"/>
              <w:left w:val="single" w:color="auto" w:sz="4" w:space="0"/>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-526</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-2512</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-2766</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-3207</w:t>
            </w:r>
          </w:p>
        </w:tc>
        <w:tc>
          <w:tcPr>
            <w:tcW w:w="822" w:type="dxa"/>
            <w:tcBorders>
              <w:top w:val="nil"/>
              <w:left w:val="nil"/>
              <w:bottom w:val="single" w:color="auto" w:sz="4" w:space="0"/>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-3226</w:t>
            </w:r>
          </w:p>
        </w:tc>
      </w:tr>
      <w:tr w:rsidRPr="006558E6" w:rsidR="00E238C5" w:rsidTr="00E238C5">
        <w:trPr>
          <w:trHeight w:val="288"/>
        </w:trPr>
        <w:tc>
          <w:tcPr>
            <w:tcW w:w="2914" w:type="dxa"/>
            <w:gridSpan w:val="3"/>
            <w:tcBorders>
              <w:top w:val="nil"/>
              <w:left w:val="single" w:color="auto" w:sz="4" w:space="0"/>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Beleggen groeimiddelen care</w:t>
            </w:r>
          </w:p>
        </w:tc>
        <w:tc>
          <w:tcPr>
            <w:tcW w:w="970"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nil"/>
              <w:left w:val="single" w:color="auto" w:sz="4" w:space="0"/>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 </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0</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-10</w:t>
            </w:r>
          </w:p>
        </w:tc>
        <w:tc>
          <w:tcPr>
            <w:tcW w:w="822" w:type="dxa"/>
            <w:tcBorders>
              <w:top w:val="nil"/>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-160</w:t>
            </w:r>
          </w:p>
        </w:tc>
        <w:tc>
          <w:tcPr>
            <w:tcW w:w="822" w:type="dxa"/>
            <w:tcBorders>
              <w:top w:val="nil"/>
              <w:left w:val="nil"/>
              <w:bottom w:val="single" w:color="auto" w:sz="4" w:space="0"/>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color w:val="000000"/>
                <w:kern w:val="0"/>
                <w:sz w:val="14"/>
                <w:szCs w:val="14"/>
                <w:lang w:eastAsia="nl-NL" w:bidi="ar-SA"/>
              </w:rPr>
            </w:pPr>
            <w:r w:rsidRPr="006558E6">
              <w:rPr>
                <w:rFonts w:eastAsia="Times New Roman" w:cs="Times New Roman"/>
                <w:color w:val="000000"/>
                <w:kern w:val="0"/>
                <w:sz w:val="14"/>
                <w:szCs w:val="14"/>
                <w:lang w:eastAsia="nl-NL" w:bidi="ar-SA"/>
              </w:rPr>
              <w:t>-180</w:t>
            </w:r>
          </w:p>
        </w:tc>
      </w:tr>
      <w:tr w:rsidRPr="006558E6" w:rsidR="00E238C5" w:rsidTr="00E238C5">
        <w:trPr>
          <w:trHeight w:val="288"/>
        </w:trPr>
        <w:tc>
          <w:tcPr>
            <w:tcW w:w="1645" w:type="dxa"/>
            <w:gridSpan w:val="2"/>
            <w:tcBorders>
              <w:top w:val="single" w:color="auto" w:sz="4" w:space="0"/>
              <w:left w:val="single" w:color="auto" w:sz="4" w:space="0"/>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totaal care sec</w:t>
            </w:r>
          </w:p>
        </w:tc>
        <w:tc>
          <w:tcPr>
            <w:tcW w:w="1270"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 </w:t>
            </w:r>
          </w:p>
        </w:tc>
        <w:tc>
          <w:tcPr>
            <w:tcW w:w="970"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 </w:t>
            </w:r>
          </w:p>
        </w:tc>
        <w:tc>
          <w:tcPr>
            <w:tcW w:w="822"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 </w:t>
            </w:r>
          </w:p>
        </w:tc>
        <w:tc>
          <w:tcPr>
            <w:tcW w:w="822" w:type="dxa"/>
            <w:tcBorders>
              <w:top w:val="single" w:color="auto" w:sz="4" w:space="0"/>
              <w:left w:val="single" w:color="auto" w:sz="4" w:space="0"/>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-526</w:t>
            </w:r>
          </w:p>
        </w:tc>
        <w:tc>
          <w:tcPr>
            <w:tcW w:w="822"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-2512</w:t>
            </w:r>
          </w:p>
        </w:tc>
        <w:tc>
          <w:tcPr>
            <w:tcW w:w="822"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-2766</w:t>
            </w:r>
          </w:p>
        </w:tc>
        <w:tc>
          <w:tcPr>
            <w:tcW w:w="822"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-3207</w:t>
            </w:r>
          </w:p>
        </w:tc>
        <w:tc>
          <w:tcPr>
            <w:tcW w:w="822" w:type="dxa"/>
            <w:tcBorders>
              <w:top w:val="single" w:color="auto" w:sz="4" w:space="0"/>
              <w:left w:val="nil"/>
              <w:bottom w:val="single" w:color="auto" w:sz="4" w:space="0"/>
              <w:right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-3226</w:t>
            </w:r>
          </w:p>
        </w:tc>
      </w:tr>
      <w:tr w:rsidRPr="006558E6" w:rsidR="00E238C5" w:rsidTr="00E238C5">
        <w:trPr>
          <w:trHeight w:val="288"/>
        </w:trPr>
        <w:tc>
          <w:tcPr>
            <w:tcW w:w="1645" w:type="dxa"/>
            <w:gridSpan w:val="2"/>
            <w:tcBorders>
              <w:top w:val="single" w:color="auto" w:sz="4" w:space="0"/>
              <w:left w:val="single" w:color="auto" w:sz="4" w:space="0"/>
              <w:right w:val="nil"/>
            </w:tcBorders>
            <w:shd w:val="clear" w:color="auto" w:fill="auto"/>
            <w:noWrap/>
            <w:vAlign w:val="bottom"/>
            <w:hideMark/>
          </w:tcPr>
          <w:p w:rsidRPr="006558E6" w:rsidR="00885C87" w:rsidP="000D69E5" w:rsidRDefault="007214BC">
            <w:pPr>
              <w:widowControl/>
              <w:suppressAutoHyphens w:val="0"/>
              <w:autoSpaceDN/>
              <w:spacing w:line="240" w:lineRule="auto"/>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MEE-budget</w:t>
            </w:r>
          </w:p>
        </w:tc>
        <w:tc>
          <w:tcPr>
            <w:tcW w:w="1270" w:type="dxa"/>
            <w:tcBorders>
              <w:top w:val="single" w:color="auto" w:sz="4" w:space="0"/>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p>
        </w:tc>
        <w:tc>
          <w:tcPr>
            <w:tcW w:w="970" w:type="dxa"/>
            <w:tcBorders>
              <w:top w:val="single" w:color="auto" w:sz="4" w:space="0"/>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p>
        </w:tc>
        <w:tc>
          <w:tcPr>
            <w:tcW w:w="822" w:type="dxa"/>
            <w:tcBorders>
              <w:top w:val="single" w:color="auto" w:sz="4" w:space="0"/>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p>
        </w:tc>
        <w:tc>
          <w:tcPr>
            <w:tcW w:w="822" w:type="dxa"/>
            <w:tcBorders>
              <w:top w:val="single" w:color="auto" w:sz="4" w:space="0"/>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p>
        </w:tc>
        <w:tc>
          <w:tcPr>
            <w:tcW w:w="822" w:type="dxa"/>
            <w:tcBorders>
              <w:top w:val="single" w:color="auto" w:sz="4" w:space="0"/>
              <w:left w:val="nil"/>
              <w:bottom w:val="nil"/>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-25</w:t>
            </w:r>
          </w:p>
        </w:tc>
        <w:tc>
          <w:tcPr>
            <w:tcW w:w="822" w:type="dxa"/>
            <w:tcBorders>
              <w:top w:val="single" w:color="auto" w:sz="4" w:space="0"/>
              <w:left w:val="nil"/>
              <w:bottom w:val="nil"/>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-25</w:t>
            </w:r>
          </w:p>
        </w:tc>
        <w:tc>
          <w:tcPr>
            <w:tcW w:w="822" w:type="dxa"/>
            <w:tcBorders>
              <w:top w:val="single" w:color="auto" w:sz="4" w:space="0"/>
              <w:left w:val="nil"/>
              <w:bottom w:val="nil"/>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-25</w:t>
            </w:r>
          </w:p>
        </w:tc>
        <w:tc>
          <w:tcPr>
            <w:tcW w:w="822" w:type="dxa"/>
            <w:tcBorders>
              <w:top w:val="single" w:color="auto" w:sz="4" w:space="0"/>
              <w:left w:val="nil"/>
              <w:bottom w:val="nil"/>
              <w:right w:val="single" w:color="auto" w:sz="4" w:space="0"/>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-25</w:t>
            </w:r>
          </w:p>
        </w:tc>
      </w:tr>
      <w:tr w:rsidRPr="006558E6" w:rsidR="00E238C5" w:rsidTr="00E238C5">
        <w:trPr>
          <w:trHeight w:val="288"/>
        </w:trPr>
        <w:tc>
          <w:tcPr>
            <w:tcW w:w="1645" w:type="dxa"/>
            <w:gridSpan w:val="2"/>
            <w:tcBorders>
              <w:left w:val="single" w:color="auto" w:sz="4" w:space="0"/>
              <w:right w:val="nil"/>
            </w:tcBorders>
            <w:shd w:val="clear" w:color="auto" w:fill="auto"/>
            <w:noWrap/>
            <w:vAlign w:val="bottom"/>
            <w:hideMark/>
          </w:tcPr>
          <w:p w:rsidRPr="006558E6" w:rsidR="00885C87" w:rsidP="007214BC" w:rsidRDefault="007214BC">
            <w:pPr>
              <w:widowControl/>
              <w:suppressAutoHyphens w:val="0"/>
              <w:autoSpaceDN/>
              <w:spacing w:line="240" w:lineRule="auto"/>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 xml:space="preserve">Transitie HLZ  </w:t>
            </w:r>
          </w:p>
        </w:tc>
        <w:tc>
          <w:tcPr>
            <w:tcW w:w="1270" w:type="dxa"/>
            <w:tcBorders>
              <w:top w:val="nil"/>
              <w:left w:val="nil"/>
              <w:bottom w:val="nil"/>
              <w:right w:val="nil"/>
            </w:tcBorders>
            <w:shd w:val="clear" w:color="auto" w:fill="auto"/>
            <w:noWrap/>
            <w:vAlign w:val="bottom"/>
            <w:hideMark/>
          </w:tcPr>
          <w:p w:rsidRPr="006558E6" w:rsidR="00885C87" w:rsidP="00E238C5" w:rsidRDefault="00885C87">
            <w:pPr>
              <w:widowControl/>
              <w:suppressAutoHyphens w:val="0"/>
              <w:autoSpaceDN/>
              <w:spacing w:line="240" w:lineRule="auto"/>
              <w:textAlignment w:val="auto"/>
              <w:rPr>
                <w:rFonts w:eastAsia="Times New Roman" w:cs="Times New Roman"/>
                <w:bCs/>
                <w:color w:val="000000"/>
                <w:kern w:val="0"/>
                <w:sz w:val="14"/>
                <w:szCs w:val="14"/>
                <w:lang w:eastAsia="nl-NL" w:bidi="ar-SA"/>
              </w:rPr>
            </w:pPr>
          </w:p>
        </w:tc>
        <w:tc>
          <w:tcPr>
            <w:tcW w:w="9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Cs/>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Cs/>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-75</w:t>
            </w:r>
          </w:p>
        </w:tc>
        <w:tc>
          <w:tcPr>
            <w:tcW w:w="822" w:type="dxa"/>
            <w:tcBorders>
              <w:top w:val="nil"/>
              <w:left w:val="nil"/>
              <w:bottom w:val="nil"/>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-85</w:t>
            </w:r>
          </w:p>
        </w:tc>
        <w:tc>
          <w:tcPr>
            <w:tcW w:w="822" w:type="dxa"/>
            <w:tcBorders>
              <w:top w:val="nil"/>
              <w:left w:val="nil"/>
              <w:bottom w:val="nil"/>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-95</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-95</w:t>
            </w:r>
          </w:p>
        </w:tc>
      </w:tr>
      <w:tr w:rsidRPr="006558E6" w:rsidR="00E238C5" w:rsidTr="00E238C5">
        <w:trPr>
          <w:trHeight w:val="288"/>
        </w:trPr>
        <w:tc>
          <w:tcPr>
            <w:tcW w:w="1645" w:type="dxa"/>
            <w:gridSpan w:val="2"/>
            <w:tcBorders>
              <w:left w:val="single" w:color="auto" w:sz="4" w:space="0"/>
              <w:right w:val="nil"/>
            </w:tcBorders>
            <w:shd w:val="clear" w:color="auto" w:fill="auto"/>
            <w:noWrap/>
            <w:vAlign w:val="bottom"/>
            <w:hideMark/>
          </w:tcPr>
          <w:p w:rsidRPr="006558E6" w:rsidR="00885C87" w:rsidP="00E238C5" w:rsidRDefault="00E238C5">
            <w:pPr>
              <w:widowControl/>
              <w:suppressAutoHyphens w:val="0"/>
              <w:autoSpaceDN/>
              <w:spacing w:line="240" w:lineRule="auto"/>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Doelmatige</w:t>
            </w:r>
            <w:r w:rsidRPr="006558E6" w:rsidR="007214BC">
              <w:rPr>
                <w:rFonts w:eastAsia="Times New Roman" w:cs="Times New Roman"/>
                <w:bCs/>
                <w:color w:val="000000"/>
                <w:kern w:val="0"/>
                <w:sz w:val="14"/>
                <w:szCs w:val="14"/>
                <w:lang w:eastAsia="nl-NL" w:bidi="ar-SA"/>
              </w:rPr>
              <w:t>inkoop</w:t>
            </w:r>
          </w:p>
        </w:tc>
        <w:tc>
          <w:tcPr>
            <w:tcW w:w="12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Cs/>
                <w:color w:val="000000"/>
                <w:kern w:val="0"/>
                <w:sz w:val="14"/>
                <w:szCs w:val="14"/>
                <w:lang w:eastAsia="nl-NL" w:bidi="ar-SA"/>
              </w:rPr>
            </w:pPr>
          </w:p>
        </w:tc>
        <w:tc>
          <w:tcPr>
            <w:tcW w:w="970"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Cs/>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Cs/>
                <w:color w:val="000000"/>
                <w:kern w:val="0"/>
                <w:sz w:val="14"/>
                <w:szCs w:val="14"/>
                <w:lang w:eastAsia="nl-NL" w:bidi="ar-SA"/>
              </w:rPr>
            </w:pPr>
          </w:p>
        </w:tc>
        <w:tc>
          <w:tcPr>
            <w:tcW w:w="822" w:type="dxa"/>
            <w:tcBorders>
              <w:top w:val="nil"/>
              <w:left w:val="single" w:color="auto" w:sz="4" w:space="0"/>
              <w:bottom w:val="nil"/>
              <w:right w:val="nil"/>
            </w:tcBorders>
            <w:shd w:val="clear" w:color="auto" w:fill="auto"/>
            <w:noWrap/>
            <w:vAlign w:val="bottom"/>
            <w:hideMark/>
          </w:tcPr>
          <w:p w:rsidRPr="006558E6" w:rsidR="00885C87" w:rsidP="000D69E5" w:rsidRDefault="00885C87">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p>
        </w:tc>
        <w:tc>
          <w:tcPr>
            <w:tcW w:w="822" w:type="dxa"/>
            <w:tcBorders>
              <w:top w:val="nil"/>
              <w:left w:val="nil"/>
              <w:bottom w:val="nil"/>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-30</w:t>
            </w:r>
          </w:p>
        </w:tc>
        <w:tc>
          <w:tcPr>
            <w:tcW w:w="822" w:type="dxa"/>
            <w:tcBorders>
              <w:top w:val="nil"/>
              <w:left w:val="nil"/>
              <w:bottom w:val="nil"/>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-30</w:t>
            </w:r>
          </w:p>
        </w:tc>
        <w:tc>
          <w:tcPr>
            <w:tcW w:w="822" w:type="dxa"/>
            <w:tcBorders>
              <w:top w:val="nil"/>
              <w:left w:val="nil"/>
              <w:bottom w:val="nil"/>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-30</w:t>
            </w:r>
          </w:p>
        </w:tc>
        <w:tc>
          <w:tcPr>
            <w:tcW w:w="822" w:type="dxa"/>
            <w:tcBorders>
              <w:top w:val="nil"/>
              <w:left w:val="nil"/>
              <w:bottom w:val="nil"/>
              <w:right w:val="single" w:color="auto" w:sz="4" w:space="0"/>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Cs/>
                <w:color w:val="000000"/>
                <w:kern w:val="0"/>
                <w:sz w:val="14"/>
                <w:szCs w:val="14"/>
                <w:lang w:eastAsia="nl-NL" w:bidi="ar-SA"/>
              </w:rPr>
            </w:pPr>
            <w:r w:rsidRPr="006558E6">
              <w:rPr>
                <w:rFonts w:eastAsia="Times New Roman" w:cs="Times New Roman"/>
                <w:bCs/>
                <w:color w:val="000000"/>
                <w:kern w:val="0"/>
                <w:sz w:val="14"/>
                <w:szCs w:val="14"/>
                <w:lang w:eastAsia="nl-NL" w:bidi="ar-SA"/>
              </w:rPr>
              <w:t>-30</w:t>
            </w:r>
          </w:p>
        </w:tc>
      </w:tr>
      <w:tr w:rsidRPr="006558E6" w:rsidR="00E238C5" w:rsidTr="00E238C5">
        <w:trPr>
          <w:trHeight w:val="288"/>
        </w:trPr>
        <w:tc>
          <w:tcPr>
            <w:tcW w:w="1645" w:type="dxa"/>
            <w:gridSpan w:val="2"/>
            <w:tcBorders>
              <w:top w:val="single" w:color="auto" w:sz="4" w:space="0"/>
              <w:left w:val="single" w:color="auto" w:sz="4" w:space="0"/>
              <w:bottom w:val="single" w:color="auto" w:sz="4" w:space="0"/>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Totaal care</w:t>
            </w:r>
          </w:p>
        </w:tc>
        <w:tc>
          <w:tcPr>
            <w:tcW w:w="1270" w:type="dxa"/>
            <w:tcBorders>
              <w:top w:val="single" w:color="auto" w:sz="4" w:space="0"/>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p>
        </w:tc>
        <w:tc>
          <w:tcPr>
            <w:tcW w:w="970"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p>
        </w:tc>
        <w:tc>
          <w:tcPr>
            <w:tcW w:w="822"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885C87">
            <w:pPr>
              <w:widowControl/>
              <w:suppressAutoHyphens w:val="0"/>
              <w:autoSpaceDN/>
              <w:spacing w:line="240" w:lineRule="auto"/>
              <w:textAlignment w:val="auto"/>
              <w:rPr>
                <w:rFonts w:eastAsia="Times New Roman" w:cs="Times New Roman"/>
                <w:b/>
                <w:bCs/>
                <w:color w:val="000000"/>
                <w:kern w:val="0"/>
                <w:sz w:val="14"/>
                <w:szCs w:val="14"/>
                <w:lang w:eastAsia="nl-NL" w:bidi="ar-SA"/>
              </w:rPr>
            </w:pPr>
          </w:p>
        </w:tc>
        <w:tc>
          <w:tcPr>
            <w:tcW w:w="822" w:type="dxa"/>
            <w:tcBorders>
              <w:top w:val="single" w:color="auto" w:sz="4" w:space="0"/>
              <w:left w:val="single" w:color="auto" w:sz="4" w:space="0"/>
              <w:bottom w:val="single" w:color="auto" w:sz="4" w:space="0"/>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-526</w:t>
            </w:r>
          </w:p>
        </w:tc>
        <w:tc>
          <w:tcPr>
            <w:tcW w:w="822"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-2642</w:t>
            </w:r>
          </w:p>
        </w:tc>
        <w:tc>
          <w:tcPr>
            <w:tcW w:w="822"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-2906</w:t>
            </w:r>
          </w:p>
        </w:tc>
        <w:tc>
          <w:tcPr>
            <w:tcW w:w="822" w:type="dxa"/>
            <w:tcBorders>
              <w:top w:val="single" w:color="auto" w:sz="4" w:space="0"/>
              <w:left w:val="nil"/>
              <w:bottom w:val="single" w:color="auto" w:sz="4" w:space="0"/>
              <w:right w:val="nil"/>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-3357</w:t>
            </w:r>
          </w:p>
        </w:tc>
        <w:tc>
          <w:tcPr>
            <w:tcW w:w="822" w:type="dxa"/>
            <w:tcBorders>
              <w:top w:val="single" w:color="auto" w:sz="4" w:space="0"/>
              <w:left w:val="nil"/>
              <w:bottom w:val="single" w:color="auto" w:sz="4" w:space="0"/>
              <w:right w:val="single" w:color="auto" w:sz="4" w:space="0"/>
            </w:tcBorders>
            <w:shd w:val="clear" w:color="auto" w:fill="auto"/>
            <w:noWrap/>
            <w:vAlign w:val="bottom"/>
            <w:hideMark/>
          </w:tcPr>
          <w:p w:rsidRPr="006558E6" w:rsidR="00885C87" w:rsidP="000D69E5" w:rsidRDefault="007214BC">
            <w:pPr>
              <w:widowControl/>
              <w:suppressAutoHyphens w:val="0"/>
              <w:autoSpaceDN/>
              <w:spacing w:line="240" w:lineRule="auto"/>
              <w:jc w:val="right"/>
              <w:textAlignment w:val="auto"/>
              <w:rPr>
                <w:rFonts w:eastAsia="Times New Roman" w:cs="Times New Roman"/>
                <w:b/>
                <w:bCs/>
                <w:color w:val="000000"/>
                <w:kern w:val="0"/>
                <w:sz w:val="14"/>
                <w:szCs w:val="14"/>
                <w:lang w:eastAsia="nl-NL" w:bidi="ar-SA"/>
              </w:rPr>
            </w:pPr>
            <w:r w:rsidRPr="006558E6">
              <w:rPr>
                <w:rFonts w:eastAsia="Times New Roman" w:cs="Times New Roman"/>
                <w:b/>
                <w:bCs/>
                <w:color w:val="000000"/>
                <w:kern w:val="0"/>
                <w:sz w:val="14"/>
                <w:szCs w:val="14"/>
                <w:lang w:eastAsia="nl-NL" w:bidi="ar-SA"/>
              </w:rPr>
              <w:t>-3376</w:t>
            </w:r>
          </w:p>
        </w:tc>
      </w:tr>
    </w:tbl>
    <w:p w:rsidRPr="006558E6" w:rsidR="00885C87" w:rsidP="00885C87" w:rsidRDefault="00885C87">
      <w:pPr>
        <w:rPr>
          <w:rFonts w:cs="Arial"/>
          <w:szCs w:val="18"/>
        </w:rPr>
      </w:pPr>
    </w:p>
    <w:p w:rsidRPr="006558E6" w:rsidR="00776460" w:rsidP="00776460" w:rsidRDefault="00776460">
      <w:r w:rsidRPr="006558E6">
        <w:t>Uit het overzicht is op te maken dat de uitgaven langdurige zorg in de periode 2014-2018 met €3,4 mld. worden verlaagd. Structureel zal dit oplopen tot ca. € 3,5 mld. Hierbij dient bedacht te worden dat het Kabinet ook rekening houdt met de groei van de uitgaven. Per saldo zijn de uitgaven na alle maatregelen in 2017 en correctie voor loon- en prijsbijstellingen nagenoeg gelijk aan de uitgaven in 2013. Deze uitgaven</w:t>
      </w:r>
      <w:r w:rsidR="006558E6">
        <w:t xml:space="preserve"> in 2013</w:t>
      </w:r>
      <w:r w:rsidRPr="006558E6">
        <w:t xml:space="preserve"> bedragen ca. € 28,5 mld. (AWBZ en Wmo-HV).</w:t>
      </w:r>
    </w:p>
    <w:p w:rsidRPr="006558E6" w:rsidR="007214BC" w:rsidP="00885C87" w:rsidRDefault="007214BC">
      <w:pPr>
        <w:rPr>
          <w:szCs w:val="18"/>
        </w:rPr>
      </w:pPr>
    </w:p>
    <w:p w:rsidRPr="006558E6" w:rsidR="00885C87" w:rsidP="00885C87" w:rsidRDefault="007214BC">
      <w:pPr>
        <w:rPr>
          <w:b/>
          <w:szCs w:val="18"/>
        </w:rPr>
      </w:pPr>
      <w:r w:rsidRPr="006558E6">
        <w:rPr>
          <w:b/>
          <w:szCs w:val="18"/>
        </w:rPr>
        <w:t>Uitgaven per sector</w:t>
      </w:r>
    </w:p>
    <w:p w:rsidRPr="006558E6" w:rsidR="000D69E5" w:rsidP="006558E6" w:rsidRDefault="006558E6">
      <w:pPr>
        <w:rPr>
          <w:szCs w:val="18"/>
        </w:rPr>
      </w:pPr>
      <w:r>
        <w:rPr>
          <w:szCs w:val="18"/>
        </w:rPr>
        <w:t>In</w:t>
      </w:r>
      <w:r w:rsidRPr="006558E6" w:rsidR="000D69E5">
        <w:rPr>
          <w:szCs w:val="18"/>
        </w:rPr>
        <w:t xml:space="preserve"> </w:t>
      </w:r>
      <w:r w:rsidRPr="006558E6" w:rsidR="00E2333F">
        <w:rPr>
          <w:szCs w:val="18"/>
        </w:rPr>
        <w:t>de brief over</w:t>
      </w:r>
      <w:r>
        <w:rPr>
          <w:szCs w:val="18"/>
        </w:rPr>
        <w:t xml:space="preserve"> de</w:t>
      </w:r>
      <w:r w:rsidRPr="006558E6" w:rsidR="00E2333F">
        <w:rPr>
          <w:szCs w:val="18"/>
        </w:rPr>
        <w:t xml:space="preserve"> nadere uitwerking van de herziening van de langdurige zorg (25 april 2013; kamerstuk</w:t>
      </w:r>
      <w:r w:rsidRPr="006558E6" w:rsidR="00CE58AA">
        <w:rPr>
          <w:szCs w:val="18"/>
        </w:rPr>
        <w:t xml:space="preserve"> 30 597 nr. 296</w:t>
      </w:r>
      <w:r>
        <w:rPr>
          <w:szCs w:val="18"/>
        </w:rPr>
        <w:t>)</w:t>
      </w:r>
      <w:r w:rsidRPr="006558E6" w:rsidR="00E2333F">
        <w:rPr>
          <w:szCs w:val="18"/>
        </w:rPr>
        <w:t xml:space="preserve"> was voorzien dat in 2017 </w:t>
      </w:r>
      <w:r w:rsidRPr="006558E6" w:rsidR="000D69E5">
        <w:rPr>
          <w:szCs w:val="18"/>
        </w:rPr>
        <w:t xml:space="preserve">circa 60% van de uitgaven onder de </w:t>
      </w:r>
      <w:r w:rsidRPr="006558E6" w:rsidR="00E238C5">
        <w:rPr>
          <w:szCs w:val="18"/>
        </w:rPr>
        <w:t>Wlz</w:t>
      </w:r>
      <w:r w:rsidRPr="006558E6" w:rsidR="000D69E5">
        <w:rPr>
          <w:szCs w:val="18"/>
        </w:rPr>
        <w:t xml:space="preserve"> zou vallen. De rest van de uitgaven </w:t>
      </w:r>
      <w:r>
        <w:rPr>
          <w:szCs w:val="18"/>
        </w:rPr>
        <w:t>zou</w:t>
      </w:r>
      <w:r w:rsidRPr="006558E6" w:rsidR="000D69E5">
        <w:rPr>
          <w:szCs w:val="18"/>
        </w:rPr>
        <w:t xml:space="preserve"> verdeeld </w:t>
      </w:r>
      <w:r>
        <w:rPr>
          <w:szCs w:val="18"/>
        </w:rPr>
        <w:t xml:space="preserve">worden </w:t>
      </w:r>
      <w:r w:rsidRPr="006558E6" w:rsidR="000D69E5">
        <w:rPr>
          <w:szCs w:val="18"/>
        </w:rPr>
        <w:t xml:space="preserve">over </w:t>
      </w:r>
      <w:proofErr w:type="spellStart"/>
      <w:r w:rsidRPr="006558E6" w:rsidR="000D69E5">
        <w:rPr>
          <w:szCs w:val="18"/>
        </w:rPr>
        <w:t>Wmo</w:t>
      </w:r>
      <w:proofErr w:type="spellEnd"/>
      <w:r w:rsidRPr="006558E6" w:rsidR="000D69E5">
        <w:rPr>
          <w:szCs w:val="18"/>
        </w:rPr>
        <w:t xml:space="preserve">, </w:t>
      </w:r>
      <w:proofErr w:type="spellStart"/>
      <w:r w:rsidRPr="006558E6" w:rsidR="000D69E5">
        <w:rPr>
          <w:szCs w:val="18"/>
        </w:rPr>
        <w:t>Zvw</w:t>
      </w:r>
      <w:proofErr w:type="spellEnd"/>
      <w:r w:rsidRPr="006558E6" w:rsidR="000D69E5">
        <w:rPr>
          <w:szCs w:val="18"/>
        </w:rPr>
        <w:t xml:space="preserve"> en de nieuwe Jeugdwet. Door de decen</w:t>
      </w:r>
      <w:r w:rsidRPr="006558E6" w:rsidR="00E2333F">
        <w:rPr>
          <w:szCs w:val="18"/>
        </w:rPr>
        <w:t>tralisatie naar gemeenten groeide</w:t>
      </w:r>
      <w:r w:rsidRPr="006558E6" w:rsidR="000D69E5">
        <w:rPr>
          <w:szCs w:val="18"/>
        </w:rPr>
        <w:t xml:space="preserve"> het uitgavenkader van de Wmo van een paar procenten naar ongeveer 25% van de gehele langdurige ondersteuning en zorg. De Zvw kr</w:t>
      </w:r>
      <w:r w:rsidRPr="006558E6" w:rsidR="00E2333F">
        <w:rPr>
          <w:szCs w:val="18"/>
        </w:rPr>
        <w:t>eeg</w:t>
      </w:r>
      <w:r w:rsidRPr="006558E6" w:rsidR="000D69E5">
        <w:rPr>
          <w:szCs w:val="18"/>
        </w:rPr>
        <w:t xml:space="preserve"> een aandeel van ongeveer 10%. </w:t>
      </w:r>
    </w:p>
    <w:p w:rsidRPr="006558E6" w:rsidR="000D69E5" w:rsidP="000D69E5" w:rsidRDefault="000D69E5">
      <w:pPr>
        <w:pStyle w:val="Geenafstand"/>
      </w:pPr>
    </w:p>
    <w:p w:rsidRPr="006558E6" w:rsidR="000D69E5" w:rsidP="000D69E5" w:rsidRDefault="000D69E5">
      <w:pPr>
        <w:rPr>
          <w:szCs w:val="18"/>
        </w:rPr>
      </w:pPr>
      <w:r w:rsidRPr="006558E6">
        <w:rPr>
          <w:szCs w:val="18"/>
        </w:rPr>
        <w:t>De voornemens zoals beschreven in de brief over de hervorming van de langdurige zorg uit april 2013 jl., zijn nader uitgewerkt in het zorgakkoord, het begrotingsakkoord en de huidige br</w:t>
      </w:r>
      <w:r w:rsidRPr="006558E6" w:rsidR="00C00A61">
        <w:rPr>
          <w:szCs w:val="18"/>
        </w:rPr>
        <w:t xml:space="preserve">ief. </w:t>
      </w:r>
      <w:r w:rsidRPr="006558E6" w:rsidR="00E2333F">
        <w:rPr>
          <w:szCs w:val="18"/>
        </w:rPr>
        <w:t>Hierdoor wijzigt de</w:t>
      </w:r>
      <w:r w:rsidRPr="006558E6">
        <w:rPr>
          <w:szCs w:val="18"/>
        </w:rPr>
        <w:t xml:space="preserve"> uitgavenverdeling 2013-2017 over de verschillende sectoren (Wmo, </w:t>
      </w:r>
      <w:r w:rsidRPr="006558E6" w:rsidR="00E238C5">
        <w:rPr>
          <w:szCs w:val="18"/>
        </w:rPr>
        <w:t>Wlz</w:t>
      </w:r>
      <w:r w:rsidRPr="006558E6">
        <w:rPr>
          <w:szCs w:val="18"/>
        </w:rPr>
        <w:t>, Zvw en Jeugdwet).</w:t>
      </w:r>
    </w:p>
    <w:p w:rsidRPr="006558E6" w:rsidR="000D69E5" w:rsidP="000D69E5" w:rsidRDefault="000D69E5">
      <w:pPr>
        <w:rPr>
          <w:szCs w:val="18"/>
        </w:rPr>
      </w:pPr>
    </w:p>
    <w:p w:rsidRPr="006558E6" w:rsidR="000D69E5" w:rsidP="006558E6" w:rsidRDefault="00C00A61">
      <w:pPr>
        <w:rPr>
          <w:szCs w:val="18"/>
        </w:rPr>
      </w:pPr>
      <w:r w:rsidRPr="006558E6">
        <w:rPr>
          <w:szCs w:val="18"/>
        </w:rPr>
        <w:t>Bij de huidige voorstellen valt in 2017 n</w:t>
      </w:r>
      <w:r w:rsidRPr="006558E6" w:rsidR="000D69E5">
        <w:rPr>
          <w:szCs w:val="18"/>
        </w:rPr>
        <w:t xml:space="preserve">og circa 60% van de uitgaven onder de </w:t>
      </w:r>
      <w:r w:rsidRPr="006558E6" w:rsidR="00E238C5">
        <w:rPr>
          <w:szCs w:val="18"/>
        </w:rPr>
        <w:t>Wlz</w:t>
      </w:r>
      <w:r w:rsidRPr="006558E6" w:rsidR="000D69E5">
        <w:rPr>
          <w:szCs w:val="18"/>
        </w:rPr>
        <w:t xml:space="preserve">. De rest van de uitgaven wordt door de overheveling verdeeld over </w:t>
      </w:r>
      <w:proofErr w:type="spellStart"/>
      <w:r w:rsidRPr="006558E6" w:rsidR="000D69E5">
        <w:rPr>
          <w:szCs w:val="18"/>
        </w:rPr>
        <w:t>Wmo</w:t>
      </w:r>
      <w:proofErr w:type="spellEnd"/>
      <w:r w:rsidRPr="006558E6" w:rsidR="000D69E5">
        <w:rPr>
          <w:szCs w:val="18"/>
        </w:rPr>
        <w:t xml:space="preserve"> (1</w:t>
      </w:r>
      <w:r w:rsidRPr="006558E6">
        <w:rPr>
          <w:szCs w:val="18"/>
        </w:rPr>
        <w:t>8</w:t>
      </w:r>
      <w:r w:rsidR="006558E6">
        <w:rPr>
          <w:szCs w:val="18"/>
        </w:rPr>
        <w:t xml:space="preserve">%), </w:t>
      </w:r>
      <w:proofErr w:type="spellStart"/>
      <w:r w:rsidR="006558E6">
        <w:rPr>
          <w:szCs w:val="18"/>
        </w:rPr>
        <w:t>Zvw</w:t>
      </w:r>
      <w:proofErr w:type="spellEnd"/>
      <w:r w:rsidR="006558E6">
        <w:rPr>
          <w:szCs w:val="18"/>
        </w:rPr>
        <w:t xml:space="preserve"> </w:t>
      </w:r>
      <w:r w:rsidRPr="006558E6" w:rsidR="000D69E5">
        <w:rPr>
          <w:szCs w:val="18"/>
        </w:rPr>
        <w:t>(1</w:t>
      </w:r>
      <w:r w:rsidRPr="006558E6">
        <w:rPr>
          <w:szCs w:val="18"/>
        </w:rPr>
        <w:t>7</w:t>
      </w:r>
      <w:r w:rsidRPr="006558E6" w:rsidR="000D69E5">
        <w:rPr>
          <w:szCs w:val="18"/>
        </w:rPr>
        <w:t>%) en de nieuwe Jeugdwet (4%). Door de decentralisatie naar gemeenten groeit het uitgavenkader van de Wmo van een paar procenten naar 17% van de gehele langdurige ondersteuning en zorg. De Zvw krijgt een vergelijkb</w:t>
      </w:r>
      <w:r w:rsidRPr="006558E6">
        <w:rPr>
          <w:szCs w:val="18"/>
        </w:rPr>
        <w:t>a</w:t>
      </w:r>
      <w:r w:rsidRPr="006558E6" w:rsidR="000D69E5">
        <w:rPr>
          <w:szCs w:val="18"/>
        </w:rPr>
        <w:t>ar aan</w:t>
      </w:r>
      <w:r w:rsidRPr="006558E6">
        <w:rPr>
          <w:szCs w:val="18"/>
        </w:rPr>
        <w:t>deel als de Wmo.</w:t>
      </w:r>
      <w:r w:rsidRPr="006558E6" w:rsidR="000D69E5">
        <w:rPr>
          <w:szCs w:val="18"/>
        </w:rPr>
        <w:t xml:space="preserve"> </w:t>
      </w:r>
    </w:p>
    <w:p w:rsidRPr="006558E6" w:rsidR="00E2333F" w:rsidP="000D69E5" w:rsidRDefault="00E2333F">
      <w:pPr>
        <w:pStyle w:val="Geenafstand"/>
      </w:pPr>
    </w:p>
    <w:p w:rsidRPr="006558E6" w:rsidR="00E2333F" w:rsidP="000D69E5" w:rsidRDefault="00E2333F">
      <w:pPr>
        <w:pStyle w:val="Geenafstand"/>
      </w:pPr>
      <w:r w:rsidRPr="006558E6">
        <w:t>In figuur 1 is de verschuiving in de uitgavenverdeling grafisch weergegeven.</w:t>
      </w:r>
    </w:p>
    <w:p w:rsidRPr="006558E6" w:rsidR="000D69E5" w:rsidRDefault="000D69E5">
      <w:pPr>
        <w:rPr>
          <w:szCs w:val="18"/>
        </w:rPr>
      </w:pPr>
    </w:p>
    <w:p w:rsidRPr="006558E6" w:rsidR="00E2333F" w:rsidP="00C00A61" w:rsidRDefault="00C00A61">
      <w:pPr>
        <w:pStyle w:val="Geenafstand"/>
        <w:rPr>
          <w:i/>
          <w:sz w:val="16"/>
          <w:szCs w:val="16"/>
        </w:rPr>
      </w:pPr>
      <w:r w:rsidRPr="006558E6">
        <w:rPr>
          <w:i/>
          <w:sz w:val="16"/>
          <w:szCs w:val="16"/>
        </w:rPr>
        <w:t xml:space="preserve">Figuur </w:t>
      </w:r>
      <w:r w:rsidRPr="006558E6" w:rsidR="00E2333F">
        <w:rPr>
          <w:i/>
          <w:sz w:val="16"/>
          <w:szCs w:val="16"/>
        </w:rPr>
        <w:t>1</w:t>
      </w:r>
      <w:r w:rsidRPr="006558E6">
        <w:rPr>
          <w:i/>
          <w:sz w:val="16"/>
          <w:szCs w:val="16"/>
        </w:rPr>
        <w:t xml:space="preserve"> Verdeling van langdurige zorg naar de verschillende wetten uitwerking </w:t>
      </w:r>
      <w:r w:rsidRPr="006558E6" w:rsidR="00E2333F">
        <w:rPr>
          <w:i/>
          <w:sz w:val="16"/>
          <w:szCs w:val="16"/>
        </w:rPr>
        <w:t>2013-2017</w:t>
      </w:r>
    </w:p>
    <w:p w:rsidRPr="006558E6" w:rsidR="00396931" w:rsidP="00C00A61" w:rsidRDefault="00E2333F">
      <w:pPr>
        <w:pStyle w:val="Geenafstand"/>
        <w:rPr>
          <w:i/>
          <w:sz w:val="16"/>
          <w:szCs w:val="16"/>
        </w:rPr>
      </w:pPr>
      <w:r w:rsidRPr="006558E6">
        <w:rPr>
          <w:i/>
          <w:sz w:val="16"/>
          <w:szCs w:val="16"/>
        </w:rPr>
        <w:t>(april voornemens versus oktober voornemens)</w:t>
      </w:r>
    </w:p>
    <w:p w:rsidRPr="006558E6" w:rsidR="00396931" w:rsidP="00C00A61" w:rsidRDefault="00396931">
      <w:pPr>
        <w:pStyle w:val="Geenafstand"/>
        <w:rPr>
          <w:i/>
          <w:sz w:val="16"/>
          <w:szCs w:val="16"/>
        </w:rPr>
      </w:pPr>
      <w:r w:rsidRPr="006558E6">
        <w:rPr>
          <w:i/>
          <w:noProof/>
          <w:sz w:val="16"/>
          <w:szCs w:val="16"/>
          <w:lang w:eastAsia="nl-NL"/>
        </w:rPr>
        <w:drawing>
          <wp:inline distT="0" distB="0" distL="0" distR="0">
            <wp:extent cx="5029787" cy="2987430"/>
            <wp:effectExtent l="1905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35417" cy="2990774"/>
                    </a:xfrm>
                    <a:prstGeom prst="rect">
                      <a:avLst/>
                    </a:prstGeom>
                    <a:noFill/>
                    <a:ln w="9525">
                      <a:noFill/>
                      <a:miter lim="800000"/>
                      <a:headEnd/>
                      <a:tailEnd/>
                    </a:ln>
                  </pic:spPr>
                </pic:pic>
              </a:graphicData>
            </a:graphic>
          </wp:inline>
        </w:drawing>
      </w:r>
    </w:p>
    <w:p w:rsidRPr="006558E6" w:rsidR="00396931" w:rsidP="00C00A61" w:rsidRDefault="00396931">
      <w:pPr>
        <w:pStyle w:val="Geenafstand"/>
        <w:rPr>
          <w:i/>
          <w:sz w:val="16"/>
          <w:szCs w:val="16"/>
        </w:rPr>
      </w:pPr>
    </w:p>
    <w:p w:rsidRPr="006558E6" w:rsidR="00396931" w:rsidP="00C00A61" w:rsidRDefault="00396931">
      <w:pPr>
        <w:pStyle w:val="Geenafstand"/>
      </w:pPr>
    </w:p>
    <w:p w:rsidRPr="006558E6" w:rsidR="00E2333F" w:rsidP="006558E6" w:rsidRDefault="00E2333F">
      <w:pPr>
        <w:rPr>
          <w:szCs w:val="18"/>
        </w:rPr>
      </w:pPr>
      <w:r w:rsidRPr="006558E6">
        <w:rPr>
          <w:szCs w:val="18"/>
        </w:rPr>
        <w:t xml:space="preserve">Dit betreft een beeld op basis van huidige gegevens, waarin als gevolg van nadere uitwerkingen die in de brief staan genoemd, periodieke actualisering van de uitgaven en ramingsbijstellingen nog wijzigingen zullen optreden. Tevens dient gerealiseerd te worden dat het beeld in de jaren na 2017 nog wijzigt in verband met de uitstroom uit de </w:t>
      </w:r>
      <w:r w:rsidRPr="006558E6" w:rsidR="00E238C5">
        <w:rPr>
          <w:szCs w:val="18"/>
        </w:rPr>
        <w:t>Wlz</w:t>
      </w:r>
      <w:r w:rsidRPr="006558E6">
        <w:rPr>
          <w:szCs w:val="18"/>
        </w:rPr>
        <w:t xml:space="preserve"> van cliënten met lagere ZZP’s.</w:t>
      </w:r>
      <w:r w:rsidRPr="006558E6" w:rsidR="00CE58AA">
        <w:rPr>
          <w:szCs w:val="18"/>
        </w:rPr>
        <w:t xml:space="preserve"> De uitgaven 2017 zijn zonder loon</w:t>
      </w:r>
      <w:r w:rsidRPr="006558E6" w:rsidR="00E238C5">
        <w:rPr>
          <w:szCs w:val="18"/>
        </w:rPr>
        <w:t>-</w:t>
      </w:r>
      <w:r w:rsidRPr="006558E6" w:rsidR="00CE58AA">
        <w:rPr>
          <w:szCs w:val="18"/>
        </w:rPr>
        <w:t xml:space="preserve"> en prijsbijstellingen</w:t>
      </w:r>
      <w:r w:rsidRPr="006558E6" w:rsidR="005A367D">
        <w:rPr>
          <w:szCs w:val="18"/>
        </w:rPr>
        <w:t>.</w:t>
      </w:r>
    </w:p>
    <w:p w:rsidRPr="006558E6" w:rsidR="00E2333F" w:rsidP="00E2333F" w:rsidRDefault="00E2333F">
      <w:pPr>
        <w:rPr>
          <w:szCs w:val="18"/>
        </w:rPr>
      </w:pPr>
    </w:p>
    <w:p w:rsidRPr="006558E6" w:rsidR="00C00A61" w:rsidP="00E2333F" w:rsidRDefault="00C00A61">
      <w:pPr>
        <w:rPr>
          <w:szCs w:val="18"/>
        </w:rPr>
      </w:pPr>
    </w:p>
    <w:sectPr w:rsidRPr="006558E6" w:rsidR="00C00A61"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0B7" w:rsidRDefault="002140B7" w:rsidP="00885C87">
      <w:pPr>
        <w:spacing w:line="240" w:lineRule="auto"/>
      </w:pPr>
      <w:r>
        <w:separator/>
      </w:r>
    </w:p>
  </w:endnote>
  <w:endnote w:type="continuationSeparator" w:id="0">
    <w:p w:rsidR="002140B7" w:rsidRDefault="002140B7" w:rsidP="00885C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0B7" w:rsidRDefault="002140B7" w:rsidP="00885C87">
      <w:pPr>
        <w:spacing w:line="240" w:lineRule="auto"/>
      </w:pPr>
      <w:r>
        <w:separator/>
      </w:r>
    </w:p>
  </w:footnote>
  <w:footnote w:type="continuationSeparator" w:id="0">
    <w:p w:rsidR="002140B7" w:rsidRDefault="002140B7" w:rsidP="00885C8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85C87"/>
    <w:rsid w:val="0001190C"/>
    <w:rsid w:val="000137E1"/>
    <w:rsid w:val="000D69E5"/>
    <w:rsid w:val="00153379"/>
    <w:rsid w:val="001D7DAF"/>
    <w:rsid w:val="001F6FD3"/>
    <w:rsid w:val="002140B7"/>
    <w:rsid w:val="002667EB"/>
    <w:rsid w:val="0037757D"/>
    <w:rsid w:val="00396931"/>
    <w:rsid w:val="004322E6"/>
    <w:rsid w:val="00484352"/>
    <w:rsid w:val="005401CA"/>
    <w:rsid w:val="005A35D4"/>
    <w:rsid w:val="005A367D"/>
    <w:rsid w:val="005F3F54"/>
    <w:rsid w:val="005F46A0"/>
    <w:rsid w:val="006558E6"/>
    <w:rsid w:val="006C22D7"/>
    <w:rsid w:val="007214BC"/>
    <w:rsid w:val="00776460"/>
    <w:rsid w:val="00885C87"/>
    <w:rsid w:val="008E58E3"/>
    <w:rsid w:val="009230BB"/>
    <w:rsid w:val="00930F7A"/>
    <w:rsid w:val="00A17C6E"/>
    <w:rsid w:val="00A25CE0"/>
    <w:rsid w:val="00AA23C6"/>
    <w:rsid w:val="00AE375D"/>
    <w:rsid w:val="00BC3513"/>
    <w:rsid w:val="00BE6868"/>
    <w:rsid w:val="00C00A61"/>
    <w:rsid w:val="00CB78A0"/>
    <w:rsid w:val="00CE58AA"/>
    <w:rsid w:val="00DA3940"/>
    <w:rsid w:val="00E2333F"/>
    <w:rsid w:val="00E238C5"/>
    <w:rsid w:val="00E7316D"/>
    <w:rsid w:val="00E9219B"/>
    <w:rsid w:val="00F22CDC"/>
    <w:rsid w:val="00F27D76"/>
    <w:rsid w:val="00F76342"/>
    <w:rsid w:val="00F77AC4"/>
    <w:rsid w:val="00F82B90"/>
    <w:rsid w:val="00FD7E7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5C8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styleId="Kop2">
    <w:name w:val="heading 2"/>
    <w:basedOn w:val="Standaard"/>
    <w:next w:val="Standaard"/>
    <w:link w:val="Kop2Char"/>
    <w:uiPriority w:val="9"/>
    <w:unhideWhenUsed/>
    <w:qFormat/>
    <w:rsid w:val="006558E6"/>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885C87"/>
    <w:pPr>
      <w:widowControl/>
      <w:suppressAutoHyphens w:val="0"/>
      <w:autoSpaceDN/>
      <w:spacing w:line="240" w:lineRule="auto"/>
      <w:textAlignment w:val="auto"/>
    </w:pPr>
    <w:rPr>
      <w:rFonts w:asciiTheme="minorHAnsi" w:eastAsiaTheme="minorHAnsi" w:hAnsi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semiHidden/>
    <w:rsid w:val="00885C87"/>
    <w:rPr>
      <w:sz w:val="20"/>
      <w:szCs w:val="20"/>
      <w:lang w:val="en-US"/>
    </w:rPr>
  </w:style>
  <w:style w:type="character" w:styleId="Voetnootmarkering">
    <w:name w:val="footnote reference"/>
    <w:basedOn w:val="Standaardalinea-lettertype"/>
    <w:uiPriority w:val="99"/>
    <w:semiHidden/>
    <w:unhideWhenUsed/>
    <w:rsid w:val="00885C87"/>
    <w:rPr>
      <w:vertAlign w:val="superscript"/>
    </w:rPr>
  </w:style>
  <w:style w:type="paragraph" w:styleId="Geenafstand">
    <w:name w:val="No Spacing"/>
    <w:uiPriority w:val="1"/>
    <w:qFormat/>
    <w:rsid w:val="000D69E5"/>
    <w:pPr>
      <w:spacing w:after="0" w:line="240" w:lineRule="auto"/>
    </w:pPr>
    <w:rPr>
      <w:rFonts w:ascii="Verdana" w:hAnsi="Verdana"/>
      <w:sz w:val="18"/>
    </w:rPr>
  </w:style>
  <w:style w:type="paragraph" w:styleId="Ballontekst">
    <w:name w:val="Balloon Text"/>
    <w:basedOn w:val="Standaard"/>
    <w:link w:val="BallontekstChar"/>
    <w:uiPriority w:val="99"/>
    <w:semiHidden/>
    <w:unhideWhenUsed/>
    <w:rsid w:val="000D69E5"/>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0D69E5"/>
    <w:rPr>
      <w:rFonts w:ascii="Tahoma" w:eastAsia="DejaVu Sans" w:hAnsi="Tahoma" w:cs="Mangal"/>
      <w:kern w:val="3"/>
      <w:sz w:val="16"/>
      <w:szCs w:val="14"/>
      <w:lang w:eastAsia="zh-CN" w:bidi="hi-IN"/>
    </w:rPr>
  </w:style>
  <w:style w:type="character" w:customStyle="1" w:styleId="Kop2Char">
    <w:name w:val="Kop 2 Char"/>
    <w:basedOn w:val="Standaardalinea-lettertype"/>
    <w:link w:val="Kop2"/>
    <w:uiPriority w:val="9"/>
    <w:rsid w:val="006558E6"/>
    <w:rPr>
      <w:rFonts w:asciiTheme="majorHAnsi" w:eastAsiaTheme="majorEastAsia" w:hAnsiTheme="majorHAnsi" w:cs="Mangal"/>
      <w:b/>
      <w:bCs/>
      <w:color w:val="4F81BD" w:themeColor="accent1"/>
      <w:kern w:val="3"/>
      <w:sz w:val="26"/>
      <w:szCs w:val="23"/>
      <w:lang w:eastAsia="zh-CN" w:bidi="hi-IN"/>
    </w:rPr>
  </w:style>
</w:styles>
</file>

<file path=word/webSettings.xml><?xml version="1.0" encoding="utf-8"?>
<w:webSettings xmlns:r="http://schemas.openxmlformats.org/officeDocument/2006/relationships" xmlns:w="http://schemas.openxmlformats.org/wordprocessingml/2006/main">
  <w:divs>
    <w:div w:id="381831946">
      <w:bodyDiv w:val="1"/>
      <w:marLeft w:val="0"/>
      <w:marRight w:val="0"/>
      <w:marTop w:val="0"/>
      <w:marBottom w:val="0"/>
      <w:divBdr>
        <w:top w:val="none" w:sz="0" w:space="0" w:color="auto"/>
        <w:left w:val="none" w:sz="0" w:space="0" w:color="auto"/>
        <w:bottom w:val="none" w:sz="0" w:space="0" w:color="auto"/>
        <w:right w:val="none" w:sz="0" w:space="0" w:color="auto"/>
      </w:divBdr>
    </w:div>
    <w:div w:id="72498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wmf"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592</ap:Words>
  <ap:Characters>3257</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2013-10-31T13:14:00.0000000Z</lastPrinted>
  <dcterms:created xsi:type="dcterms:W3CDTF">2013-11-06T14:25:00.0000000Z</dcterms:created>
  <dcterms:modified xsi:type="dcterms:W3CDTF">2013-11-06T14:25:00.0000000Z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0x01010030BF178A66E2E94C888D7C82427AE344</vt:lpwstr>
  </property>
</Properties>
</file>