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02D7" w:rsidR="00AC7718" w:rsidP="00AC7718" w:rsidRDefault="00AC7718">
      <w:pPr>
        <w:pStyle w:val="Heading1"/>
        <w:numPr>
          <w:ilvl w:val="0"/>
          <w:numId w:val="0"/>
        </w:numPr>
        <w:rPr>
          <w:rFonts w:ascii="Verdana" w:hAnsi="Verdana"/>
          <w:sz w:val="18"/>
          <w:szCs w:val="18"/>
        </w:rPr>
      </w:pPr>
      <w:bookmarkStart w:name="_GoBack" w:id="0"/>
      <w:bookmarkEnd w:id="0"/>
      <w:r w:rsidRPr="002F02D7">
        <w:rPr>
          <w:rFonts w:ascii="Verdana" w:hAnsi="Verdana" w:eastAsia="Times New Roman"/>
          <w:sz w:val="18"/>
          <w:szCs w:val="18"/>
        </w:rPr>
        <w:t xml:space="preserve">Protocol tot wijziging van het </w:t>
      </w:r>
      <w:r w:rsidRPr="002F02D7">
        <w:rPr>
          <w:rFonts w:ascii="Verdana" w:hAnsi="Verdana"/>
          <w:sz w:val="18"/>
          <w:szCs w:val="18"/>
        </w:rPr>
        <w:t xml:space="preserve">Verdrag tussen de Regering van het Koninkrijk der Nederlanden en de Regering van het Verenigd Koninkrijk van Groot-Brittannië en Noord-Ierland tot het vermijden van dubbele belasting en het voorkomen van het ontgaan van belasting met betrekking tot belastingen naar het inkomen en naar vermogenswinsten; London, 12 juni </w:t>
      </w:r>
      <w:r w:rsidRPr="00F57E65">
        <w:rPr>
          <w:rFonts w:ascii="Verdana" w:hAnsi="Verdana"/>
          <w:sz w:val="18"/>
          <w:szCs w:val="18"/>
        </w:rPr>
        <w:t>2013</w:t>
      </w:r>
      <w:r w:rsidRPr="00F57E65" w:rsidR="002D2BB7">
        <w:rPr>
          <w:rFonts w:ascii="Verdana" w:hAnsi="Verdana"/>
          <w:sz w:val="18"/>
          <w:szCs w:val="18"/>
        </w:rPr>
        <w:t xml:space="preserve"> (Trb. 2013, 110)</w:t>
      </w:r>
    </w:p>
    <w:p w:rsidRPr="002F02D7" w:rsidR="00AC7718" w:rsidP="002722F2" w:rsidRDefault="00AC7718">
      <w:pPr>
        <w:pStyle w:val="Heading1"/>
        <w:numPr>
          <w:ilvl w:val="0"/>
          <w:numId w:val="0"/>
        </w:numPr>
        <w:rPr>
          <w:rFonts w:ascii="Verdana" w:hAnsi="Verdana" w:eastAsia="Times New Roman"/>
          <w:sz w:val="18"/>
          <w:szCs w:val="18"/>
        </w:rPr>
      </w:pPr>
    </w:p>
    <w:p w:rsidRPr="002F02D7" w:rsidR="00AC7718" w:rsidP="002722F2" w:rsidRDefault="00AC7718">
      <w:pPr>
        <w:pStyle w:val="Heading1"/>
        <w:numPr>
          <w:ilvl w:val="0"/>
          <w:numId w:val="0"/>
        </w:numPr>
        <w:rPr>
          <w:rFonts w:ascii="Verdana" w:hAnsi="Verdana" w:eastAsia="Times New Roman"/>
          <w:sz w:val="18"/>
          <w:szCs w:val="18"/>
        </w:rPr>
      </w:pPr>
    </w:p>
    <w:p w:rsidRPr="002F02D7" w:rsidR="002722F2" w:rsidP="002722F2" w:rsidRDefault="00B0245E">
      <w:pPr>
        <w:pStyle w:val="Heading1"/>
        <w:numPr>
          <w:ilvl w:val="0"/>
          <w:numId w:val="0"/>
        </w:numPr>
        <w:rPr>
          <w:rFonts w:ascii="Verdana" w:hAnsi="Verdana" w:eastAsia="Times New Roman"/>
          <w:sz w:val="18"/>
          <w:szCs w:val="18"/>
        </w:rPr>
      </w:pPr>
      <w:r w:rsidRPr="002F02D7">
        <w:rPr>
          <w:rFonts w:ascii="Verdana" w:hAnsi="Verdana" w:eastAsia="Times New Roman"/>
          <w:sz w:val="18"/>
          <w:szCs w:val="18"/>
        </w:rPr>
        <w:t>TOELICHTENDE NOTA</w:t>
      </w:r>
    </w:p>
    <w:p w:rsidRPr="002F02D7" w:rsidR="001E0D42" w:rsidP="002722F2" w:rsidRDefault="001E0D42">
      <w:pPr>
        <w:spacing w:line="360" w:lineRule="auto"/>
        <w:rPr>
          <w:rFonts w:ascii="Verdana" w:hAnsi="Verdana" w:cs="Arial"/>
          <w:b/>
          <w:sz w:val="18"/>
          <w:szCs w:val="18"/>
          <w:lang w:val="nl-NL"/>
        </w:rPr>
      </w:pPr>
    </w:p>
    <w:p w:rsidRPr="002F02D7" w:rsidR="002722F2" w:rsidP="002722F2" w:rsidRDefault="00381217">
      <w:pPr>
        <w:spacing w:line="360" w:lineRule="auto"/>
        <w:rPr>
          <w:rFonts w:ascii="Verdana" w:hAnsi="Verdana" w:cs="Arial"/>
          <w:b/>
          <w:sz w:val="18"/>
          <w:szCs w:val="18"/>
          <w:lang w:val="nl-NL"/>
        </w:rPr>
      </w:pPr>
      <w:r w:rsidRPr="002F02D7">
        <w:rPr>
          <w:rFonts w:ascii="Verdana" w:hAnsi="Verdana" w:cs="Arial"/>
          <w:b/>
          <w:sz w:val="18"/>
          <w:szCs w:val="18"/>
          <w:lang w:val="nl-NL"/>
        </w:rPr>
        <w:t xml:space="preserve">1. </w:t>
      </w:r>
      <w:r w:rsidRPr="002F02D7" w:rsidR="002722F2">
        <w:rPr>
          <w:rFonts w:ascii="Verdana" w:hAnsi="Verdana" w:cs="Arial"/>
          <w:b/>
          <w:sz w:val="18"/>
          <w:szCs w:val="18"/>
          <w:lang w:val="nl-NL"/>
        </w:rPr>
        <w:t>Inleiding</w:t>
      </w:r>
    </w:p>
    <w:p w:rsidRPr="002F02D7" w:rsidR="00B0245E" w:rsidP="002722F2" w:rsidRDefault="00B0245E">
      <w:pPr>
        <w:spacing w:line="360" w:lineRule="auto"/>
        <w:rPr>
          <w:rFonts w:ascii="Verdana" w:hAnsi="Verdana" w:cs="Arial"/>
          <w:sz w:val="18"/>
          <w:szCs w:val="18"/>
          <w:lang w:val="nl-NL"/>
        </w:rPr>
      </w:pPr>
    </w:p>
    <w:p w:rsidRPr="002F02D7" w:rsidR="002722F2" w:rsidP="00125779" w:rsidRDefault="00B0245E">
      <w:pPr>
        <w:spacing w:line="360" w:lineRule="auto"/>
        <w:rPr>
          <w:rFonts w:ascii="Verdana" w:hAnsi="Verdana" w:cs="Arial"/>
          <w:sz w:val="18"/>
          <w:szCs w:val="18"/>
          <w:lang w:val="nl-NL"/>
        </w:rPr>
      </w:pPr>
      <w:r w:rsidRPr="002F02D7">
        <w:rPr>
          <w:rFonts w:ascii="Verdana" w:hAnsi="Verdana" w:cs="Arial"/>
          <w:sz w:val="18"/>
          <w:szCs w:val="18"/>
          <w:lang w:val="nl-NL"/>
        </w:rPr>
        <w:t xml:space="preserve">Met het onderhavige </w:t>
      </w:r>
      <w:r w:rsidRPr="00F57E65" w:rsidR="00AC7718">
        <w:rPr>
          <w:rFonts w:ascii="Verdana" w:hAnsi="Verdana" w:cs="Arial"/>
          <w:sz w:val="18"/>
          <w:szCs w:val="18"/>
          <w:lang w:val="nl-NL"/>
        </w:rPr>
        <w:t>Protocol</w:t>
      </w:r>
      <w:r w:rsidRPr="00F57E65" w:rsidR="002D2BB7">
        <w:rPr>
          <w:rFonts w:ascii="Verdana" w:hAnsi="Verdana" w:cs="Arial"/>
          <w:sz w:val="18"/>
          <w:szCs w:val="18"/>
          <w:lang w:val="nl-NL"/>
        </w:rPr>
        <w:t xml:space="preserve"> </w:t>
      </w:r>
      <w:r w:rsidRPr="00F57E65" w:rsidR="002D2BB7">
        <w:rPr>
          <w:rFonts w:ascii="Verdana" w:hAnsi="Verdana"/>
          <w:sz w:val="18"/>
          <w:szCs w:val="18"/>
        </w:rPr>
        <w:t>(Trb. 2013, 110</w:t>
      </w:r>
      <w:r w:rsidRPr="00F57E65" w:rsidR="002D2BB7">
        <w:rPr>
          <w:rFonts w:ascii="Verdana" w:hAnsi="Verdana" w:cs="Arial"/>
          <w:sz w:val="18"/>
          <w:szCs w:val="18"/>
          <w:lang w:val="nl-NL"/>
        </w:rPr>
        <w:t>)</w:t>
      </w:r>
      <w:r w:rsidRPr="002F02D7">
        <w:rPr>
          <w:rFonts w:ascii="Verdana" w:hAnsi="Verdana" w:cs="Arial"/>
          <w:sz w:val="18"/>
          <w:szCs w:val="18"/>
          <w:lang w:val="nl-NL"/>
        </w:rPr>
        <w:t xml:space="preserve"> wordt een wijziging aangebracht in het op 26 september 2008 </w:t>
      </w:r>
      <w:r w:rsidRPr="002F02D7" w:rsidR="00125779">
        <w:rPr>
          <w:rFonts w:ascii="Verdana" w:hAnsi="Verdana" w:cs="Arial"/>
          <w:sz w:val="18"/>
          <w:szCs w:val="18"/>
          <w:lang w:val="nl-NL"/>
        </w:rPr>
        <w:t xml:space="preserve">te Londen </w:t>
      </w:r>
      <w:r w:rsidRPr="002F02D7">
        <w:rPr>
          <w:rFonts w:ascii="Verdana" w:hAnsi="Verdana" w:cs="Arial"/>
          <w:sz w:val="18"/>
          <w:szCs w:val="18"/>
          <w:lang w:val="nl-NL"/>
        </w:rPr>
        <w:t>tot</w:t>
      </w:r>
      <w:r w:rsidRPr="002F02D7" w:rsidR="00AC7718">
        <w:rPr>
          <w:rFonts w:ascii="Verdana" w:hAnsi="Verdana" w:cs="Arial"/>
          <w:sz w:val="18"/>
          <w:szCs w:val="18"/>
          <w:lang w:val="nl-NL"/>
        </w:rPr>
        <w:t xml:space="preserve"> </w:t>
      </w:r>
      <w:r w:rsidRPr="002F02D7">
        <w:rPr>
          <w:rFonts w:ascii="Verdana" w:hAnsi="Verdana" w:cs="Arial"/>
          <w:sz w:val="18"/>
          <w:szCs w:val="18"/>
          <w:lang w:val="nl-NL"/>
        </w:rPr>
        <w:t>stand</w:t>
      </w:r>
      <w:r w:rsidRPr="002F02D7" w:rsidR="00AC7718">
        <w:rPr>
          <w:rFonts w:ascii="Verdana" w:hAnsi="Verdana" w:cs="Arial"/>
          <w:sz w:val="18"/>
          <w:szCs w:val="18"/>
          <w:lang w:val="nl-NL"/>
        </w:rPr>
        <w:t xml:space="preserve"> </w:t>
      </w:r>
      <w:r w:rsidRPr="002F02D7">
        <w:rPr>
          <w:rFonts w:ascii="Verdana" w:hAnsi="Verdana" w:cs="Arial"/>
          <w:sz w:val="18"/>
          <w:szCs w:val="18"/>
          <w:lang w:val="nl-NL"/>
        </w:rPr>
        <w:t xml:space="preserve">gekomen Verdrag tussen de Regering van het Koninkrijk der Nederlanden en de Regering van het Verenigd Koninkrijk van Groot-Brittannië en Noord-Ierland tot het vermijden van dubbele belasting en het voorkomen van het ontgaan van belasting met betrekking tot belastingen naar het inkomen en naar vermogenswinsten </w:t>
      </w:r>
      <w:r w:rsidRPr="002F02D7" w:rsidR="00125779">
        <w:rPr>
          <w:rFonts w:ascii="Verdana" w:hAnsi="Verdana" w:cs="Arial"/>
          <w:sz w:val="18"/>
          <w:szCs w:val="18"/>
          <w:lang w:val="nl-NL"/>
        </w:rPr>
        <w:t xml:space="preserve">(Trb. 2008, 201), </w:t>
      </w:r>
      <w:r w:rsidRPr="002F02D7">
        <w:rPr>
          <w:rFonts w:ascii="Verdana" w:hAnsi="Verdana" w:cs="Arial"/>
          <w:sz w:val="18"/>
          <w:szCs w:val="18"/>
          <w:lang w:val="nl-NL"/>
        </w:rPr>
        <w:t xml:space="preserve">hierna te noemen “het Verdrag”. </w:t>
      </w:r>
      <w:r w:rsidRPr="002F02D7" w:rsidR="006C10B8">
        <w:rPr>
          <w:rFonts w:ascii="Verdana" w:hAnsi="Verdana" w:cs="Arial"/>
          <w:sz w:val="18"/>
          <w:szCs w:val="18"/>
          <w:lang w:val="nl-NL"/>
        </w:rPr>
        <w:t xml:space="preserve">De wijzigingen hebben betrekking op </w:t>
      </w:r>
      <w:r w:rsidRPr="002F02D7" w:rsidR="00664BED">
        <w:rPr>
          <w:rFonts w:ascii="Verdana" w:hAnsi="Verdana" w:cs="Arial"/>
          <w:sz w:val="18"/>
          <w:szCs w:val="18"/>
          <w:lang w:val="nl-NL"/>
        </w:rPr>
        <w:t xml:space="preserve">het artikel </w:t>
      </w:r>
      <w:r w:rsidRPr="002F02D7" w:rsidR="006C10B8">
        <w:rPr>
          <w:rFonts w:ascii="Verdana" w:hAnsi="Verdana" w:cs="Arial"/>
          <w:sz w:val="18"/>
          <w:szCs w:val="18"/>
          <w:lang w:val="nl-NL"/>
        </w:rPr>
        <w:t xml:space="preserve">over winst uit onderneming (artikel 7) en </w:t>
      </w:r>
      <w:r w:rsidRPr="002F02D7" w:rsidR="00664BED">
        <w:rPr>
          <w:rFonts w:ascii="Verdana" w:hAnsi="Verdana" w:cs="Arial"/>
          <w:sz w:val="18"/>
          <w:szCs w:val="18"/>
          <w:lang w:val="nl-NL"/>
        </w:rPr>
        <w:t xml:space="preserve">het artikel </w:t>
      </w:r>
      <w:r w:rsidRPr="002F02D7" w:rsidR="006C10B8">
        <w:rPr>
          <w:rFonts w:ascii="Verdana" w:hAnsi="Verdana" w:cs="Arial"/>
          <w:sz w:val="18"/>
          <w:szCs w:val="18"/>
          <w:lang w:val="nl-NL"/>
        </w:rPr>
        <w:t>over overheidsfuncties (artikel 18).</w:t>
      </w:r>
    </w:p>
    <w:p w:rsidRPr="002F02D7" w:rsidR="002722F2" w:rsidP="002722F2" w:rsidRDefault="002722F2">
      <w:pPr>
        <w:spacing w:line="360" w:lineRule="auto"/>
        <w:rPr>
          <w:rFonts w:ascii="Verdana" w:hAnsi="Verdana" w:cs="Arial"/>
          <w:b/>
          <w:sz w:val="18"/>
          <w:szCs w:val="18"/>
          <w:lang w:val="nl-NL"/>
        </w:rPr>
      </w:pPr>
    </w:p>
    <w:p w:rsidRPr="002F02D7" w:rsidR="002722F2" w:rsidP="002722F2" w:rsidRDefault="00381217">
      <w:pPr>
        <w:spacing w:line="360" w:lineRule="auto"/>
        <w:rPr>
          <w:rFonts w:ascii="Verdana" w:hAnsi="Verdana" w:cs="Arial"/>
          <w:b/>
          <w:sz w:val="18"/>
          <w:szCs w:val="18"/>
          <w:lang w:val="nl-NL"/>
        </w:rPr>
      </w:pPr>
      <w:r w:rsidRPr="002F02D7">
        <w:rPr>
          <w:rFonts w:ascii="Verdana" w:hAnsi="Verdana" w:cs="Arial"/>
          <w:b/>
          <w:sz w:val="18"/>
          <w:szCs w:val="18"/>
          <w:lang w:val="nl-NL"/>
        </w:rPr>
        <w:t>2. Aanleiding en v</w:t>
      </w:r>
      <w:r w:rsidRPr="002F02D7" w:rsidR="002722F2">
        <w:rPr>
          <w:rFonts w:ascii="Verdana" w:hAnsi="Verdana" w:cs="Arial"/>
          <w:b/>
          <w:sz w:val="18"/>
          <w:szCs w:val="18"/>
          <w:lang w:val="nl-NL"/>
        </w:rPr>
        <w:t xml:space="preserve">erloop van de </w:t>
      </w:r>
      <w:r w:rsidRPr="002F02D7">
        <w:rPr>
          <w:rFonts w:ascii="Verdana" w:hAnsi="Verdana" w:cs="Arial"/>
          <w:b/>
          <w:sz w:val="18"/>
          <w:szCs w:val="18"/>
          <w:lang w:val="nl-NL"/>
        </w:rPr>
        <w:t>besprekingen</w:t>
      </w:r>
    </w:p>
    <w:p w:rsidRPr="002F02D7" w:rsidR="00B0245E" w:rsidP="002722F2" w:rsidRDefault="00B0245E">
      <w:pPr>
        <w:spacing w:line="360" w:lineRule="auto"/>
        <w:rPr>
          <w:rFonts w:ascii="Verdana" w:hAnsi="Verdana" w:cs="Arial"/>
          <w:sz w:val="18"/>
          <w:szCs w:val="18"/>
          <w:lang w:val="nl-NL"/>
        </w:rPr>
      </w:pPr>
    </w:p>
    <w:p w:rsidRPr="002F02D7" w:rsidR="002722F2" w:rsidP="002722F2" w:rsidRDefault="00B0245E">
      <w:pPr>
        <w:spacing w:line="360" w:lineRule="auto"/>
        <w:rPr>
          <w:rFonts w:ascii="Verdana" w:hAnsi="Verdana" w:cs="Arial"/>
          <w:sz w:val="18"/>
          <w:szCs w:val="18"/>
          <w:lang w:val="nl-NL"/>
        </w:rPr>
      </w:pPr>
      <w:r w:rsidRPr="002F02D7">
        <w:rPr>
          <w:rFonts w:ascii="Verdana" w:hAnsi="Verdana" w:cs="Arial"/>
          <w:sz w:val="18"/>
          <w:szCs w:val="18"/>
          <w:lang w:val="nl-NL"/>
        </w:rPr>
        <w:t xml:space="preserve">Aanleiding voor de besprekingen die tot het </w:t>
      </w:r>
      <w:r w:rsidRPr="002F02D7" w:rsidR="00AC7718">
        <w:rPr>
          <w:rFonts w:ascii="Verdana" w:hAnsi="Verdana" w:cs="Arial"/>
          <w:sz w:val="18"/>
          <w:szCs w:val="18"/>
          <w:lang w:val="nl-NL"/>
        </w:rPr>
        <w:t>Protocol</w:t>
      </w:r>
      <w:r w:rsidRPr="002F02D7">
        <w:rPr>
          <w:rFonts w:ascii="Verdana" w:hAnsi="Verdana" w:cs="Arial"/>
          <w:sz w:val="18"/>
          <w:szCs w:val="18"/>
          <w:lang w:val="nl-NL"/>
        </w:rPr>
        <w:t xml:space="preserve"> hebben geleid</w:t>
      </w:r>
      <w:r w:rsidRPr="002F02D7" w:rsidR="006C10B8">
        <w:rPr>
          <w:rFonts w:ascii="Verdana" w:hAnsi="Verdana" w:cs="Arial"/>
          <w:sz w:val="18"/>
          <w:szCs w:val="18"/>
          <w:lang w:val="nl-NL"/>
        </w:rPr>
        <w:t>,</w:t>
      </w:r>
      <w:r w:rsidRPr="002F02D7">
        <w:rPr>
          <w:rFonts w:ascii="Verdana" w:hAnsi="Verdana" w:cs="Arial"/>
          <w:sz w:val="18"/>
          <w:szCs w:val="18"/>
          <w:lang w:val="nl-NL"/>
        </w:rPr>
        <w:t xml:space="preserve"> </w:t>
      </w:r>
      <w:r w:rsidRPr="002F02D7" w:rsidR="009B537D">
        <w:rPr>
          <w:rFonts w:ascii="Verdana" w:hAnsi="Verdana" w:cs="Arial"/>
          <w:sz w:val="18"/>
          <w:szCs w:val="18"/>
          <w:lang w:val="nl-NL"/>
        </w:rPr>
        <w:t>was</w:t>
      </w:r>
      <w:r w:rsidRPr="002F02D7">
        <w:rPr>
          <w:rFonts w:ascii="Verdana" w:hAnsi="Verdana" w:cs="Arial"/>
          <w:sz w:val="18"/>
          <w:szCs w:val="18"/>
          <w:lang w:val="nl-NL"/>
        </w:rPr>
        <w:t xml:space="preserve"> dat </w:t>
      </w:r>
      <w:r w:rsidRPr="002F02D7" w:rsidR="006C10B8">
        <w:rPr>
          <w:rFonts w:ascii="Verdana" w:hAnsi="Verdana" w:cs="Arial"/>
          <w:sz w:val="18"/>
          <w:szCs w:val="18"/>
          <w:lang w:val="nl-NL"/>
        </w:rPr>
        <w:t xml:space="preserve">bij </w:t>
      </w:r>
      <w:r w:rsidRPr="002F02D7" w:rsidR="00123C2C">
        <w:rPr>
          <w:rFonts w:ascii="Verdana" w:hAnsi="Verdana" w:cs="Arial"/>
          <w:sz w:val="18"/>
          <w:szCs w:val="18"/>
          <w:lang w:val="nl-NL"/>
        </w:rPr>
        <w:t>een deel van het</w:t>
      </w:r>
      <w:r w:rsidRPr="002F02D7">
        <w:rPr>
          <w:rFonts w:ascii="Verdana" w:hAnsi="Verdana" w:cs="Arial"/>
          <w:sz w:val="18"/>
          <w:szCs w:val="18"/>
          <w:lang w:val="nl-NL"/>
        </w:rPr>
        <w:t xml:space="preserve"> lokaal aangeworven personeel van de Nederlandse ambassade in het Verenigd Koninkrijk </w:t>
      </w:r>
      <w:r w:rsidRPr="002F02D7" w:rsidR="006C10B8">
        <w:rPr>
          <w:rFonts w:ascii="Verdana" w:hAnsi="Verdana" w:cs="Arial"/>
          <w:sz w:val="18"/>
          <w:szCs w:val="18"/>
          <w:lang w:val="nl-NL"/>
        </w:rPr>
        <w:t xml:space="preserve">sprake was van </w:t>
      </w:r>
      <w:r w:rsidRPr="002F02D7">
        <w:rPr>
          <w:rFonts w:ascii="Verdana" w:hAnsi="Verdana" w:cs="Arial"/>
          <w:sz w:val="18"/>
          <w:szCs w:val="18"/>
          <w:lang w:val="nl-NL"/>
        </w:rPr>
        <w:t>een heffingsvac</w:t>
      </w:r>
      <w:r w:rsidRPr="002F02D7" w:rsidR="009B537D">
        <w:rPr>
          <w:rFonts w:ascii="Verdana" w:hAnsi="Verdana" w:cs="Arial"/>
          <w:sz w:val="18"/>
          <w:szCs w:val="18"/>
          <w:lang w:val="nl-NL"/>
        </w:rPr>
        <w:t xml:space="preserve">uüm, waarbij noch </w:t>
      </w:r>
      <w:r w:rsidRPr="002F02D7" w:rsidR="006C10B8">
        <w:rPr>
          <w:rFonts w:ascii="Verdana" w:hAnsi="Verdana" w:cs="Arial"/>
          <w:sz w:val="18"/>
          <w:szCs w:val="18"/>
          <w:lang w:val="nl-NL"/>
        </w:rPr>
        <w:t xml:space="preserve">in </w:t>
      </w:r>
      <w:r w:rsidRPr="002F02D7" w:rsidR="009B537D">
        <w:rPr>
          <w:rFonts w:ascii="Verdana" w:hAnsi="Verdana" w:cs="Arial"/>
          <w:sz w:val="18"/>
          <w:szCs w:val="18"/>
          <w:lang w:val="nl-NL"/>
        </w:rPr>
        <w:t xml:space="preserve">Nederland noch </w:t>
      </w:r>
      <w:r w:rsidRPr="002F02D7" w:rsidR="006C10B8">
        <w:rPr>
          <w:rFonts w:ascii="Verdana" w:hAnsi="Verdana" w:cs="Arial"/>
          <w:sz w:val="18"/>
          <w:szCs w:val="18"/>
          <w:lang w:val="nl-NL"/>
        </w:rPr>
        <w:t xml:space="preserve">in </w:t>
      </w:r>
      <w:r w:rsidRPr="002F02D7" w:rsidR="009B537D">
        <w:rPr>
          <w:rFonts w:ascii="Verdana" w:hAnsi="Verdana" w:cs="Arial"/>
          <w:sz w:val="18"/>
          <w:szCs w:val="18"/>
          <w:lang w:val="nl-NL"/>
        </w:rPr>
        <w:t xml:space="preserve">het Verenigd Koninkrijk </w:t>
      </w:r>
      <w:r w:rsidRPr="002F02D7" w:rsidR="008A4139">
        <w:rPr>
          <w:rFonts w:ascii="Verdana" w:hAnsi="Verdana" w:cs="Arial"/>
          <w:sz w:val="18"/>
          <w:szCs w:val="18"/>
          <w:lang w:val="nl-NL"/>
        </w:rPr>
        <w:t xml:space="preserve">de beloning </w:t>
      </w:r>
      <w:r w:rsidRPr="002F02D7" w:rsidR="009B537D">
        <w:rPr>
          <w:rFonts w:ascii="Verdana" w:hAnsi="Verdana" w:cs="Arial"/>
          <w:sz w:val="18"/>
          <w:szCs w:val="18"/>
          <w:lang w:val="nl-NL"/>
        </w:rPr>
        <w:t xml:space="preserve">van dit personeel in de belastingheffing </w:t>
      </w:r>
      <w:r w:rsidRPr="002F02D7" w:rsidR="006C10B8">
        <w:rPr>
          <w:rFonts w:ascii="Verdana" w:hAnsi="Verdana" w:cs="Arial"/>
          <w:sz w:val="18"/>
          <w:szCs w:val="18"/>
          <w:lang w:val="nl-NL"/>
        </w:rPr>
        <w:t xml:space="preserve">werd </w:t>
      </w:r>
      <w:r w:rsidRPr="002F02D7" w:rsidR="009B537D">
        <w:rPr>
          <w:rFonts w:ascii="Verdana" w:hAnsi="Verdana" w:cs="Arial"/>
          <w:sz w:val="18"/>
          <w:szCs w:val="18"/>
          <w:lang w:val="nl-NL"/>
        </w:rPr>
        <w:t>betrok</w:t>
      </w:r>
      <w:r w:rsidRPr="002F02D7" w:rsidR="006C10B8">
        <w:rPr>
          <w:rFonts w:ascii="Verdana" w:hAnsi="Verdana" w:cs="Arial"/>
          <w:sz w:val="18"/>
          <w:szCs w:val="18"/>
          <w:lang w:val="nl-NL"/>
        </w:rPr>
        <w:t>ken</w:t>
      </w:r>
      <w:r w:rsidRPr="002F02D7">
        <w:rPr>
          <w:rFonts w:ascii="Verdana" w:hAnsi="Verdana" w:cs="Arial"/>
          <w:sz w:val="18"/>
          <w:szCs w:val="18"/>
          <w:lang w:val="nl-NL"/>
        </w:rPr>
        <w:t xml:space="preserve">. </w:t>
      </w:r>
      <w:r w:rsidRPr="002F02D7" w:rsidR="006C10B8">
        <w:rPr>
          <w:rFonts w:ascii="Verdana" w:hAnsi="Verdana" w:cs="Arial"/>
          <w:sz w:val="18"/>
          <w:szCs w:val="18"/>
          <w:lang w:val="nl-NL"/>
        </w:rPr>
        <w:t xml:space="preserve">Volgens het Verdrag komt het Verenigd Koninkrijk het heffingsrecht toe over deze inkomsten, maar als </w:t>
      </w:r>
      <w:r w:rsidRPr="002F02D7" w:rsidR="009B537D">
        <w:rPr>
          <w:rFonts w:ascii="Verdana" w:hAnsi="Verdana" w:cs="Arial"/>
          <w:sz w:val="18"/>
          <w:szCs w:val="18"/>
          <w:lang w:val="nl-NL"/>
        </w:rPr>
        <w:t xml:space="preserve">gevolg van de wetgeving van het Verenigd Koninkrijk </w:t>
      </w:r>
      <w:r w:rsidRPr="002F02D7" w:rsidR="006C10B8">
        <w:rPr>
          <w:rFonts w:ascii="Verdana" w:hAnsi="Verdana" w:cs="Arial"/>
          <w:sz w:val="18"/>
          <w:szCs w:val="18"/>
          <w:lang w:val="nl-NL"/>
        </w:rPr>
        <w:t xml:space="preserve">worden deze inkomsten in bepaalde gevallen in het Verenigd Koninkrijk niet belast. Dit heffingsvacuüm was </w:t>
      </w:r>
      <w:r w:rsidRPr="002F02D7" w:rsidR="009B537D">
        <w:rPr>
          <w:rFonts w:ascii="Verdana" w:hAnsi="Verdana" w:cs="Arial"/>
          <w:sz w:val="18"/>
          <w:szCs w:val="18"/>
          <w:lang w:val="nl-NL"/>
        </w:rPr>
        <w:t>ten tijde van de onderhandelingen</w:t>
      </w:r>
      <w:r w:rsidRPr="002F02D7" w:rsidR="00531571">
        <w:rPr>
          <w:rFonts w:ascii="Verdana" w:hAnsi="Verdana" w:cs="Arial"/>
          <w:sz w:val="18"/>
          <w:szCs w:val="18"/>
          <w:lang w:val="nl-NL"/>
        </w:rPr>
        <w:t xml:space="preserve"> over het Verdrag</w:t>
      </w:r>
      <w:r w:rsidRPr="002F02D7" w:rsidR="009B537D">
        <w:rPr>
          <w:rFonts w:ascii="Verdana" w:hAnsi="Verdana" w:cs="Arial"/>
          <w:sz w:val="18"/>
          <w:szCs w:val="18"/>
          <w:lang w:val="nl-NL"/>
        </w:rPr>
        <w:t xml:space="preserve"> niet bekend</w:t>
      </w:r>
      <w:r w:rsidRPr="002F02D7">
        <w:rPr>
          <w:rFonts w:ascii="Verdana" w:hAnsi="Verdana" w:cs="Arial"/>
          <w:sz w:val="18"/>
          <w:szCs w:val="18"/>
          <w:lang w:val="nl-NL"/>
        </w:rPr>
        <w:t>.</w:t>
      </w:r>
      <w:r w:rsidRPr="002F02D7" w:rsidR="009B537D">
        <w:rPr>
          <w:rFonts w:ascii="Verdana" w:hAnsi="Verdana" w:cs="Arial"/>
          <w:sz w:val="18"/>
          <w:szCs w:val="18"/>
          <w:lang w:val="nl-NL"/>
        </w:rPr>
        <w:t xml:space="preserve"> </w:t>
      </w:r>
      <w:r w:rsidRPr="002F02D7" w:rsidR="00DA5603">
        <w:rPr>
          <w:rFonts w:ascii="Verdana" w:hAnsi="Verdana" w:cs="Arial"/>
          <w:sz w:val="18"/>
          <w:szCs w:val="18"/>
          <w:lang w:val="nl-NL"/>
        </w:rPr>
        <w:t xml:space="preserve">De afgelopen jaren is hiermee rekening gehouden in het zogenoemde “bruto-netto-traject” bij het vaststellen van de beloningen van de bedoelde medewerkers. Maar deze </w:t>
      </w:r>
      <w:r w:rsidRPr="002F02D7" w:rsidR="009B537D">
        <w:rPr>
          <w:rFonts w:ascii="Verdana" w:hAnsi="Verdana" w:cs="Arial"/>
          <w:sz w:val="18"/>
          <w:szCs w:val="18"/>
          <w:lang w:val="nl-NL"/>
        </w:rPr>
        <w:t xml:space="preserve">in de praktijk </w:t>
      </w:r>
      <w:r w:rsidRPr="002F02D7" w:rsidR="00265205">
        <w:rPr>
          <w:rFonts w:ascii="Verdana" w:hAnsi="Verdana" w:cs="Arial"/>
          <w:sz w:val="18"/>
          <w:szCs w:val="18"/>
          <w:lang w:val="nl-NL"/>
        </w:rPr>
        <w:t>gekozen (tijdelijke) oplossing bleek niet structureel afdoende.</w:t>
      </w:r>
      <w:r w:rsidRPr="002F02D7" w:rsidR="009B537D">
        <w:rPr>
          <w:rFonts w:ascii="Verdana" w:hAnsi="Verdana" w:cs="Arial"/>
          <w:sz w:val="18"/>
          <w:szCs w:val="18"/>
          <w:lang w:val="nl-NL"/>
        </w:rPr>
        <w:t xml:space="preserve"> </w:t>
      </w:r>
      <w:r w:rsidRPr="002F02D7" w:rsidR="00265205">
        <w:rPr>
          <w:rFonts w:ascii="Verdana" w:hAnsi="Verdana" w:cs="Arial"/>
          <w:sz w:val="18"/>
          <w:szCs w:val="18"/>
          <w:lang w:val="nl-NL"/>
        </w:rPr>
        <w:t>H</w:t>
      </w:r>
      <w:r w:rsidRPr="002F02D7" w:rsidR="009B537D">
        <w:rPr>
          <w:rFonts w:ascii="Verdana" w:hAnsi="Verdana" w:cs="Arial"/>
          <w:sz w:val="18"/>
          <w:szCs w:val="18"/>
          <w:lang w:val="nl-NL"/>
        </w:rPr>
        <w:t xml:space="preserve">et </w:t>
      </w:r>
      <w:r w:rsidRPr="002F02D7" w:rsidR="00AC7718">
        <w:rPr>
          <w:rFonts w:ascii="Verdana" w:hAnsi="Verdana" w:cs="Arial"/>
          <w:sz w:val="18"/>
          <w:szCs w:val="18"/>
          <w:lang w:val="nl-NL"/>
        </w:rPr>
        <w:t>Protocol</w:t>
      </w:r>
      <w:r w:rsidRPr="002F02D7" w:rsidR="00265205">
        <w:rPr>
          <w:rFonts w:ascii="Verdana" w:hAnsi="Verdana" w:cs="Arial"/>
          <w:sz w:val="18"/>
          <w:szCs w:val="18"/>
          <w:lang w:val="nl-NL"/>
        </w:rPr>
        <w:t xml:space="preserve"> wijzigt</w:t>
      </w:r>
      <w:r w:rsidRPr="002F02D7" w:rsidR="009B537D">
        <w:rPr>
          <w:rFonts w:ascii="Verdana" w:hAnsi="Verdana" w:cs="Arial"/>
          <w:sz w:val="18"/>
          <w:szCs w:val="18"/>
          <w:lang w:val="nl-NL"/>
        </w:rPr>
        <w:t xml:space="preserve"> het Verdrag </w:t>
      </w:r>
      <w:r w:rsidRPr="002F02D7" w:rsidR="00265205">
        <w:rPr>
          <w:rFonts w:ascii="Verdana" w:hAnsi="Verdana" w:cs="Arial"/>
          <w:sz w:val="18"/>
          <w:szCs w:val="18"/>
          <w:lang w:val="nl-NL"/>
        </w:rPr>
        <w:t>zodanig</w:t>
      </w:r>
      <w:r w:rsidRPr="002F02D7" w:rsidR="009B537D">
        <w:rPr>
          <w:rFonts w:ascii="Verdana" w:hAnsi="Verdana" w:cs="Arial"/>
          <w:sz w:val="18"/>
          <w:szCs w:val="18"/>
          <w:lang w:val="nl-NL"/>
        </w:rPr>
        <w:t xml:space="preserve"> dat </w:t>
      </w:r>
      <w:r w:rsidRPr="002F02D7" w:rsidR="008A4139">
        <w:rPr>
          <w:rFonts w:ascii="Verdana" w:hAnsi="Verdana" w:cs="Arial"/>
          <w:sz w:val="18"/>
          <w:szCs w:val="18"/>
          <w:lang w:val="nl-NL"/>
        </w:rPr>
        <w:t>de beloning</w:t>
      </w:r>
      <w:r w:rsidRPr="002F02D7" w:rsidR="009B537D">
        <w:rPr>
          <w:rFonts w:ascii="Verdana" w:hAnsi="Verdana" w:cs="Arial"/>
          <w:sz w:val="18"/>
          <w:szCs w:val="18"/>
          <w:lang w:val="nl-NL"/>
        </w:rPr>
        <w:t xml:space="preserve"> van het </w:t>
      </w:r>
      <w:r w:rsidRPr="002F02D7" w:rsidR="00265205">
        <w:rPr>
          <w:rFonts w:ascii="Verdana" w:hAnsi="Verdana" w:cs="Arial"/>
          <w:sz w:val="18"/>
          <w:szCs w:val="18"/>
          <w:lang w:val="nl-NL"/>
        </w:rPr>
        <w:t xml:space="preserve">voornoemde </w:t>
      </w:r>
      <w:r w:rsidRPr="002F02D7" w:rsidR="009B537D">
        <w:rPr>
          <w:rFonts w:ascii="Verdana" w:hAnsi="Verdana" w:cs="Arial"/>
          <w:sz w:val="18"/>
          <w:szCs w:val="18"/>
          <w:lang w:val="nl-NL"/>
        </w:rPr>
        <w:t>lokaal aangeworven ambassadepersoneel</w:t>
      </w:r>
      <w:r w:rsidRPr="002F02D7" w:rsidR="00D81C42">
        <w:rPr>
          <w:rFonts w:ascii="Verdana" w:hAnsi="Verdana" w:cs="Arial"/>
          <w:sz w:val="18"/>
          <w:szCs w:val="18"/>
          <w:lang w:val="nl-NL"/>
        </w:rPr>
        <w:t xml:space="preserve"> </w:t>
      </w:r>
      <w:r w:rsidRPr="002F02D7" w:rsidR="00DA5603">
        <w:rPr>
          <w:rFonts w:ascii="Verdana" w:hAnsi="Verdana" w:cs="Arial"/>
          <w:sz w:val="18"/>
          <w:szCs w:val="18"/>
          <w:lang w:val="nl-NL"/>
        </w:rPr>
        <w:t xml:space="preserve">effectief </w:t>
      </w:r>
      <w:r w:rsidRPr="002F02D7" w:rsidR="00265205">
        <w:rPr>
          <w:rFonts w:ascii="Verdana" w:hAnsi="Verdana" w:cs="Arial"/>
          <w:sz w:val="18"/>
          <w:szCs w:val="18"/>
          <w:lang w:val="nl-NL"/>
        </w:rPr>
        <w:t>in Nederland</w:t>
      </w:r>
      <w:r w:rsidRPr="002F02D7" w:rsidR="00D81C42">
        <w:rPr>
          <w:rFonts w:ascii="Verdana" w:hAnsi="Verdana" w:cs="Arial"/>
          <w:sz w:val="18"/>
          <w:szCs w:val="18"/>
          <w:lang w:val="nl-NL"/>
        </w:rPr>
        <w:t xml:space="preserve"> in de belastingheffing </w:t>
      </w:r>
      <w:r w:rsidRPr="002F02D7" w:rsidR="00265205">
        <w:rPr>
          <w:rFonts w:ascii="Verdana" w:hAnsi="Verdana" w:cs="Arial"/>
          <w:sz w:val="18"/>
          <w:szCs w:val="18"/>
          <w:lang w:val="nl-NL"/>
        </w:rPr>
        <w:t>kan worden</w:t>
      </w:r>
      <w:r w:rsidRPr="002F02D7" w:rsidR="00D81C42">
        <w:rPr>
          <w:rFonts w:ascii="Verdana" w:hAnsi="Verdana" w:cs="Arial"/>
          <w:sz w:val="18"/>
          <w:szCs w:val="18"/>
          <w:lang w:val="nl-NL"/>
        </w:rPr>
        <w:t xml:space="preserve"> betrokken</w:t>
      </w:r>
      <w:r w:rsidRPr="002F02D7" w:rsidR="004176B1">
        <w:rPr>
          <w:rFonts w:ascii="Verdana" w:hAnsi="Verdana" w:cs="Arial"/>
          <w:sz w:val="18"/>
          <w:szCs w:val="18"/>
          <w:lang w:val="nl-NL"/>
        </w:rPr>
        <w:t xml:space="preserve"> indien, zoals het geval is, het Verenigd Koninkrijk op deze inkomsten een vrijstelling toepast</w:t>
      </w:r>
      <w:r w:rsidRPr="002F02D7" w:rsidR="009B537D">
        <w:rPr>
          <w:rFonts w:ascii="Verdana" w:hAnsi="Verdana" w:cs="Arial"/>
          <w:sz w:val="18"/>
          <w:szCs w:val="18"/>
          <w:lang w:val="nl-NL"/>
        </w:rPr>
        <w:t xml:space="preserve">. </w:t>
      </w:r>
    </w:p>
    <w:p w:rsidRPr="002F02D7" w:rsidR="00CC2696" w:rsidP="002722F2" w:rsidRDefault="007F0E63">
      <w:pPr>
        <w:spacing w:line="360" w:lineRule="auto"/>
        <w:rPr>
          <w:rFonts w:ascii="Verdana" w:hAnsi="Verdana" w:cs="Arial"/>
          <w:sz w:val="18"/>
          <w:szCs w:val="18"/>
          <w:lang w:val="nl-NL"/>
        </w:rPr>
      </w:pPr>
      <w:r w:rsidRPr="002F02D7">
        <w:rPr>
          <w:rFonts w:ascii="Verdana" w:hAnsi="Verdana" w:cs="Arial"/>
          <w:sz w:val="18"/>
          <w:szCs w:val="18"/>
          <w:lang w:val="nl-NL"/>
        </w:rPr>
        <w:t xml:space="preserve">Nederland en het Verenigd Koninkrijk hebben de gelegenheid van deze wijziging </w:t>
      </w:r>
      <w:r w:rsidRPr="002F02D7" w:rsidR="006924A2">
        <w:rPr>
          <w:rFonts w:ascii="Verdana" w:hAnsi="Verdana" w:cs="Arial"/>
          <w:sz w:val="18"/>
          <w:szCs w:val="18"/>
          <w:lang w:val="nl-NL"/>
        </w:rPr>
        <w:t xml:space="preserve">tevens </w:t>
      </w:r>
      <w:r w:rsidRPr="002F02D7">
        <w:rPr>
          <w:rFonts w:ascii="Verdana" w:hAnsi="Verdana" w:cs="Arial"/>
          <w:sz w:val="18"/>
          <w:szCs w:val="18"/>
          <w:lang w:val="nl-NL"/>
        </w:rPr>
        <w:t>benut om artikel 7</w:t>
      </w:r>
      <w:r w:rsidRPr="002F02D7" w:rsidR="00531571">
        <w:rPr>
          <w:rFonts w:ascii="Verdana" w:hAnsi="Verdana" w:cs="Arial"/>
          <w:sz w:val="18"/>
          <w:szCs w:val="18"/>
          <w:lang w:val="nl-NL"/>
        </w:rPr>
        <w:t xml:space="preserve"> (winst uit onderneming)</w:t>
      </w:r>
      <w:r w:rsidRPr="002F02D7">
        <w:rPr>
          <w:rFonts w:ascii="Verdana" w:hAnsi="Verdana" w:cs="Arial"/>
          <w:sz w:val="18"/>
          <w:szCs w:val="18"/>
          <w:lang w:val="nl-NL"/>
        </w:rPr>
        <w:t xml:space="preserve"> van het Verdrag te actualiseren</w:t>
      </w:r>
      <w:r w:rsidRPr="002F02D7" w:rsidR="00DA5603">
        <w:rPr>
          <w:rFonts w:ascii="Verdana" w:hAnsi="Verdana" w:cs="Arial"/>
          <w:sz w:val="18"/>
          <w:szCs w:val="18"/>
          <w:lang w:val="nl-NL"/>
        </w:rPr>
        <w:t xml:space="preserve"> aan de </w:t>
      </w:r>
      <w:r w:rsidRPr="002F02D7" w:rsidR="004176B1">
        <w:rPr>
          <w:rFonts w:ascii="Verdana" w:hAnsi="Verdana" w:cs="Arial"/>
          <w:sz w:val="18"/>
          <w:szCs w:val="18"/>
          <w:lang w:val="nl-NL"/>
        </w:rPr>
        <w:t xml:space="preserve">hand van de </w:t>
      </w:r>
      <w:r w:rsidRPr="002F02D7" w:rsidR="00DA5603">
        <w:rPr>
          <w:rFonts w:ascii="Verdana" w:hAnsi="Verdana" w:cs="Arial"/>
          <w:sz w:val="18"/>
          <w:szCs w:val="18"/>
          <w:lang w:val="nl-NL"/>
        </w:rPr>
        <w:t>wijziging van het O</w:t>
      </w:r>
      <w:r w:rsidRPr="002F02D7" w:rsidR="00AC7718">
        <w:rPr>
          <w:rFonts w:ascii="Verdana" w:hAnsi="Verdana" w:cs="Arial"/>
          <w:sz w:val="18"/>
          <w:szCs w:val="18"/>
          <w:lang w:val="nl-NL"/>
        </w:rPr>
        <w:t>ESO</w:t>
      </w:r>
      <w:r w:rsidRPr="002F02D7" w:rsidR="00DA5603">
        <w:rPr>
          <w:rFonts w:ascii="Verdana" w:hAnsi="Verdana" w:cs="Arial"/>
          <w:sz w:val="18"/>
          <w:szCs w:val="18"/>
          <w:lang w:val="nl-NL"/>
        </w:rPr>
        <w:t>-modelverdrag 2010 op dit punt</w:t>
      </w:r>
      <w:r w:rsidRPr="002F02D7">
        <w:rPr>
          <w:rFonts w:ascii="Verdana" w:hAnsi="Verdana" w:cs="Arial"/>
          <w:sz w:val="18"/>
          <w:szCs w:val="18"/>
          <w:lang w:val="nl-NL"/>
        </w:rPr>
        <w:t xml:space="preserve">. </w:t>
      </w:r>
    </w:p>
    <w:p w:rsidRPr="002F02D7" w:rsidR="00B152E2" w:rsidP="002722F2" w:rsidRDefault="00B152E2">
      <w:pPr>
        <w:spacing w:line="360" w:lineRule="auto"/>
        <w:rPr>
          <w:rFonts w:ascii="Verdana" w:hAnsi="Verdana" w:cs="Arial"/>
          <w:sz w:val="18"/>
          <w:szCs w:val="18"/>
          <w:lang w:val="nl-NL"/>
        </w:rPr>
      </w:pPr>
    </w:p>
    <w:p w:rsidRPr="002F02D7" w:rsidR="004B301A" w:rsidP="002722F2" w:rsidRDefault="00381217">
      <w:pPr>
        <w:spacing w:line="360" w:lineRule="auto"/>
        <w:rPr>
          <w:rFonts w:ascii="Verdana" w:hAnsi="Verdana" w:cs="Arial"/>
          <w:sz w:val="18"/>
          <w:szCs w:val="18"/>
          <w:lang w:val="nl-NL"/>
        </w:rPr>
      </w:pPr>
      <w:r w:rsidRPr="00F57E65">
        <w:rPr>
          <w:rFonts w:ascii="Verdana" w:hAnsi="Verdana" w:cs="Arial"/>
          <w:b/>
          <w:sz w:val="18"/>
          <w:szCs w:val="18"/>
          <w:lang w:val="nl-NL"/>
        </w:rPr>
        <w:t xml:space="preserve">3. </w:t>
      </w:r>
      <w:r w:rsidRPr="00F57E65" w:rsidR="002722F2">
        <w:rPr>
          <w:rFonts w:ascii="Verdana" w:hAnsi="Verdana" w:cs="Arial"/>
          <w:b/>
          <w:sz w:val="18"/>
          <w:szCs w:val="18"/>
          <w:lang w:val="nl-NL"/>
        </w:rPr>
        <w:t>Budgettaire</w:t>
      </w:r>
      <w:r w:rsidRPr="002F02D7" w:rsidR="002722F2">
        <w:rPr>
          <w:rFonts w:ascii="Verdana" w:hAnsi="Verdana" w:cs="Arial"/>
          <w:b/>
          <w:sz w:val="18"/>
          <w:szCs w:val="18"/>
          <w:lang w:val="nl-NL"/>
        </w:rPr>
        <w:t xml:space="preserve"> gevolgen en administratieve lasten</w:t>
      </w:r>
      <w:r w:rsidRPr="002F02D7">
        <w:rPr>
          <w:rFonts w:ascii="Verdana" w:hAnsi="Verdana" w:cs="Arial"/>
          <w:b/>
          <w:sz w:val="18"/>
          <w:szCs w:val="18"/>
          <w:lang w:val="nl-NL"/>
        </w:rPr>
        <w:br/>
      </w:r>
    </w:p>
    <w:p w:rsidR="002D2BB7" w:rsidP="00EF7676" w:rsidRDefault="004B301A">
      <w:pPr>
        <w:spacing w:line="360" w:lineRule="auto"/>
        <w:rPr>
          <w:rFonts w:ascii="Verdana" w:hAnsi="Verdana" w:cs="Arial"/>
          <w:sz w:val="18"/>
          <w:szCs w:val="18"/>
          <w:lang w:val="nl-NL"/>
        </w:rPr>
      </w:pPr>
      <w:r w:rsidRPr="002F02D7">
        <w:rPr>
          <w:rFonts w:ascii="Verdana" w:hAnsi="Verdana" w:cs="Arial"/>
          <w:sz w:val="18"/>
          <w:szCs w:val="18"/>
          <w:lang w:val="nl-NL"/>
        </w:rPr>
        <w:t xml:space="preserve">Zowel de budgettaire gevolgen als de gevolgen voor de administratieve lasten van </w:t>
      </w:r>
      <w:r w:rsidRPr="002F02D7" w:rsidR="00B152E2">
        <w:rPr>
          <w:rFonts w:ascii="Verdana" w:hAnsi="Verdana" w:cs="Arial"/>
          <w:sz w:val="18"/>
          <w:szCs w:val="18"/>
          <w:lang w:val="nl-NL"/>
        </w:rPr>
        <w:t xml:space="preserve">het </w:t>
      </w:r>
      <w:r w:rsidRPr="002F02D7" w:rsidR="00AC7718">
        <w:rPr>
          <w:rFonts w:ascii="Verdana" w:hAnsi="Verdana" w:cs="Arial"/>
          <w:sz w:val="18"/>
          <w:szCs w:val="18"/>
          <w:lang w:val="nl-NL"/>
        </w:rPr>
        <w:t>Protocol</w:t>
      </w:r>
      <w:r w:rsidRPr="002F02D7">
        <w:rPr>
          <w:rFonts w:ascii="Verdana" w:hAnsi="Verdana" w:cs="Arial"/>
          <w:sz w:val="18"/>
          <w:szCs w:val="18"/>
          <w:lang w:val="nl-NL"/>
        </w:rPr>
        <w:t xml:space="preserve"> zijn verwaarloosbaar</w:t>
      </w:r>
      <w:r w:rsidRPr="002F02D7" w:rsidR="00622213">
        <w:rPr>
          <w:rFonts w:ascii="Verdana" w:hAnsi="Verdana" w:cs="Arial"/>
          <w:sz w:val="18"/>
          <w:szCs w:val="18"/>
          <w:lang w:val="nl-NL"/>
        </w:rPr>
        <w:t xml:space="preserve">. </w:t>
      </w:r>
      <w:r w:rsidR="002D2BB7">
        <w:rPr>
          <w:rFonts w:ascii="Verdana" w:hAnsi="Verdana" w:cs="Arial"/>
          <w:sz w:val="18"/>
          <w:szCs w:val="18"/>
          <w:lang w:val="nl-NL"/>
        </w:rPr>
        <w:br w:type="page"/>
      </w:r>
    </w:p>
    <w:p w:rsidRPr="002F02D7" w:rsidR="004B301A" w:rsidP="002722F2" w:rsidRDefault="004B301A">
      <w:pPr>
        <w:spacing w:line="360" w:lineRule="auto"/>
        <w:rPr>
          <w:rFonts w:ascii="Verdana" w:hAnsi="Verdana" w:cs="Arial"/>
          <w:sz w:val="18"/>
          <w:szCs w:val="18"/>
          <w:lang w:val="nl-NL"/>
        </w:rPr>
      </w:pPr>
    </w:p>
    <w:p w:rsidRPr="002F02D7" w:rsidR="00381217" w:rsidP="002722F2" w:rsidRDefault="00381217">
      <w:pPr>
        <w:spacing w:line="360" w:lineRule="auto"/>
        <w:rPr>
          <w:rFonts w:ascii="Verdana" w:hAnsi="Verdana" w:cs="Arial"/>
          <w:b/>
          <w:sz w:val="18"/>
          <w:szCs w:val="18"/>
          <w:lang w:val="nl-NL"/>
        </w:rPr>
      </w:pPr>
      <w:r w:rsidRPr="002F02D7">
        <w:rPr>
          <w:rFonts w:ascii="Verdana" w:hAnsi="Verdana" w:cs="Arial"/>
          <w:b/>
          <w:sz w:val="18"/>
          <w:szCs w:val="18"/>
          <w:lang w:val="nl-NL"/>
        </w:rPr>
        <w:t>4. Algemene toelichting</w:t>
      </w:r>
    </w:p>
    <w:p w:rsidRPr="002F02D7" w:rsidR="00C06878" w:rsidP="002722F2" w:rsidRDefault="00C06878">
      <w:pPr>
        <w:spacing w:line="360" w:lineRule="auto"/>
        <w:rPr>
          <w:rFonts w:ascii="Verdana" w:hAnsi="Verdana" w:cs="Arial"/>
          <w:b/>
          <w:sz w:val="18"/>
          <w:szCs w:val="18"/>
          <w:lang w:val="nl-NL"/>
        </w:rPr>
      </w:pPr>
    </w:p>
    <w:p w:rsidRPr="002F02D7" w:rsidR="009D21AF" w:rsidP="00D81C42" w:rsidRDefault="00D22100">
      <w:pPr>
        <w:spacing w:line="360" w:lineRule="auto"/>
        <w:rPr>
          <w:rFonts w:ascii="Verdana" w:hAnsi="Verdana" w:cs="Arial"/>
          <w:i/>
          <w:sz w:val="18"/>
          <w:szCs w:val="18"/>
          <w:lang w:val="nl-NL"/>
        </w:rPr>
      </w:pPr>
      <w:r w:rsidRPr="002F02D7">
        <w:rPr>
          <w:rFonts w:ascii="Verdana" w:hAnsi="Verdana" w:cs="Arial"/>
          <w:i/>
          <w:sz w:val="18"/>
          <w:szCs w:val="18"/>
          <w:lang w:val="nl-NL"/>
        </w:rPr>
        <w:t>4.1. Winst uit onderneming</w:t>
      </w:r>
    </w:p>
    <w:p w:rsidRPr="002F02D7" w:rsidR="004176B1" w:rsidP="00D81C42" w:rsidRDefault="00C06878">
      <w:pPr>
        <w:spacing w:line="360" w:lineRule="auto"/>
        <w:rPr>
          <w:rFonts w:ascii="Verdana" w:hAnsi="Verdana" w:cs="Arial"/>
          <w:sz w:val="18"/>
          <w:szCs w:val="18"/>
          <w:lang w:val="nl-NL"/>
        </w:rPr>
      </w:pPr>
      <w:r w:rsidRPr="002F02D7">
        <w:rPr>
          <w:rFonts w:ascii="Verdana" w:hAnsi="Verdana" w:cs="Arial"/>
          <w:sz w:val="18"/>
          <w:szCs w:val="18"/>
          <w:lang w:val="nl-NL"/>
        </w:rPr>
        <w:t xml:space="preserve">Het </w:t>
      </w:r>
      <w:r w:rsidRPr="002F02D7" w:rsidR="00AC7718">
        <w:rPr>
          <w:rFonts w:ascii="Verdana" w:hAnsi="Verdana" w:cs="Arial"/>
          <w:sz w:val="18"/>
          <w:szCs w:val="18"/>
          <w:lang w:val="nl-NL"/>
        </w:rPr>
        <w:t>Protocol</w:t>
      </w:r>
      <w:r w:rsidRPr="002F02D7">
        <w:rPr>
          <w:rFonts w:ascii="Verdana" w:hAnsi="Verdana" w:cs="Arial"/>
          <w:sz w:val="18"/>
          <w:szCs w:val="18"/>
          <w:lang w:val="nl-NL"/>
        </w:rPr>
        <w:t xml:space="preserve"> </w:t>
      </w:r>
      <w:r w:rsidRPr="002F02D7" w:rsidR="00A82CDD">
        <w:rPr>
          <w:rFonts w:ascii="Verdana" w:hAnsi="Verdana" w:cs="Arial"/>
          <w:sz w:val="18"/>
          <w:szCs w:val="18"/>
          <w:lang w:val="nl-NL"/>
        </w:rPr>
        <w:t>actualiseert</w:t>
      </w:r>
      <w:r w:rsidRPr="002F02D7">
        <w:rPr>
          <w:rFonts w:ascii="Verdana" w:hAnsi="Verdana" w:cs="Arial"/>
          <w:sz w:val="18"/>
          <w:szCs w:val="18"/>
          <w:lang w:val="nl-NL"/>
        </w:rPr>
        <w:t xml:space="preserve"> het artikel inzake ondernemingswinst (artikel 7 van het Verdrag). Na deze wijziging sluit de tekst aan bij het OESO-</w:t>
      </w:r>
      <w:r w:rsidRPr="002F02D7" w:rsidR="00B6717B">
        <w:rPr>
          <w:rFonts w:ascii="Verdana" w:hAnsi="Verdana" w:cs="Arial"/>
          <w:sz w:val="18"/>
          <w:szCs w:val="18"/>
          <w:lang w:val="nl-NL"/>
        </w:rPr>
        <w:t>m</w:t>
      </w:r>
      <w:r w:rsidRPr="002F02D7">
        <w:rPr>
          <w:rFonts w:ascii="Verdana" w:hAnsi="Verdana" w:cs="Arial"/>
          <w:sz w:val="18"/>
          <w:szCs w:val="18"/>
          <w:lang w:val="nl-NL"/>
        </w:rPr>
        <w:t xml:space="preserve">odelverdrag 2010 en </w:t>
      </w:r>
      <w:r w:rsidRPr="002F02D7" w:rsidR="00DA5603">
        <w:rPr>
          <w:rFonts w:ascii="Verdana" w:hAnsi="Verdana" w:cs="Arial"/>
          <w:sz w:val="18"/>
          <w:szCs w:val="18"/>
          <w:lang w:val="nl-NL"/>
        </w:rPr>
        <w:t xml:space="preserve">het </w:t>
      </w:r>
      <w:r w:rsidRPr="002F02D7">
        <w:rPr>
          <w:rFonts w:ascii="Verdana" w:hAnsi="Verdana" w:cs="Arial"/>
          <w:sz w:val="18"/>
          <w:szCs w:val="18"/>
          <w:lang w:val="nl-NL"/>
        </w:rPr>
        <w:t>bijbehorend</w:t>
      </w:r>
      <w:r w:rsidRPr="002F02D7" w:rsidR="00DA5603">
        <w:rPr>
          <w:rFonts w:ascii="Verdana" w:hAnsi="Verdana" w:cs="Arial"/>
          <w:sz w:val="18"/>
          <w:szCs w:val="18"/>
          <w:lang w:val="nl-NL"/>
        </w:rPr>
        <w:t>e</w:t>
      </w:r>
      <w:r w:rsidRPr="002F02D7">
        <w:rPr>
          <w:rFonts w:ascii="Verdana" w:hAnsi="Verdana" w:cs="Arial"/>
          <w:sz w:val="18"/>
          <w:szCs w:val="18"/>
          <w:lang w:val="nl-NL"/>
        </w:rPr>
        <w:t xml:space="preserve"> Commentaar. </w:t>
      </w:r>
      <w:r w:rsidRPr="002F02D7" w:rsidR="004176B1">
        <w:rPr>
          <w:rFonts w:ascii="Verdana" w:hAnsi="Verdana" w:cs="Arial"/>
          <w:sz w:val="18"/>
          <w:szCs w:val="18"/>
          <w:lang w:val="nl-NL"/>
        </w:rPr>
        <w:t>Dit is ook in overeenstemming met het Nederlandse verdragsbeleid, zoals aangegeven in paragraaf 2.6.4 van de Notitie Fiscaal Verdragsbeleid 2011 (Kamerstukken II 2010/11, 25 087, nr</w:t>
      </w:r>
      <w:r w:rsidRPr="00F57E65" w:rsidR="004176B1">
        <w:rPr>
          <w:rFonts w:ascii="Verdana" w:hAnsi="Verdana" w:cs="Arial"/>
          <w:sz w:val="18"/>
          <w:szCs w:val="18"/>
          <w:lang w:val="nl-NL"/>
        </w:rPr>
        <w:t>. 7</w:t>
      </w:r>
      <w:r w:rsidRPr="00F57E65" w:rsidR="006D130B">
        <w:rPr>
          <w:rFonts w:ascii="Verdana" w:hAnsi="Verdana" w:cs="Arial"/>
          <w:sz w:val="18"/>
          <w:szCs w:val="18"/>
          <w:lang w:val="nl-NL"/>
        </w:rPr>
        <w:t>).</w:t>
      </w:r>
    </w:p>
    <w:p w:rsidRPr="002F02D7" w:rsidR="003C4ED0" w:rsidP="00D81C42" w:rsidRDefault="00D01B06">
      <w:pPr>
        <w:spacing w:line="360" w:lineRule="auto"/>
        <w:rPr>
          <w:rFonts w:ascii="Verdana" w:hAnsi="Verdana" w:cs="Arial"/>
          <w:sz w:val="18"/>
          <w:szCs w:val="18"/>
          <w:lang w:val="nl-NL"/>
        </w:rPr>
      </w:pPr>
      <w:r w:rsidRPr="002F02D7">
        <w:rPr>
          <w:rFonts w:ascii="Verdana" w:hAnsi="Verdana" w:cs="Arial"/>
          <w:sz w:val="18"/>
          <w:szCs w:val="18"/>
          <w:lang w:val="nl-NL"/>
        </w:rPr>
        <w:t xml:space="preserve">Het </w:t>
      </w:r>
      <w:r w:rsidRPr="002F02D7" w:rsidR="00DA5603">
        <w:rPr>
          <w:rFonts w:ascii="Verdana" w:hAnsi="Verdana" w:cs="Arial"/>
          <w:sz w:val="18"/>
          <w:szCs w:val="18"/>
          <w:lang w:val="nl-NL"/>
        </w:rPr>
        <w:t xml:space="preserve">gewijzigde </w:t>
      </w:r>
      <w:r w:rsidRPr="002F02D7">
        <w:rPr>
          <w:rFonts w:ascii="Verdana" w:hAnsi="Verdana" w:cs="Arial"/>
          <w:sz w:val="18"/>
          <w:szCs w:val="18"/>
          <w:lang w:val="nl-NL"/>
        </w:rPr>
        <w:t>artikel 7 verduidelijkt dat de toerekening van winsten aan een vast</w:t>
      </w:r>
      <w:r w:rsidRPr="002F02D7" w:rsidR="00265205">
        <w:rPr>
          <w:rFonts w:ascii="Verdana" w:hAnsi="Verdana" w:cs="Arial"/>
          <w:sz w:val="18"/>
          <w:szCs w:val="18"/>
          <w:lang w:val="nl-NL"/>
        </w:rPr>
        <w:t>e</w:t>
      </w:r>
      <w:r w:rsidRPr="002F02D7">
        <w:rPr>
          <w:rFonts w:ascii="Verdana" w:hAnsi="Verdana" w:cs="Arial"/>
          <w:sz w:val="18"/>
          <w:szCs w:val="18"/>
          <w:lang w:val="nl-NL"/>
        </w:rPr>
        <w:t xml:space="preserve"> inrichting</w:t>
      </w:r>
      <w:r w:rsidRPr="002F02D7" w:rsidR="00664BED">
        <w:rPr>
          <w:rFonts w:ascii="Verdana" w:hAnsi="Verdana" w:cs="Arial"/>
          <w:sz w:val="18"/>
          <w:szCs w:val="18"/>
          <w:lang w:val="nl-NL"/>
        </w:rPr>
        <w:t xml:space="preserve"> plaatsvindt afhankelijk van de verrichte functies, de gebruikte activa en de gelopen risico’s. Daarbij dient te worden gehandeld alsof de vaste inrichting een afzonderlijke ongelieerde onderneming is</w:t>
      </w:r>
      <w:r w:rsidRPr="002F02D7">
        <w:rPr>
          <w:rFonts w:ascii="Verdana" w:hAnsi="Verdana" w:cs="Arial"/>
          <w:sz w:val="18"/>
          <w:szCs w:val="18"/>
          <w:lang w:val="nl-NL"/>
        </w:rPr>
        <w:t xml:space="preserve">. </w:t>
      </w:r>
      <w:r w:rsidRPr="002F02D7" w:rsidR="00664BED">
        <w:rPr>
          <w:rFonts w:ascii="Verdana" w:hAnsi="Verdana" w:cs="Arial"/>
          <w:sz w:val="18"/>
          <w:szCs w:val="18"/>
          <w:lang w:val="nl-NL"/>
        </w:rPr>
        <w:t>In lijn met de overeenkomstige bepaling over de winsttoerekening tussen gelieerde ondernemingen (artikel 9 van het Verdrag) voorziet het gewijzigde artikel 7 in een regeling voor zogenoemde corresponderend</w:t>
      </w:r>
      <w:r w:rsidRPr="002F02D7" w:rsidR="00AC7718">
        <w:rPr>
          <w:rFonts w:ascii="Verdana" w:hAnsi="Verdana" w:cs="Arial"/>
          <w:sz w:val="18"/>
          <w:szCs w:val="18"/>
          <w:lang w:val="nl-NL"/>
        </w:rPr>
        <w:t>e</w:t>
      </w:r>
      <w:r w:rsidRPr="002F02D7" w:rsidR="00664BED">
        <w:rPr>
          <w:rFonts w:ascii="Verdana" w:hAnsi="Verdana" w:cs="Arial"/>
          <w:sz w:val="18"/>
          <w:szCs w:val="18"/>
          <w:lang w:val="nl-NL"/>
        </w:rPr>
        <w:t xml:space="preserve"> aanpassingen als een land de winsttoerekening aan een vaste inrichting corrigeert. Daarbij is tevens voorzien in </w:t>
      </w:r>
      <w:r w:rsidRPr="002F02D7" w:rsidR="003C4ED0">
        <w:rPr>
          <w:rFonts w:ascii="Verdana" w:hAnsi="Verdana" w:cs="Arial"/>
          <w:sz w:val="18"/>
          <w:szCs w:val="18"/>
          <w:lang w:val="nl-NL"/>
        </w:rPr>
        <w:t>onderling overleg tussen Nederland en het Verenigd Koninkrijk indien onenigheid bestaat over de</w:t>
      </w:r>
      <w:r w:rsidRPr="002F02D7" w:rsidR="00664BED">
        <w:rPr>
          <w:rFonts w:ascii="Verdana" w:hAnsi="Verdana" w:cs="Arial"/>
          <w:sz w:val="18"/>
          <w:szCs w:val="18"/>
          <w:lang w:val="nl-NL"/>
        </w:rPr>
        <w:t>ze</w:t>
      </w:r>
      <w:r w:rsidRPr="002F02D7" w:rsidR="003C4ED0">
        <w:rPr>
          <w:rFonts w:ascii="Verdana" w:hAnsi="Verdana" w:cs="Arial"/>
          <w:sz w:val="18"/>
          <w:szCs w:val="18"/>
          <w:lang w:val="nl-NL"/>
        </w:rPr>
        <w:t xml:space="preserve"> toerekening van winsten</w:t>
      </w:r>
      <w:r w:rsidRPr="002F02D7" w:rsidR="00664BED">
        <w:rPr>
          <w:rFonts w:ascii="Verdana" w:hAnsi="Verdana" w:cs="Arial"/>
          <w:sz w:val="18"/>
          <w:szCs w:val="18"/>
          <w:lang w:val="nl-NL"/>
        </w:rPr>
        <w:t xml:space="preserve"> aan een vaste inrichting</w:t>
      </w:r>
      <w:r w:rsidRPr="002F02D7" w:rsidR="003C4ED0">
        <w:rPr>
          <w:rFonts w:ascii="Verdana" w:hAnsi="Verdana" w:cs="Arial"/>
          <w:sz w:val="18"/>
          <w:szCs w:val="18"/>
          <w:lang w:val="nl-NL"/>
        </w:rPr>
        <w:t>. Dit onderling overleg kent een resultaatverplichting, in de zin dat dubbele belasting dient te worden voorkomen.</w:t>
      </w:r>
    </w:p>
    <w:p w:rsidRPr="002F02D7" w:rsidR="003C4ED0" w:rsidP="00D81C42" w:rsidRDefault="003C4ED0">
      <w:pPr>
        <w:spacing w:line="360" w:lineRule="auto"/>
        <w:rPr>
          <w:rFonts w:ascii="Verdana" w:hAnsi="Verdana" w:cs="Arial"/>
          <w:sz w:val="18"/>
          <w:szCs w:val="18"/>
          <w:lang w:val="nl-NL"/>
        </w:rPr>
      </w:pPr>
    </w:p>
    <w:p w:rsidRPr="002F02D7" w:rsidR="009D21AF" w:rsidP="002722F2" w:rsidRDefault="00D22100">
      <w:pPr>
        <w:spacing w:line="360" w:lineRule="auto"/>
        <w:rPr>
          <w:rFonts w:ascii="Verdana" w:hAnsi="Verdana" w:cs="Arial"/>
          <w:i/>
          <w:sz w:val="18"/>
          <w:szCs w:val="18"/>
          <w:lang w:val="nl-NL"/>
        </w:rPr>
      </w:pPr>
      <w:r w:rsidRPr="002F02D7">
        <w:rPr>
          <w:rFonts w:ascii="Verdana" w:hAnsi="Verdana" w:cs="Arial"/>
          <w:i/>
          <w:sz w:val="18"/>
          <w:szCs w:val="18"/>
          <w:lang w:val="nl-NL"/>
        </w:rPr>
        <w:t>4.2. Overheidsfuncties</w:t>
      </w:r>
    </w:p>
    <w:p w:rsidRPr="002F02D7" w:rsidR="00464AF8" w:rsidP="002722F2" w:rsidRDefault="004D3381">
      <w:pPr>
        <w:spacing w:line="360" w:lineRule="auto"/>
        <w:rPr>
          <w:rFonts w:ascii="Verdana" w:hAnsi="Verdana" w:cs="Arial"/>
          <w:sz w:val="18"/>
          <w:szCs w:val="18"/>
          <w:lang w:val="nl-NL"/>
        </w:rPr>
      </w:pPr>
      <w:r w:rsidRPr="002F02D7">
        <w:rPr>
          <w:rFonts w:ascii="Verdana" w:hAnsi="Verdana" w:cs="Arial"/>
          <w:sz w:val="18"/>
          <w:szCs w:val="18"/>
          <w:lang w:val="nl-NL"/>
        </w:rPr>
        <w:t xml:space="preserve">Het </w:t>
      </w:r>
      <w:r w:rsidRPr="002F02D7" w:rsidR="00AC7718">
        <w:rPr>
          <w:rFonts w:ascii="Verdana" w:hAnsi="Verdana" w:cs="Arial"/>
          <w:sz w:val="18"/>
          <w:szCs w:val="18"/>
          <w:lang w:val="nl-NL"/>
        </w:rPr>
        <w:t>Protocol</w:t>
      </w:r>
      <w:r w:rsidRPr="002F02D7">
        <w:rPr>
          <w:rFonts w:ascii="Verdana" w:hAnsi="Verdana" w:cs="Arial"/>
          <w:sz w:val="18"/>
          <w:szCs w:val="18"/>
          <w:lang w:val="nl-NL"/>
        </w:rPr>
        <w:t xml:space="preserve"> strekt daarnaast tot wijziging van het artikel inzake overheidsfuncties (artikel 18 van het Verdrag). Aan deze wijziging ligt ten grondslag dat </w:t>
      </w:r>
      <w:r w:rsidRPr="002F02D7" w:rsidR="008A4139">
        <w:rPr>
          <w:rFonts w:ascii="Verdana" w:hAnsi="Verdana" w:cs="Arial"/>
          <w:sz w:val="18"/>
          <w:szCs w:val="18"/>
          <w:lang w:val="nl-NL"/>
        </w:rPr>
        <w:t>de beloning</w:t>
      </w:r>
      <w:r w:rsidRPr="002F02D7" w:rsidR="00464AF8">
        <w:rPr>
          <w:rFonts w:ascii="Verdana" w:hAnsi="Verdana" w:cs="Arial"/>
          <w:sz w:val="18"/>
          <w:szCs w:val="18"/>
          <w:lang w:val="nl-NL"/>
        </w:rPr>
        <w:t xml:space="preserve"> van </w:t>
      </w:r>
      <w:r w:rsidRPr="002F02D7" w:rsidR="00B152E2">
        <w:rPr>
          <w:rFonts w:ascii="Verdana" w:hAnsi="Verdana" w:cs="Arial"/>
          <w:sz w:val="18"/>
          <w:szCs w:val="18"/>
          <w:lang w:val="nl-NL"/>
        </w:rPr>
        <w:t xml:space="preserve">een bepaald deel van het </w:t>
      </w:r>
      <w:r w:rsidRPr="002F02D7">
        <w:rPr>
          <w:rFonts w:ascii="Verdana" w:hAnsi="Verdana" w:cs="Arial"/>
          <w:sz w:val="18"/>
          <w:szCs w:val="18"/>
          <w:lang w:val="nl-NL"/>
        </w:rPr>
        <w:t>lokaal aangeworven personeel van de Nederlandse ambassade in het Verenigd Koninkrijk</w:t>
      </w:r>
      <w:r w:rsidRPr="002F02D7" w:rsidR="00265205">
        <w:rPr>
          <w:rFonts w:ascii="Verdana" w:hAnsi="Verdana" w:cs="Arial"/>
          <w:sz w:val="18"/>
          <w:szCs w:val="18"/>
          <w:lang w:val="nl-NL"/>
        </w:rPr>
        <w:t xml:space="preserve"> </w:t>
      </w:r>
      <w:r w:rsidRPr="002F02D7">
        <w:rPr>
          <w:rFonts w:ascii="Verdana" w:hAnsi="Verdana" w:cs="Arial"/>
          <w:sz w:val="18"/>
          <w:szCs w:val="18"/>
          <w:lang w:val="nl-NL"/>
        </w:rPr>
        <w:t xml:space="preserve">noch door Nederland, noch door het Verenigd Koninkrijk in de heffing werd betrokken. </w:t>
      </w:r>
      <w:r w:rsidRPr="002F02D7" w:rsidR="00464AF8">
        <w:rPr>
          <w:rFonts w:ascii="Verdana" w:hAnsi="Verdana" w:cs="Arial"/>
          <w:sz w:val="18"/>
          <w:szCs w:val="18"/>
          <w:lang w:val="nl-NL"/>
        </w:rPr>
        <w:t>Het Verdrag verleent</w:t>
      </w:r>
      <w:r w:rsidRPr="002F02D7">
        <w:rPr>
          <w:rFonts w:ascii="Verdana" w:hAnsi="Verdana" w:cs="Arial"/>
          <w:sz w:val="18"/>
          <w:szCs w:val="18"/>
          <w:lang w:val="nl-NL"/>
        </w:rPr>
        <w:t xml:space="preserve"> </w:t>
      </w:r>
      <w:r w:rsidRPr="002F02D7" w:rsidR="00265205">
        <w:rPr>
          <w:rFonts w:ascii="Verdana" w:hAnsi="Verdana" w:cs="Arial"/>
          <w:sz w:val="18"/>
          <w:szCs w:val="18"/>
          <w:lang w:val="nl-NL"/>
        </w:rPr>
        <w:t xml:space="preserve">momenteel </w:t>
      </w:r>
      <w:r w:rsidRPr="002F02D7" w:rsidR="00D74B23">
        <w:rPr>
          <w:rFonts w:ascii="Verdana" w:hAnsi="Verdana" w:cs="Arial"/>
          <w:sz w:val="18"/>
          <w:szCs w:val="18"/>
          <w:lang w:val="nl-NL"/>
        </w:rPr>
        <w:t xml:space="preserve">namelijk </w:t>
      </w:r>
      <w:r w:rsidRPr="002F02D7">
        <w:rPr>
          <w:rFonts w:ascii="Verdana" w:hAnsi="Verdana" w:cs="Arial"/>
          <w:sz w:val="18"/>
          <w:szCs w:val="18"/>
          <w:lang w:val="nl-NL"/>
        </w:rPr>
        <w:t xml:space="preserve">het Verenigd Koninkrijk </w:t>
      </w:r>
      <w:r w:rsidRPr="002F02D7" w:rsidR="00803594">
        <w:rPr>
          <w:rFonts w:ascii="Verdana" w:hAnsi="Verdana" w:cs="Arial"/>
          <w:sz w:val="18"/>
          <w:szCs w:val="18"/>
          <w:lang w:val="nl-NL"/>
        </w:rPr>
        <w:t xml:space="preserve">het </w:t>
      </w:r>
      <w:r w:rsidRPr="002F02D7">
        <w:rPr>
          <w:rFonts w:ascii="Verdana" w:hAnsi="Verdana" w:cs="Arial"/>
          <w:sz w:val="18"/>
          <w:szCs w:val="18"/>
          <w:lang w:val="nl-NL"/>
        </w:rPr>
        <w:t xml:space="preserve">heffingsrecht, </w:t>
      </w:r>
      <w:r w:rsidRPr="002F02D7" w:rsidR="00803594">
        <w:rPr>
          <w:rFonts w:ascii="Verdana" w:hAnsi="Verdana" w:cs="Arial"/>
          <w:sz w:val="18"/>
          <w:szCs w:val="18"/>
          <w:lang w:val="nl-NL"/>
        </w:rPr>
        <w:t xml:space="preserve">maar </w:t>
      </w:r>
      <w:r w:rsidRPr="002F02D7">
        <w:rPr>
          <w:rFonts w:ascii="Verdana" w:hAnsi="Verdana" w:cs="Arial"/>
          <w:sz w:val="18"/>
          <w:szCs w:val="18"/>
          <w:lang w:val="nl-NL"/>
        </w:rPr>
        <w:t>als gevolg van wetgeving van het Verenigd Koninkrijk w</w:t>
      </w:r>
      <w:r w:rsidRPr="002F02D7" w:rsidR="00803594">
        <w:rPr>
          <w:rFonts w:ascii="Verdana" w:hAnsi="Verdana" w:cs="Arial"/>
          <w:sz w:val="18"/>
          <w:szCs w:val="18"/>
          <w:lang w:val="nl-NL"/>
        </w:rPr>
        <w:t>ordt</w:t>
      </w:r>
      <w:r w:rsidRPr="002F02D7">
        <w:rPr>
          <w:rFonts w:ascii="Verdana" w:hAnsi="Verdana" w:cs="Arial"/>
          <w:sz w:val="18"/>
          <w:szCs w:val="18"/>
          <w:lang w:val="nl-NL"/>
        </w:rPr>
        <w:t xml:space="preserve"> het </w:t>
      </w:r>
      <w:r w:rsidRPr="002F02D7" w:rsidR="004176B1">
        <w:rPr>
          <w:rFonts w:ascii="Verdana" w:hAnsi="Verdana" w:cs="Arial"/>
          <w:sz w:val="18"/>
          <w:szCs w:val="18"/>
          <w:lang w:val="nl-NL"/>
        </w:rPr>
        <w:t>des</w:t>
      </w:r>
      <w:r w:rsidRPr="002F02D7">
        <w:rPr>
          <w:rFonts w:ascii="Verdana" w:hAnsi="Verdana" w:cs="Arial"/>
          <w:sz w:val="18"/>
          <w:szCs w:val="18"/>
          <w:lang w:val="nl-NL"/>
        </w:rPr>
        <w:t>betreffende personeel aldaar</w:t>
      </w:r>
      <w:r w:rsidRPr="002F02D7" w:rsidR="006573BF">
        <w:rPr>
          <w:rFonts w:ascii="Verdana" w:hAnsi="Verdana" w:cs="Arial"/>
          <w:sz w:val="18"/>
          <w:szCs w:val="18"/>
          <w:lang w:val="nl-NL"/>
        </w:rPr>
        <w:t xml:space="preserve"> niet in de </w:t>
      </w:r>
      <w:r w:rsidRPr="002F02D7" w:rsidR="00803594">
        <w:rPr>
          <w:rFonts w:ascii="Verdana" w:hAnsi="Verdana" w:cs="Arial"/>
          <w:sz w:val="18"/>
          <w:szCs w:val="18"/>
          <w:lang w:val="nl-NL"/>
        </w:rPr>
        <w:t>belasting</w:t>
      </w:r>
      <w:r w:rsidRPr="002F02D7" w:rsidR="006573BF">
        <w:rPr>
          <w:rFonts w:ascii="Verdana" w:hAnsi="Verdana" w:cs="Arial"/>
          <w:sz w:val="18"/>
          <w:szCs w:val="18"/>
          <w:lang w:val="nl-NL"/>
        </w:rPr>
        <w:t xml:space="preserve">heffing betrokken. </w:t>
      </w:r>
      <w:r w:rsidRPr="002F02D7">
        <w:rPr>
          <w:rFonts w:ascii="Verdana" w:hAnsi="Verdana" w:cs="Arial"/>
          <w:sz w:val="18"/>
          <w:szCs w:val="18"/>
          <w:lang w:val="nl-NL"/>
        </w:rPr>
        <w:t xml:space="preserve">Hierdoor ontstond een ongelijke situatie ten opzichte </w:t>
      </w:r>
      <w:r w:rsidRPr="002F02D7" w:rsidR="00D74B23">
        <w:rPr>
          <w:rFonts w:ascii="Verdana" w:hAnsi="Verdana" w:cs="Arial"/>
          <w:sz w:val="18"/>
          <w:szCs w:val="18"/>
          <w:lang w:val="nl-NL"/>
        </w:rPr>
        <w:t xml:space="preserve">van </w:t>
      </w:r>
      <w:r w:rsidRPr="002F02D7" w:rsidR="00803594">
        <w:rPr>
          <w:rFonts w:ascii="Verdana" w:hAnsi="Verdana" w:cs="Arial"/>
          <w:sz w:val="18"/>
          <w:szCs w:val="18"/>
          <w:lang w:val="nl-NL"/>
        </w:rPr>
        <w:t xml:space="preserve">andere delen van het </w:t>
      </w:r>
      <w:r w:rsidRPr="002F02D7" w:rsidR="00D74B23">
        <w:rPr>
          <w:rFonts w:ascii="Verdana" w:hAnsi="Verdana" w:cs="Arial"/>
          <w:sz w:val="18"/>
          <w:szCs w:val="18"/>
          <w:lang w:val="nl-NL"/>
        </w:rPr>
        <w:t>ambassadepersoneel d</w:t>
      </w:r>
      <w:r w:rsidRPr="002F02D7" w:rsidR="00AC7718">
        <w:rPr>
          <w:rFonts w:ascii="Verdana" w:hAnsi="Verdana" w:cs="Arial"/>
          <w:sz w:val="18"/>
          <w:szCs w:val="18"/>
          <w:lang w:val="nl-NL"/>
        </w:rPr>
        <w:t>ie</w:t>
      </w:r>
      <w:r w:rsidRPr="002F02D7" w:rsidR="00D74B23">
        <w:rPr>
          <w:rFonts w:ascii="Verdana" w:hAnsi="Verdana" w:cs="Arial"/>
          <w:sz w:val="18"/>
          <w:szCs w:val="18"/>
          <w:lang w:val="nl-NL"/>
        </w:rPr>
        <w:t xml:space="preserve"> wel </w:t>
      </w:r>
      <w:r w:rsidRPr="002F02D7" w:rsidR="00803594">
        <w:rPr>
          <w:rFonts w:ascii="Verdana" w:hAnsi="Verdana" w:cs="Arial"/>
          <w:sz w:val="18"/>
          <w:szCs w:val="18"/>
          <w:lang w:val="nl-NL"/>
        </w:rPr>
        <w:t xml:space="preserve">aan de </w:t>
      </w:r>
      <w:r w:rsidRPr="002F02D7" w:rsidR="00D74B23">
        <w:rPr>
          <w:rFonts w:ascii="Verdana" w:hAnsi="Verdana" w:cs="Arial"/>
          <w:sz w:val="18"/>
          <w:szCs w:val="18"/>
          <w:lang w:val="nl-NL"/>
        </w:rPr>
        <w:t>belasting</w:t>
      </w:r>
      <w:r w:rsidRPr="002F02D7" w:rsidR="00803594">
        <w:rPr>
          <w:rFonts w:ascii="Verdana" w:hAnsi="Verdana" w:cs="Arial"/>
          <w:sz w:val="18"/>
          <w:szCs w:val="18"/>
          <w:lang w:val="nl-NL"/>
        </w:rPr>
        <w:t xml:space="preserve">heffing </w:t>
      </w:r>
      <w:r w:rsidRPr="002F02D7" w:rsidR="00AC7718">
        <w:rPr>
          <w:rFonts w:ascii="Verdana" w:hAnsi="Verdana" w:cs="Arial"/>
          <w:sz w:val="18"/>
          <w:szCs w:val="18"/>
          <w:lang w:val="nl-NL"/>
        </w:rPr>
        <w:t xml:space="preserve">zijn </w:t>
      </w:r>
      <w:r w:rsidRPr="002F02D7" w:rsidR="00803594">
        <w:rPr>
          <w:rFonts w:ascii="Verdana" w:hAnsi="Verdana" w:cs="Arial"/>
          <w:sz w:val="18"/>
          <w:szCs w:val="18"/>
          <w:lang w:val="nl-NL"/>
        </w:rPr>
        <w:t>onderworpen</w:t>
      </w:r>
      <w:r w:rsidRPr="002F02D7">
        <w:rPr>
          <w:rFonts w:ascii="Verdana" w:hAnsi="Verdana" w:cs="Arial"/>
          <w:sz w:val="18"/>
          <w:szCs w:val="18"/>
          <w:lang w:val="nl-NL"/>
        </w:rPr>
        <w:t xml:space="preserve">, in Nederland </w:t>
      </w:r>
      <w:r w:rsidRPr="002F02D7" w:rsidR="00A82CDD">
        <w:rPr>
          <w:rFonts w:ascii="Verdana" w:hAnsi="Verdana" w:cs="Arial"/>
          <w:sz w:val="18"/>
          <w:szCs w:val="18"/>
          <w:lang w:val="nl-NL"/>
        </w:rPr>
        <w:t>of</w:t>
      </w:r>
      <w:r w:rsidRPr="002F02D7">
        <w:rPr>
          <w:rFonts w:ascii="Verdana" w:hAnsi="Verdana" w:cs="Arial"/>
          <w:sz w:val="18"/>
          <w:szCs w:val="18"/>
          <w:lang w:val="nl-NL"/>
        </w:rPr>
        <w:t xml:space="preserve"> </w:t>
      </w:r>
      <w:r w:rsidRPr="002F02D7" w:rsidR="00D74B23">
        <w:rPr>
          <w:rFonts w:ascii="Verdana" w:hAnsi="Verdana" w:cs="Arial"/>
          <w:sz w:val="18"/>
          <w:szCs w:val="18"/>
          <w:lang w:val="nl-NL"/>
        </w:rPr>
        <w:t xml:space="preserve">in </w:t>
      </w:r>
      <w:r w:rsidRPr="002F02D7">
        <w:rPr>
          <w:rFonts w:ascii="Verdana" w:hAnsi="Verdana" w:cs="Arial"/>
          <w:sz w:val="18"/>
          <w:szCs w:val="18"/>
          <w:lang w:val="nl-NL"/>
        </w:rPr>
        <w:t xml:space="preserve">het Verenigd Koninkrijk. </w:t>
      </w:r>
      <w:r w:rsidRPr="002F02D7" w:rsidR="00803594">
        <w:rPr>
          <w:rFonts w:ascii="Verdana" w:hAnsi="Verdana" w:cs="Arial"/>
          <w:sz w:val="18"/>
          <w:szCs w:val="18"/>
          <w:lang w:val="nl-NL"/>
        </w:rPr>
        <w:t xml:space="preserve">De toegepaste </w:t>
      </w:r>
      <w:r w:rsidRPr="002F02D7">
        <w:rPr>
          <w:rFonts w:ascii="Verdana" w:hAnsi="Verdana" w:cs="Arial"/>
          <w:sz w:val="18"/>
          <w:szCs w:val="18"/>
          <w:lang w:val="nl-NL"/>
        </w:rPr>
        <w:t xml:space="preserve">praktische oplossing, waarbij </w:t>
      </w:r>
      <w:r w:rsidRPr="002F02D7" w:rsidR="00803594">
        <w:rPr>
          <w:rFonts w:ascii="Verdana" w:hAnsi="Verdana" w:cs="Arial"/>
          <w:sz w:val="18"/>
          <w:szCs w:val="18"/>
          <w:lang w:val="nl-NL"/>
        </w:rPr>
        <w:t xml:space="preserve">door Nederland als werkgever </w:t>
      </w:r>
      <w:r w:rsidRPr="002F02D7">
        <w:rPr>
          <w:rFonts w:ascii="Verdana" w:hAnsi="Verdana" w:cs="Arial"/>
          <w:sz w:val="18"/>
          <w:szCs w:val="18"/>
          <w:lang w:val="nl-NL"/>
        </w:rPr>
        <w:t xml:space="preserve">een nettosalaris </w:t>
      </w:r>
      <w:r w:rsidRPr="002F02D7" w:rsidR="00A82CDD">
        <w:rPr>
          <w:rFonts w:ascii="Verdana" w:hAnsi="Verdana" w:cs="Arial"/>
          <w:sz w:val="18"/>
          <w:szCs w:val="18"/>
          <w:lang w:val="nl-NL"/>
        </w:rPr>
        <w:t>w</w:t>
      </w:r>
      <w:r w:rsidRPr="002F02D7" w:rsidR="00803594">
        <w:rPr>
          <w:rFonts w:ascii="Verdana" w:hAnsi="Verdana" w:cs="Arial"/>
          <w:sz w:val="18"/>
          <w:szCs w:val="18"/>
          <w:lang w:val="nl-NL"/>
        </w:rPr>
        <w:t xml:space="preserve">ordt </w:t>
      </w:r>
      <w:r w:rsidRPr="002F02D7" w:rsidR="00B152E2">
        <w:rPr>
          <w:rFonts w:ascii="Verdana" w:hAnsi="Verdana" w:cs="Arial"/>
          <w:sz w:val="18"/>
          <w:szCs w:val="18"/>
          <w:lang w:val="nl-NL"/>
        </w:rPr>
        <w:t xml:space="preserve">betaald </w:t>
      </w:r>
      <w:r w:rsidRPr="002F02D7" w:rsidR="004176B1">
        <w:rPr>
          <w:rFonts w:ascii="Verdana" w:hAnsi="Verdana" w:cs="Arial"/>
          <w:sz w:val="18"/>
          <w:szCs w:val="18"/>
          <w:lang w:val="nl-NL"/>
        </w:rPr>
        <w:t>waardoor de betrokken werknemers wat betreft hun netto-inkomen globaal in dezelfde positie komen als onder het vorige verdrag</w:t>
      </w:r>
      <w:r w:rsidRPr="002F02D7">
        <w:rPr>
          <w:rFonts w:ascii="Verdana" w:hAnsi="Verdana" w:cs="Arial"/>
          <w:sz w:val="18"/>
          <w:szCs w:val="18"/>
          <w:lang w:val="nl-NL"/>
        </w:rPr>
        <w:t xml:space="preserve">, </w:t>
      </w:r>
      <w:r w:rsidRPr="002F02D7" w:rsidR="00803594">
        <w:rPr>
          <w:rFonts w:ascii="Verdana" w:hAnsi="Verdana" w:cs="Arial"/>
          <w:sz w:val="18"/>
          <w:szCs w:val="18"/>
          <w:lang w:val="nl-NL"/>
        </w:rPr>
        <w:t>wordt evenwel door Nederland en het Verenigd Koninkrijk niet als een structurele oplossing gezien</w:t>
      </w:r>
      <w:r w:rsidRPr="002F02D7" w:rsidR="00CB2C99">
        <w:rPr>
          <w:rFonts w:ascii="Verdana" w:hAnsi="Verdana" w:cs="Arial"/>
          <w:sz w:val="18"/>
          <w:szCs w:val="18"/>
          <w:lang w:val="nl-NL"/>
        </w:rPr>
        <w:t>.</w:t>
      </w:r>
    </w:p>
    <w:p w:rsidRPr="002F02D7" w:rsidR="004D3381" w:rsidP="002722F2" w:rsidRDefault="00D74B23">
      <w:pPr>
        <w:spacing w:line="360" w:lineRule="auto"/>
        <w:rPr>
          <w:rFonts w:ascii="Verdana" w:hAnsi="Verdana" w:cs="Arial"/>
          <w:sz w:val="18"/>
          <w:szCs w:val="18"/>
          <w:lang w:val="nl-NL"/>
        </w:rPr>
      </w:pPr>
      <w:r w:rsidRPr="002F02D7">
        <w:rPr>
          <w:rFonts w:ascii="Verdana" w:hAnsi="Verdana" w:cs="Arial"/>
          <w:sz w:val="18"/>
          <w:szCs w:val="18"/>
          <w:lang w:val="nl-NL"/>
        </w:rPr>
        <w:t xml:space="preserve">Het </w:t>
      </w:r>
      <w:r w:rsidRPr="002F02D7" w:rsidR="00AC7718">
        <w:rPr>
          <w:rFonts w:ascii="Verdana" w:hAnsi="Verdana" w:cs="Arial"/>
          <w:sz w:val="18"/>
          <w:szCs w:val="18"/>
          <w:lang w:val="nl-NL"/>
        </w:rPr>
        <w:t>Protocol</w:t>
      </w:r>
      <w:r w:rsidRPr="002F02D7">
        <w:rPr>
          <w:rFonts w:ascii="Verdana" w:hAnsi="Verdana" w:cs="Arial"/>
          <w:sz w:val="18"/>
          <w:szCs w:val="18"/>
          <w:lang w:val="nl-NL"/>
        </w:rPr>
        <w:t xml:space="preserve"> </w:t>
      </w:r>
      <w:r w:rsidRPr="002F02D7" w:rsidR="00123C2C">
        <w:rPr>
          <w:rFonts w:ascii="Verdana" w:hAnsi="Verdana" w:cs="Arial"/>
          <w:sz w:val="18"/>
          <w:szCs w:val="18"/>
          <w:lang w:val="nl-NL"/>
        </w:rPr>
        <w:t xml:space="preserve">wijzigt </w:t>
      </w:r>
      <w:r w:rsidRPr="002F02D7" w:rsidR="00531571">
        <w:rPr>
          <w:rFonts w:ascii="Verdana" w:hAnsi="Verdana" w:cs="Arial"/>
          <w:sz w:val="18"/>
          <w:szCs w:val="18"/>
          <w:lang w:val="nl-NL"/>
        </w:rPr>
        <w:t xml:space="preserve">artikel 18 in die zin dat de toewijzing van het heffingsrecht aan het land van het lokaal aangeworven (ambassade-) personeel afhankelijk wordt van de onderworpenheid aan belastingheffing in dat land, </w:t>
      </w:r>
      <w:r w:rsidRPr="002F02D7" w:rsidR="00B152E2">
        <w:rPr>
          <w:rFonts w:ascii="Verdana" w:hAnsi="Verdana" w:cs="Arial"/>
          <w:sz w:val="18"/>
          <w:szCs w:val="18"/>
          <w:lang w:val="nl-NL"/>
        </w:rPr>
        <w:t>zo</w:t>
      </w:r>
      <w:r w:rsidRPr="002F02D7">
        <w:rPr>
          <w:rFonts w:ascii="Verdana" w:hAnsi="Verdana" w:cs="Arial"/>
          <w:sz w:val="18"/>
          <w:szCs w:val="18"/>
          <w:lang w:val="nl-NL"/>
        </w:rPr>
        <w:t xml:space="preserve">dat een situatie waarin belastingheffing in beide landen achterwege blijft, wordt voorkomen. Deze wijziging </w:t>
      </w:r>
      <w:r w:rsidRPr="002F02D7" w:rsidR="0095525D">
        <w:rPr>
          <w:rFonts w:ascii="Verdana" w:hAnsi="Verdana" w:cs="Arial"/>
          <w:sz w:val="18"/>
          <w:szCs w:val="18"/>
          <w:lang w:val="nl-NL"/>
        </w:rPr>
        <w:t xml:space="preserve">heeft </w:t>
      </w:r>
      <w:r w:rsidRPr="002F02D7" w:rsidR="00531571">
        <w:rPr>
          <w:rFonts w:ascii="Verdana" w:hAnsi="Verdana" w:cs="Arial"/>
          <w:sz w:val="18"/>
          <w:szCs w:val="18"/>
          <w:lang w:val="nl-NL"/>
        </w:rPr>
        <w:t xml:space="preserve">concreet </w:t>
      </w:r>
      <w:r w:rsidRPr="002F02D7" w:rsidR="0095525D">
        <w:rPr>
          <w:rFonts w:ascii="Verdana" w:hAnsi="Verdana" w:cs="Arial"/>
          <w:sz w:val="18"/>
          <w:szCs w:val="18"/>
          <w:lang w:val="nl-NL"/>
        </w:rPr>
        <w:t>tot gevolg</w:t>
      </w:r>
      <w:r w:rsidRPr="002F02D7">
        <w:rPr>
          <w:rFonts w:ascii="Verdana" w:hAnsi="Verdana" w:cs="Arial"/>
          <w:sz w:val="18"/>
          <w:szCs w:val="18"/>
          <w:lang w:val="nl-NL"/>
        </w:rPr>
        <w:t xml:space="preserve"> dat ingeval het</w:t>
      </w:r>
      <w:r w:rsidRPr="002F02D7" w:rsidR="00B152E2">
        <w:rPr>
          <w:rFonts w:ascii="Verdana" w:hAnsi="Verdana" w:cs="Arial"/>
          <w:sz w:val="18"/>
          <w:szCs w:val="18"/>
          <w:lang w:val="nl-NL"/>
        </w:rPr>
        <w:t xml:space="preserve"> Verenigd Koninkrijk geen belasting heft over </w:t>
      </w:r>
      <w:r w:rsidRPr="002F02D7" w:rsidR="008A4139">
        <w:rPr>
          <w:rFonts w:ascii="Verdana" w:hAnsi="Verdana" w:cs="Arial"/>
          <w:sz w:val="18"/>
          <w:szCs w:val="18"/>
          <w:lang w:val="nl-NL"/>
        </w:rPr>
        <w:t>de beloning</w:t>
      </w:r>
      <w:r w:rsidRPr="002F02D7" w:rsidR="00B152E2">
        <w:rPr>
          <w:rFonts w:ascii="Verdana" w:hAnsi="Verdana" w:cs="Arial"/>
          <w:sz w:val="18"/>
          <w:szCs w:val="18"/>
          <w:lang w:val="nl-NL"/>
        </w:rPr>
        <w:t xml:space="preserve"> van het</w:t>
      </w:r>
      <w:r w:rsidRPr="002F02D7">
        <w:rPr>
          <w:rFonts w:ascii="Verdana" w:hAnsi="Verdana" w:cs="Arial"/>
          <w:sz w:val="18"/>
          <w:szCs w:val="18"/>
          <w:lang w:val="nl-NL"/>
        </w:rPr>
        <w:t xml:space="preserve"> </w:t>
      </w:r>
      <w:r w:rsidRPr="002F02D7" w:rsidR="00531571">
        <w:rPr>
          <w:rFonts w:ascii="Verdana" w:hAnsi="Verdana" w:cs="Arial"/>
          <w:sz w:val="18"/>
          <w:szCs w:val="18"/>
          <w:lang w:val="nl-NL"/>
        </w:rPr>
        <w:t xml:space="preserve">lokale </w:t>
      </w:r>
      <w:r w:rsidRPr="002F02D7">
        <w:rPr>
          <w:rFonts w:ascii="Verdana" w:hAnsi="Verdana" w:cs="Arial"/>
          <w:sz w:val="18"/>
          <w:szCs w:val="18"/>
          <w:lang w:val="nl-NL"/>
        </w:rPr>
        <w:t>ambassadepersoneel</w:t>
      </w:r>
      <w:r w:rsidRPr="002F02D7" w:rsidR="00B152E2">
        <w:rPr>
          <w:rFonts w:ascii="Verdana" w:hAnsi="Verdana" w:cs="Arial"/>
          <w:sz w:val="18"/>
          <w:szCs w:val="18"/>
          <w:lang w:val="nl-NL"/>
        </w:rPr>
        <w:t xml:space="preserve">, </w:t>
      </w:r>
      <w:r w:rsidRPr="002F02D7" w:rsidR="00A82CDD">
        <w:rPr>
          <w:rFonts w:ascii="Verdana" w:hAnsi="Verdana" w:cs="Arial"/>
          <w:sz w:val="18"/>
          <w:szCs w:val="18"/>
          <w:lang w:val="nl-NL"/>
        </w:rPr>
        <w:t xml:space="preserve">het heffingsrecht </w:t>
      </w:r>
      <w:r w:rsidRPr="002F02D7" w:rsidR="00531571">
        <w:rPr>
          <w:rFonts w:ascii="Verdana" w:hAnsi="Verdana" w:cs="Arial"/>
          <w:sz w:val="18"/>
          <w:szCs w:val="18"/>
          <w:lang w:val="nl-NL"/>
        </w:rPr>
        <w:t xml:space="preserve">effectief </w:t>
      </w:r>
      <w:r w:rsidRPr="002F02D7" w:rsidR="00A82CDD">
        <w:rPr>
          <w:rFonts w:ascii="Verdana" w:hAnsi="Verdana" w:cs="Arial"/>
          <w:sz w:val="18"/>
          <w:szCs w:val="18"/>
          <w:lang w:val="nl-NL"/>
        </w:rPr>
        <w:t xml:space="preserve">aan Nederland toe zal komen. </w:t>
      </w:r>
    </w:p>
    <w:p w:rsidRPr="002F02D7" w:rsidR="00D74B23" w:rsidP="002722F2" w:rsidRDefault="00D74B23">
      <w:pPr>
        <w:spacing w:line="360" w:lineRule="auto"/>
        <w:rPr>
          <w:rFonts w:ascii="Verdana" w:hAnsi="Verdana" w:cs="Arial"/>
          <w:b/>
          <w:sz w:val="18"/>
          <w:szCs w:val="18"/>
          <w:lang w:val="nl-NL"/>
        </w:rPr>
      </w:pPr>
    </w:p>
    <w:p w:rsidRPr="002F02D7" w:rsidR="009D21AF" w:rsidP="009D21AF" w:rsidRDefault="00D22100">
      <w:pPr>
        <w:spacing w:line="360" w:lineRule="auto"/>
        <w:rPr>
          <w:rFonts w:ascii="Verdana" w:hAnsi="Verdana" w:cs="Arial"/>
          <w:i/>
          <w:sz w:val="18"/>
          <w:szCs w:val="18"/>
          <w:lang w:val="nl-NL"/>
        </w:rPr>
      </w:pPr>
      <w:r w:rsidRPr="002F02D7">
        <w:rPr>
          <w:rFonts w:ascii="Verdana" w:hAnsi="Verdana" w:cs="Arial"/>
          <w:i/>
          <w:sz w:val="18"/>
          <w:szCs w:val="18"/>
          <w:lang w:val="nl-NL"/>
        </w:rPr>
        <w:t>4</w:t>
      </w:r>
      <w:r w:rsidRPr="002F02D7" w:rsidR="009D21AF">
        <w:rPr>
          <w:rFonts w:ascii="Verdana" w:hAnsi="Verdana" w:cs="Arial"/>
          <w:i/>
          <w:sz w:val="18"/>
          <w:szCs w:val="18"/>
          <w:lang w:val="nl-NL"/>
        </w:rPr>
        <w:t xml:space="preserve">.3. </w:t>
      </w:r>
      <w:r w:rsidRPr="002F02D7" w:rsidR="00C86650">
        <w:rPr>
          <w:rFonts w:ascii="Verdana" w:hAnsi="Verdana" w:cs="Arial"/>
          <w:i/>
          <w:sz w:val="18"/>
          <w:szCs w:val="18"/>
          <w:lang w:val="nl-NL"/>
        </w:rPr>
        <w:t xml:space="preserve">Toetsschema </w:t>
      </w:r>
      <w:r w:rsidRPr="002F02D7">
        <w:rPr>
          <w:rFonts w:ascii="Verdana" w:hAnsi="Verdana" w:cs="Arial"/>
          <w:i/>
          <w:sz w:val="18"/>
          <w:szCs w:val="18"/>
          <w:lang w:val="nl-NL"/>
        </w:rPr>
        <w:t>Standaardcriteria Fiscaal Verdragsbeleid 2011</w:t>
      </w:r>
    </w:p>
    <w:p w:rsidR="009D21AF" w:rsidP="009D21AF" w:rsidRDefault="00172064">
      <w:pPr>
        <w:spacing w:line="360" w:lineRule="auto"/>
        <w:rPr>
          <w:rFonts w:cs="Arial"/>
          <w:lang w:val="nl-NL"/>
        </w:rPr>
      </w:pPr>
      <w:r w:rsidRPr="002F02D7">
        <w:rPr>
          <w:rFonts w:ascii="Verdana" w:hAnsi="Verdana" w:cs="Arial"/>
          <w:sz w:val="18"/>
          <w:szCs w:val="18"/>
          <w:lang w:val="nl-NL"/>
        </w:rPr>
        <w:t>Onderstaand is</w:t>
      </w:r>
      <w:r w:rsidRPr="002F02D7" w:rsidR="00DA2359">
        <w:rPr>
          <w:rFonts w:ascii="Verdana" w:hAnsi="Verdana" w:cs="Arial"/>
          <w:sz w:val="18"/>
          <w:szCs w:val="18"/>
          <w:lang w:val="nl-NL"/>
        </w:rPr>
        <w:t xml:space="preserve"> </w:t>
      </w:r>
      <w:r w:rsidRPr="002F02D7" w:rsidR="00C86650">
        <w:rPr>
          <w:rFonts w:ascii="Verdana" w:hAnsi="Verdana" w:cs="Arial"/>
          <w:sz w:val="18"/>
          <w:szCs w:val="18"/>
          <w:lang w:val="nl-NL"/>
        </w:rPr>
        <w:t>het schema toegevoegd waarin de toetsingscriteria zijn opgenomen voor Nederlandse bilaterale belastingverdragen.</w:t>
      </w:r>
      <w:r w:rsidRPr="002F02D7">
        <w:rPr>
          <w:rFonts w:ascii="Verdana" w:hAnsi="Verdana" w:cs="Arial"/>
          <w:sz w:val="18"/>
          <w:szCs w:val="18"/>
          <w:lang w:val="nl-NL"/>
        </w:rPr>
        <w:t xml:space="preserve"> </w:t>
      </w:r>
      <w:r w:rsidRPr="002F02D7" w:rsidR="00C86650">
        <w:rPr>
          <w:rFonts w:ascii="Verdana" w:hAnsi="Verdana" w:cs="Arial"/>
          <w:sz w:val="18"/>
          <w:szCs w:val="18"/>
          <w:lang w:val="nl-NL"/>
        </w:rPr>
        <w:t xml:space="preserve">Dit schema was gevoegd bij de brief aan de Tweede Kamer van 18 oktober 2011 (Kamerstukken </w:t>
      </w:r>
      <w:r w:rsidRPr="00F57E65" w:rsidR="00C86650">
        <w:rPr>
          <w:rFonts w:ascii="Verdana" w:hAnsi="Verdana" w:cs="Arial"/>
          <w:sz w:val="18"/>
          <w:szCs w:val="18"/>
          <w:lang w:val="nl-NL"/>
        </w:rPr>
        <w:t>II</w:t>
      </w:r>
      <w:r w:rsidRPr="00F57E65" w:rsidR="002D2BB7">
        <w:rPr>
          <w:rFonts w:ascii="Verdana" w:hAnsi="Verdana" w:cs="Arial"/>
          <w:sz w:val="18"/>
          <w:szCs w:val="18"/>
          <w:lang w:val="nl-NL"/>
        </w:rPr>
        <w:t xml:space="preserve"> 2010/11</w:t>
      </w:r>
      <w:r w:rsidRPr="00F57E65" w:rsidR="00C86650">
        <w:rPr>
          <w:rFonts w:ascii="Verdana" w:hAnsi="Verdana" w:cs="Arial"/>
          <w:sz w:val="18"/>
          <w:szCs w:val="18"/>
          <w:lang w:val="nl-NL"/>
        </w:rPr>
        <w:t xml:space="preserve">, 25087, nr. 27), ter uitvoering van de </w:t>
      </w:r>
      <w:r w:rsidRPr="00F57E65" w:rsidR="00C86650">
        <w:rPr>
          <w:rFonts w:ascii="Verdana" w:hAnsi="Verdana" w:cs="Arial"/>
          <w:sz w:val="18"/>
          <w:szCs w:val="18"/>
          <w:lang w:val="nl-NL"/>
        </w:rPr>
        <w:lastRenderedPageBreak/>
        <w:t>motie-Van Vliet (Kamerstukken II</w:t>
      </w:r>
      <w:r w:rsidRPr="00F57E65" w:rsidR="002D2BB7">
        <w:rPr>
          <w:rFonts w:ascii="Verdana" w:hAnsi="Verdana" w:cs="Arial"/>
          <w:sz w:val="18"/>
          <w:szCs w:val="18"/>
          <w:lang w:val="nl-NL"/>
        </w:rPr>
        <w:t xml:space="preserve"> 2010/11, </w:t>
      </w:r>
      <w:r w:rsidRPr="00F57E65" w:rsidR="00C86650">
        <w:rPr>
          <w:rFonts w:ascii="Verdana" w:hAnsi="Verdana" w:cs="Arial"/>
          <w:sz w:val="18"/>
          <w:szCs w:val="18"/>
          <w:lang w:val="nl-NL"/>
        </w:rPr>
        <w:t xml:space="preserve">25087, nr. 8). </w:t>
      </w:r>
      <w:r w:rsidRPr="00F57E65">
        <w:rPr>
          <w:rFonts w:ascii="Verdana" w:hAnsi="Verdana" w:cs="Arial"/>
          <w:sz w:val="18"/>
          <w:szCs w:val="18"/>
          <w:lang w:val="nl-NL"/>
        </w:rPr>
        <w:t xml:space="preserve">Het </w:t>
      </w:r>
      <w:r w:rsidRPr="00F57E65" w:rsidR="00AC7718">
        <w:rPr>
          <w:rFonts w:ascii="Verdana" w:hAnsi="Verdana" w:cs="Arial"/>
          <w:sz w:val="18"/>
          <w:szCs w:val="18"/>
          <w:lang w:val="nl-NL"/>
        </w:rPr>
        <w:t>Protocol</w:t>
      </w:r>
      <w:r w:rsidRPr="00F57E65" w:rsidR="00D644B6">
        <w:rPr>
          <w:rFonts w:ascii="Verdana" w:hAnsi="Verdana" w:cs="Arial"/>
          <w:sz w:val="18"/>
          <w:szCs w:val="18"/>
          <w:lang w:val="nl-NL"/>
        </w:rPr>
        <w:t xml:space="preserve"> </w:t>
      </w:r>
      <w:r w:rsidRPr="00F57E65">
        <w:rPr>
          <w:rFonts w:ascii="Verdana" w:hAnsi="Verdana" w:cs="Arial"/>
          <w:sz w:val="18"/>
          <w:szCs w:val="18"/>
          <w:lang w:val="nl-NL"/>
        </w:rPr>
        <w:t xml:space="preserve">ziet </w:t>
      </w:r>
      <w:r w:rsidRPr="00F57E65" w:rsidR="00D644B6">
        <w:rPr>
          <w:rFonts w:ascii="Verdana" w:hAnsi="Verdana" w:cs="Arial"/>
          <w:sz w:val="18"/>
          <w:szCs w:val="18"/>
          <w:lang w:val="nl-NL"/>
        </w:rPr>
        <w:t xml:space="preserve">slechts </w:t>
      </w:r>
      <w:r w:rsidRPr="00F57E65">
        <w:rPr>
          <w:rFonts w:ascii="Verdana" w:hAnsi="Verdana" w:cs="Arial"/>
          <w:sz w:val="18"/>
          <w:szCs w:val="18"/>
          <w:lang w:val="nl-NL"/>
        </w:rPr>
        <w:t xml:space="preserve">op </w:t>
      </w:r>
      <w:r w:rsidRPr="00F57E65" w:rsidR="00D644B6">
        <w:rPr>
          <w:rFonts w:ascii="Verdana" w:hAnsi="Verdana" w:cs="Arial"/>
          <w:sz w:val="18"/>
          <w:szCs w:val="18"/>
          <w:lang w:val="nl-NL"/>
        </w:rPr>
        <w:t xml:space="preserve">twee bepalingen </w:t>
      </w:r>
      <w:r w:rsidRPr="00F57E65">
        <w:rPr>
          <w:rFonts w:ascii="Verdana" w:hAnsi="Verdana" w:cs="Arial"/>
          <w:sz w:val="18"/>
          <w:szCs w:val="18"/>
          <w:lang w:val="nl-NL"/>
        </w:rPr>
        <w:t xml:space="preserve">van het Verdrag, </w:t>
      </w:r>
      <w:r w:rsidRPr="00F57E65" w:rsidR="00D644B6">
        <w:rPr>
          <w:rFonts w:ascii="Verdana" w:hAnsi="Verdana" w:cs="Arial"/>
          <w:sz w:val="18"/>
          <w:szCs w:val="18"/>
          <w:lang w:val="nl-NL"/>
        </w:rPr>
        <w:t>waarvan voorts alleen</w:t>
      </w:r>
      <w:r w:rsidRPr="002F02D7" w:rsidR="00D644B6">
        <w:rPr>
          <w:rFonts w:ascii="Verdana" w:hAnsi="Verdana" w:cs="Arial"/>
          <w:sz w:val="18"/>
          <w:szCs w:val="18"/>
          <w:lang w:val="nl-NL"/>
        </w:rPr>
        <w:t xml:space="preserve"> de bepaling over ondernemingswinsten </w:t>
      </w:r>
      <w:r w:rsidRPr="002F02D7">
        <w:rPr>
          <w:rFonts w:ascii="Verdana" w:hAnsi="Verdana" w:cs="Arial"/>
          <w:sz w:val="18"/>
          <w:szCs w:val="18"/>
          <w:lang w:val="nl-NL"/>
        </w:rPr>
        <w:t xml:space="preserve">deel uitmaakt </w:t>
      </w:r>
      <w:r w:rsidRPr="002F02D7" w:rsidR="00D644B6">
        <w:rPr>
          <w:rFonts w:ascii="Verdana" w:hAnsi="Verdana" w:cs="Arial"/>
          <w:sz w:val="18"/>
          <w:szCs w:val="18"/>
          <w:lang w:val="nl-NL"/>
        </w:rPr>
        <w:t>van het schema</w:t>
      </w:r>
      <w:r w:rsidRPr="002F02D7">
        <w:rPr>
          <w:rFonts w:ascii="Verdana" w:hAnsi="Verdana" w:cs="Arial"/>
          <w:sz w:val="18"/>
          <w:szCs w:val="18"/>
          <w:lang w:val="nl-NL"/>
        </w:rPr>
        <w:t>. Da</w:t>
      </w:r>
      <w:r w:rsidRPr="002F02D7" w:rsidR="00DA2359">
        <w:rPr>
          <w:rFonts w:ascii="Verdana" w:hAnsi="Verdana" w:cs="Arial"/>
          <w:sz w:val="18"/>
          <w:szCs w:val="18"/>
          <w:lang w:val="nl-NL"/>
        </w:rPr>
        <w:t xml:space="preserve">t verklaart waarom bij </w:t>
      </w:r>
      <w:r w:rsidRPr="002F02D7" w:rsidR="001200EE">
        <w:rPr>
          <w:rFonts w:ascii="Verdana" w:hAnsi="Verdana" w:cs="Arial"/>
          <w:sz w:val="18"/>
          <w:szCs w:val="18"/>
          <w:lang w:val="nl-NL"/>
        </w:rPr>
        <w:t xml:space="preserve">alle vragen op twee na </w:t>
      </w:r>
      <w:r w:rsidRPr="002F02D7" w:rsidR="00DA2359">
        <w:rPr>
          <w:rFonts w:ascii="Verdana" w:hAnsi="Verdana" w:cs="Arial"/>
          <w:sz w:val="18"/>
          <w:szCs w:val="18"/>
          <w:lang w:val="nl-NL"/>
        </w:rPr>
        <w:t xml:space="preserve">‘niet van toepassing’ is aangekruist. Uit consistentieoverwegingen met andere nieuwe verdragen en protocollen is er echter wel voor gekozen het hele schema op te nemen. </w:t>
      </w:r>
      <w:r w:rsidRPr="002F02D7" w:rsidR="00C86650">
        <w:rPr>
          <w:rFonts w:ascii="Verdana" w:hAnsi="Verdana" w:cs="Arial"/>
          <w:sz w:val="18"/>
          <w:szCs w:val="18"/>
          <w:lang w:val="nl-NL"/>
        </w:rPr>
        <w:t>Uit het ingevulde schema blijkt dat d</w:t>
      </w:r>
      <w:r w:rsidRPr="002F02D7" w:rsidR="00D22100">
        <w:rPr>
          <w:rFonts w:ascii="Verdana" w:hAnsi="Verdana" w:cs="Arial"/>
          <w:sz w:val="18"/>
          <w:szCs w:val="18"/>
          <w:lang w:val="nl-NL"/>
        </w:rPr>
        <w:t xml:space="preserve">e </w:t>
      </w:r>
      <w:r w:rsidRPr="002F02D7" w:rsidR="009D21AF">
        <w:rPr>
          <w:rFonts w:ascii="Verdana" w:hAnsi="Verdana" w:cs="Arial"/>
          <w:sz w:val="18"/>
          <w:szCs w:val="18"/>
          <w:lang w:val="nl-NL"/>
        </w:rPr>
        <w:t xml:space="preserve">in het </w:t>
      </w:r>
      <w:r w:rsidRPr="002F02D7" w:rsidR="00AC7718">
        <w:rPr>
          <w:rFonts w:ascii="Verdana" w:hAnsi="Verdana" w:cs="Arial"/>
          <w:sz w:val="18"/>
          <w:szCs w:val="18"/>
          <w:lang w:val="nl-NL"/>
        </w:rPr>
        <w:t>Protocol</w:t>
      </w:r>
      <w:r w:rsidRPr="002F02D7" w:rsidR="009D21AF">
        <w:rPr>
          <w:rFonts w:ascii="Verdana" w:hAnsi="Verdana" w:cs="Arial"/>
          <w:sz w:val="18"/>
          <w:szCs w:val="18"/>
          <w:lang w:val="nl-NL"/>
        </w:rPr>
        <w:t xml:space="preserve"> opgenomen </w:t>
      </w:r>
      <w:r w:rsidRPr="002F02D7" w:rsidR="00D22100">
        <w:rPr>
          <w:rFonts w:ascii="Verdana" w:hAnsi="Verdana" w:cs="Arial"/>
          <w:sz w:val="18"/>
          <w:szCs w:val="18"/>
          <w:lang w:val="nl-NL"/>
        </w:rPr>
        <w:t xml:space="preserve">wijzigingen in het Verdrag in overeenstemming </w:t>
      </w:r>
      <w:r w:rsidRPr="002F02D7" w:rsidR="00C86650">
        <w:rPr>
          <w:rFonts w:ascii="Verdana" w:hAnsi="Verdana" w:cs="Arial"/>
          <w:sz w:val="18"/>
          <w:szCs w:val="18"/>
          <w:lang w:val="nl-NL"/>
        </w:rPr>
        <w:t xml:space="preserve">zijn </w:t>
      </w:r>
      <w:r w:rsidRPr="002F02D7" w:rsidR="00D22100">
        <w:rPr>
          <w:rFonts w:ascii="Verdana" w:hAnsi="Verdana" w:cs="Arial"/>
          <w:sz w:val="18"/>
          <w:szCs w:val="18"/>
          <w:lang w:val="nl-NL"/>
        </w:rPr>
        <w:t>met het Nederlandse verdragsbeleid</w:t>
      </w:r>
      <w:r w:rsidRPr="002F02D7" w:rsidR="009D21AF">
        <w:rPr>
          <w:rFonts w:ascii="Verdana" w:hAnsi="Verdana" w:cs="Arial"/>
          <w:sz w:val="18"/>
          <w:szCs w:val="18"/>
          <w:lang w:val="nl-NL"/>
        </w:rPr>
        <w:t xml:space="preserve">, zoals toegelicht in de </w:t>
      </w:r>
      <w:r w:rsidRPr="00F57E65" w:rsidR="00E17162">
        <w:rPr>
          <w:rFonts w:ascii="Verdana" w:hAnsi="Verdana" w:cs="Arial"/>
          <w:sz w:val="18"/>
          <w:szCs w:val="18"/>
          <w:lang w:val="nl-NL"/>
        </w:rPr>
        <w:t xml:space="preserve">hiervoor in paragraaf </w:t>
      </w:r>
      <w:r w:rsidR="00F57E65">
        <w:rPr>
          <w:rFonts w:ascii="Verdana" w:hAnsi="Verdana" w:cs="Arial"/>
          <w:sz w:val="18"/>
          <w:szCs w:val="18"/>
          <w:lang w:val="nl-NL"/>
        </w:rPr>
        <w:t>4.1 aangehaalde Notitie Fiscaal V</w:t>
      </w:r>
      <w:r w:rsidRPr="00F57E65" w:rsidR="00E17162">
        <w:rPr>
          <w:rFonts w:ascii="Verdana" w:hAnsi="Verdana" w:cs="Arial"/>
          <w:sz w:val="18"/>
          <w:szCs w:val="18"/>
          <w:lang w:val="nl-NL"/>
        </w:rPr>
        <w:t>erdragsbeleid 2011</w:t>
      </w:r>
      <w:r w:rsidRPr="00F57E65" w:rsidR="009D21AF">
        <w:rPr>
          <w:rFonts w:ascii="Verdana" w:hAnsi="Verdana" w:cs="Arial"/>
          <w:sz w:val="18"/>
          <w:szCs w:val="18"/>
          <w:lang w:val="nl-NL"/>
        </w:rPr>
        <w:t>.</w:t>
      </w:r>
      <w:r w:rsidRPr="002F02D7" w:rsidR="009D21AF">
        <w:rPr>
          <w:rFonts w:ascii="Verdana" w:hAnsi="Verdana" w:cs="Arial"/>
          <w:sz w:val="18"/>
          <w:szCs w:val="18"/>
          <w:lang w:val="nl-NL"/>
        </w:rPr>
        <w:t xml:space="preserve"> </w:t>
      </w:r>
    </w:p>
    <w:p w:rsidRPr="006D130B" w:rsidR="00585A35" w:rsidP="009D21AF" w:rsidRDefault="00585A35">
      <w:pPr>
        <w:spacing w:line="360" w:lineRule="auto"/>
        <w:rPr>
          <w:rFonts w:cs="Arial"/>
          <w:b/>
          <w:lang w:val="nl-NL"/>
        </w:rPr>
      </w:pPr>
    </w:p>
    <w:p w:rsidR="0002646A" w:rsidP="0002646A" w:rsidRDefault="0002646A">
      <w:pPr>
        <w:rPr>
          <w:sz w:val="26"/>
        </w:rPr>
      </w:pPr>
      <w:r w:rsidRPr="00282BF8">
        <w:rPr>
          <w:sz w:val="26"/>
        </w:rPr>
        <w:t>Toetsschema Standaardcriteria Fiscaal Verdragsbeleid 2011</w:t>
      </w:r>
    </w:p>
    <w:tbl>
      <w:tblPr>
        <w:tblW w:w="9176" w:type="dxa"/>
        <w:tblInd w:w="108"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BF7FF"/>
        <w:tblLayout w:type="fixed"/>
        <w:tblCellMar>
          <w:left w:w="70" w:type="dxa"/>
          <w:right w:w="70" w:type="dxa"/>
        </w:tblCellMar>
        <w:tblLook w:val="0000" w:firstRow="0" w:lastRow="0" w:firstColumn="0" w:lastColumn="0" w:noHBand="0" w:noVBand="0"/>
      </w:tblPr>
      <w:tblGrid>
        <w:gridCol w:w="704"/>
        <w:gridCol w:w="1373"/>
        <w:gridCol w:w="4972"/>
        <w:gridCol w:w="124"/>
        <w:gridCol w:w="37"/>
        <w:gridCol w:w="143"/>
        <w:gridCol w:w="56"/>
        <w:gridCol w:w="123"/>
        <w:gridCol w:w="236"/>
        <w:gridCol w:w="123"/>
        <w:gridCol w:w="236"/>
        <w:gridCol w:w="123"/>
        <w:gridCol w:w="236"/>
        <w:gridCol w:w="123"/>
        <w:gridCol w:w="444"/>
        <w:gridCol w:w="123"/>
      </w:tblGrid>
      <w:tr w:rsidRPr="004303C4" w:rsidR="0002646A" w:rsidTr="009B115C">
        <w:trPr>
          <w:cantSplit/>
          <w:trHeight w:val="682"/>
          <w:tblHeader/>
        </w:trPr>
        <w:tc>
          <w:tcPr>
            <w:tcW w:w="704" w:type="dxa"/>
            <w:shd w:val="clear" w:color="auto" w:fill="BFBFBF" w:themeFill="background1" w:themeFillShade="BF"/>
            <w:textDirection w:val="btLr"/>
            <w:vAlign w:val="center"/>
          </w:tcPr>
          <w:p w:rsidRPr="004303C4" w:rsidR="0002646A" w:rsidP="009B115C" w:rsidRDefault="0002646A">
            <w:pPr>
              <w:ind w:left="113" w:right="113"/>
              <w:rPr>
                <w:sz w:val="16"/>
                <w:szCs w:val="16"/>
              </w:rPr>
            </w:pPr>
            <w:r w:rsidRPr="004303C4">
              <w:rPr>
                <w:sz w:val="16"/>
                <w:szCs w:val="16"/>
              </w:rPr>
              <w:t>NFV 2011</w:t>
            </w:r>
          </w:p>
        </w:tc>
        <w:tc>
          <w:tcPr>
            <w:tcW w:w="6469" w:type="dxa"/>
            <w:gridSpan w:val="3"/>
            <w:shd w:val="clear" w:color="auto" w:fill="BFBFBF" w:themeFill="background1" w:themeFillShade="BF"/>
            <w:vAlign w:val="center"/>
          </w:tcPr>
          <w:p w:rsidRPr="004303C4" w:rsidR="0002646A" w:rsidP="009B115C" w:rsidRDefault="0002646A">
            <w:pPr>
              <w:jc w:val="center"/>
              <w:rPr>
                <w:sz w:val="16"/>
                <w:szCs w:val="16"/>
              </w:rPr>
            </w:pPr>
            <w:r w:rsidRPr="004303C4">
              <w:rPr>
                <w:sz w:val="16"/>
                <w:szCs w:val="16"/>
              </w:rPr>
              <w:t>Inzet</w:t>
            </w:r>
          </w:p>
        </w:tc>
        <w:tc>
          <w:tcPr>
            <w:tcW w:w="359" w:type="dxa"/>
            <w:gridSpan w:val="4"/>
            <w:shd w:val="clear" w:color="auto" w:fill="BFBFBF" w:themeFill="background1" w:themeFillShade="BF"/>
            <w:textDirection w:val="btLr"/>
            <w:vAlign w:val="bottom"/>
          </w:tcPr>
          <w:p w:rsidRPr="004303C4" w:rsidR="0002646A" w:rsidP="009B115C" w:rsidRDefault="0002646A">
            <w:pPr>
              <w:ind w:left="113" w:right="113"/>
              <w:rPr>
                <w:sz w:val="16"/>
                <w:szCs w:val="16"/>
              </w:rPr>
            </w:pPr>
            <w:r>
              <w:rPr>
                <w:sz w:val="16"/>
                <w:szCs w:val="16"/>
              </w:rPr>
              <w:t>Ja</w:t>
            </w:r>
          </w:p>
        </w:tc>
        <w:tc>
          <w:tcPr>
            <w:tcW w:w="359" w:type="dxa"/>
            <w:gridSpan w:val="2"/>
            <w:shd w:val="clear" w:color="auto" w:fill="BFBFBF" w:themeFill="background1" w:themeFillShade="BF"/>
            <w:textDirection w:val="btLr"/>
            <w:vAlign w:val="bottom"/>
          </w:tcPr>
          <w:p w:rsidRPr="004303C4" w:rsidR="0002646A" w:rsidP="009B115C" w:rsidRDefault="0002646A">
            <w:pPr>
              <w:ind w:left="113" w:right="113"/>
              <w:rPr>
                <w:sz w:val="16"/>
                <w:szCs w:val="16"/>
              </w:rPr>
            </w:pPr>
            <w:r>
              <w:rPr>
                <w:sz w:val="16"/>
                <w:szCs w:val="16"/>
              </w:rPr>
              <w:t>Deels</w:t>
            </w:r>
          </w:p>
        </w:tc>
        <w:tc>
          <w:tcPr>
            <w:tcW w:w="359" w:type="dxa"/>
            <w:gridSpan w:val="2"/>
            <w:shd w:val="clear" w:color="auto" w:fill="BFBFBF" w:themeFill="background1" w:themeFillShade="BF"/>
            <w:textDirection w:val="btLr"/>
            <w:vAlign w:val="bottom"/>
          </w:tcPr>
          <w:p w:rsidRPr="004303C4" w:rsidR="0002646A" w:rsidP="009B115C" w:rsidRDefault="0002646A">
            <w:pPr>
              <w:ind w:left="113" w:right="113"/>
              <w:rPr>
                <w:sz w:val="16"/>
                <w:szCs w:val="16"/>
              </w:rPr>
            </w:pPr>
            <w:r>
              <w:rPr>
                <w:sz w:val="16"/>
                <w:szCs w:val="16"/>
              </w:rPr>
              <w:t>Nee</w:t>
            </w:r>
          </w:p>
        </w:tc>
        <w:tc>
          <w:tcPr>
            <w:tcW w:w="359" w:type="dxa"/>
            <w:gridSpan w:val="2"/>
            <w:shd w:val="clear" w:color="auto" w:fill="BFBFBF" w:themeFill="background1" w:themeFillShade="BF"/>
            <w:textDirection w:val="btLr"/>
            <w:vAlign w:val="bottom"/>
          </w:tcPr>
          <w:p w:rsidRPr="004303C4" w:rsidR="0002646A" w:rsidP="009B115C" w:rsidRDefault="0002646A">
            <w:pPr>
              <w:ind w:left="113" w:right="113"/>
              <w:rPr>
                <w:sz w:val="16"/>
                <w:szCs w:val="16"/>
              </w:rPr>
            </w:pPr>
            <w:r>
              <w:rPr>
                <w:sz w:val="16"/>
                <w:szCs w:val="16"/>
              </w:rPr>
              <w:t>N.v.t.</w:t>
            </w:r>
          </w:p>
        </w:tc>
        <w:tc>
          <w:tcPr>
            <w:tcW w:w="567" w:type="dxa"/>
            <w:gridSpan w:val="2"/>
            <w:shd w:val="clear" w:color="auto" w:fill="BFBFBF" w:themeFill="background1" w:themeFillShade="BF"/>
            <w:textDirection w:val="btLr"/>
            <w:vAlign w:val="center"/>
          </w:tcPr>
          <w:p w:rsidRPr="004303C4" w:rsidR="0002646A" w:rsidP="009B115C" w:rsidRDefault="0002646A">
            <w:pPr>
              <w:ind w:left="113" w:right="113"/>
              <w:rPr>
                <w:sz w:val="16"/>
                <w:szCs w:val="16"/>
              </w:rPr>
            </w:pPr>
            <w:r>
              <w:rPr>
                <w:sz w:val="16"/>
                <w:szCs w:val="16"/>
              </w:rPr>
              <w:t>Zie par.</w:t>
            </w:r>
          </w:p>
        </w:tc>
      </w:tr>
      <w:tr w:rsidRPr="004303C4" w:rsidR="0002646A" w:rsidTr="009B115C">
        <w:trPr>
          <w:gridAfter w:val="10"/>
          <w:wAfter w:w="1823" w:type="dxa"/>
          <w:cantSplit/>
          <w:trHeight w:val="403"/>
        </w:trPr>
        <w:tc>
          <w:tcPr>
            <w:tcW w:w="704" w:type="dxa"/>
            <w:shd w:val="clear" w:color="auto" w:fill="FFFFFF" w:themeFill="background1"/>
            <w:vAlign w:val="center"/>
          </w:tcPr>
          <w:p w:rsidRPr="004303C4" w:rsidR="0002646A" w:rsidP="009B115C" w:rsidRDefault="0002646A">
            <w:pPr>
              <w:jc w:val="center"/>
              <w:rPr>
                <w:b/>
                <w:sz w:val="16"/>
                <w:szCs w:val="16"/>
              </w:rPr>
            </w:pPr>
          </w:p>
        </w:tc>
        <w:tc>
          <w:tcPr>
            <w:tcW w:w="6649" w:type="dxa"/>
            <w:gridSpan w:val="5"/>
            <w:shd w:val="clear" w:color="auto" w:fill="FFFFFF" w:themeFill="background1"/>
            <w:vAlign w:val="center"/>
          </w:tcPr>
          <w:p w:rsidRPr="004303C4" w:rsidR="0002646A" w:rsidP="009B115C" w:rsidRDefault="0002646A">
            <w:pPr>
              <w:rPr>
                <w:b/>
                <w:sz w:val="16"/>
                <w:szCs w:val="16"/>
              </w:rPr>
            </w:pPr>
            <w:r>
              <w:rPr>
                <w:b/>
                <w:sz w:val="16"/>
                <w:szCs w:val="16"/>
              </w:rPr>
              <w:t>Algemeen</w:t>
            </w: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IV</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Globaal beslisschema voor het aangaan van verdragsrelaties gevolgd</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532"/>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1.2.6</w:t>
            </w:r>
          </w:p>
        </w:tc>
        <w:tc>
          <w:tcPr>
            <w:tcW w:w="6469" w:type="dxa"/>
            <w:gridSpan w:val="3"/>
            <w:shd w:val="clear" w:color="auto" w:fill="007BC7"/>
            <w:vAlign w:val="center"/>
          </w:tcPr>
          <w:p w:rsidRPr="007F0474" w:rsidR="0002646A" w:rsidP="009B115C" w:rsidRDefault="0002646A">
            <w:pPr>
              <w:rPr>
                <w:rFonts w:cs="Arial"/>
                <w:color w:val="FFFFFF" w:themeColor="background1"/>
                <w:sz w:val="16"/>
                <w:szCs w:val="16"/>
              </w:rPr>
            </w:pPr>
            <w:r>
              <w:rPr>
                <w:color w:val="FFFFFF" w:themeColor="background1"/>
                <w:sz w:val="16"/>
                <w:szCs w:val="16"/>
              </w:rPr>
              <w:t>B</w:t>
            </w:r>
            <w:r w:rsidRPr="004303C4">
              <w:rPr>
                <w:rFonts w:cs="Arial"/>
                <w:color w:val="FFFFFF" w:themeColor="background1"/>
                <w:sz w:val="16"/>
                <w:szCs w:val="16"/>
              </w:rPr>
              <w:t>ijzonder regime geheel of gedeeltelijk uitgezonderd van verdragsvoordelen in gevallen waarin het risico op verdragsmisbruik bestaat</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1.3.5</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Bronstaat verleent ook verdragsvoordelen aan in Nederland gelegen vaste inrichting die zich in dezelfde situatie bevindt als inwoners van Nederland</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III</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Dubbele belastingheffing in relatie tot BES eilanden geadresseerd</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p>
        </w:tc>
        <w:tc>
          <w:tcPr>
            <w:tcW w:w="359" w:type="dxa"/>
            <w:gridSpan w:val="2"/>
            <w:shd w:val="clear" w:color="auto" w:fill="BFBFBF" w:themeFill="background1" w:themeFillShade="BF"/>
          </w:tcPr>
          <w:p w:rsidRPr="008D0C02" w:rsidR="0002646A" w:rsidP="009B115C" w:rsidRDefault="0002646A">
            <w:pP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8D0C02" w:rsidR="0002646A" w:rsidTr="009B115C">
        <w:trPr>
          <w:gridAfter w:val="10"/>
          <w:wAfter w:w="1823"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p>
        </w:tc>
        <w:tc>
          <w:tcPr>
            <w:tcW w:w="6649" w:type="dxa"/>
            <w:gridSpan w:val="5"/>
            <w:shd w:val="clear" w:color="auto" w:fill="FFFFFF" w:themeFill="background1"/>
            <w:vAlign w:val="center"/>
          </w:tcPr>
          <w:p w:rsidRPr="008D0C02" w:rsidR="0002646A" w:rsidP="009B115C" w:rsidRDefault="0002646A">
            <w:pPr>
              <w:rPr>
                <w:b/>
                <w:sz w:val="16"/>
                <w:szCs w:val="16"/>
              </w:rPr>
            </w:pPr>
            <w:r w:rsidRPr="008D0C02">
              <w:rPr>
                <w:b/>
                <w:sz w:val="16"/>
                <w:szCs w:val="16"/>
              </w:rPr>
              <w:t>Specifieke elementen</w:t>
            </w:r>
            <w:r>
              <w:rPr>
                <w:b/>
                <w:sz w:val="16"/>
                <w:szCs w:val="16"/>
              </w:rPr>
              <w:br/>
            </w:r>
            <w:r w:rsidRPr="008D0C02">
              <w:rPr>
                <w:i/>
                <w:sz w:val="16"/>
                <w:szCs w:val="16"/>
              </w:rPr>
              <w:t xml:space="preserve">Verdragstoegang en </w:t>
            </w:r>
            <w:r>
              <w:rPr>
                <w:i/>
                <w:sz w:val="16"/>
                <w:szCs w:val="16"/>
              </w:rPr>
              <w:t>–</w:t>
            </w:r>
            <w:r w:rsidRPr="008D0C02">
              <w:rPr>
                <w:i/>
                <w:sz w:val="16"/>
                <w:szCs w:val="16"/>
              </w:rPr>
              <w:t>voordelen</w:t>
            </w: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2.2.1</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 xml:space="preserve">Vastgelegd is dat een lichaam wordt </w:t>
            </w:r>
            <w:r w:rsidRPr="004303C4">
              <w:rPr>
                <w:color w:val="FFFFFF" w:themeColor="background1"/>
                <w:sz w:val="16"/>
                <w:szCs w:val="16"/>
              </w:rPr>
              <w:t>geacht aan belasting in een verdragsluitende sta</w:t>
            </w:r>
            <w:r>
              <w:rPr>
                <w:color w:val="FFFFFF" w:themeColor="background1"/>
                <w:sz w:val="16"/>
                <w:szCs w:val="16"/>
              </w:rPr>
              <w:t>a</w:t>
            </w:r>
            <w:r w:rsidRPr="004303C4">
              <w:rPr>
                <w:color w:val="FFFFFF" w:themeColor="background1"/>
                <w:sz w:val="16"/>
                <w:szCs w:val="16"/>
              </w:rPr>
              <w:t>t onderworpen te zijn, indien dat lichaam wordt beheerst door de wetten van die staat of zijn plaats van leiding in die staat heeft</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F0447C" w:rsidR="0002646A" w:rsidP="009B115C" w:rsidRDefault="0002646A">
            <w:pPr>
              <w:jc w:val="center"/>
              <w:rPr>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2.2.1</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De vbi komt voor sommige verdragsvoordelen niet in aanmerking</w:t>
            </w:r>
            <w:r>
              <w:rPr>
                <w:rStyle w:val="FootnoteReference"/>
                <w:color w:val="FFFFFF" w:themeColor="background1"/>
                <w:sz w:val="16"/>
                <w:szCs w:val="16"/>
              </w:rPr>
              <w:footnoteReference w:id="1"/>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0002646A" w:rsidP="009B115C" w:rsidRDefault="0002646A">
            <w:pPr>
              <w:jc w:val="center"/>
              <w:rPr>
                <w:b/>
                <w:color w:val="007BC7"/>
                <w:sz w:val="16"/>
                <w:szCs w:val="16"/>
              </w:rPr>
            </w:pPr>
            <w:r>
              <w:rPr>
                <w:b/>
                <w:color w:val="007BC7"/>
                <w:sz w:val="16"/>
                <w:szCs w:val="16"/>
              </w:rPr>
              <w:t>x</w:t>
            </w:r>
          </w:p>
          <w:p w:rsidRPr="008D0C02" w:rsidR="0002646A" w:rsidP="009B115C" w:rsidRDefault="0002646A">
            <w:pPr>
              <w:jc w:val="center"/>
              <w:rPr>
                <w:b/>
                <w:color w:val="007BC7"/>
                <w:sz w:val="16"/>
                <w:szCs w:val="16"/>
              </w:rPr>
            </w:pP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2.2.1</w:t>
            </w:r>
            <w:r>
              <w:rPr>
                <w:sz w:val="16"/>
                <w:szCs w:val="16"/>
              </w:rPr>
              <w:br/>
              <w:t>/II.2</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 xml:space="preserve">Duidelijkheid is gegeven over de verdragstoegang van en aanspraak op verdragsvoordelen door </w:t>
            </w:r>
            <w:r>
              <w:rPr>
                <w:color w:val="FFFFFF" w:themeColor="background1"/>
                <w:sz w:val="16"/>
                <w:szCs w:val="16"/>
              </w:rPr>
              <w:t>pensioen- en overheidsfondsen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2.2.2</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Corporate tiebreak</w:t>
            </w:r>
            <w:r>
              <w:rPr>
                <w:color w:val="FFFFFF" w:themeColor="background1"/>
                <w:sz w:val="16"/>
                <w:szCs w:val="16"/>
              </w:rPr>
              <w:t>er</w:t>
            </w:r>
            <w:r w:rsidRPr="004303C4">
              <w:rPr>
                <w:color w:val="FFFFFF" w:themeColor="background1"/>
                <w:sz w:val="16"/>
                <w:szCs w:val="16"/>
              </w:rPr>
              <w:t xml:space="preserve"> op basis van plaats van werkelijke leiding opgenomen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2.3</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 xml:space="preserve">Regeling voor oplossing dubbele heffing en vrijstelling ten aanzien van hybride (rechts)vormen opgenomen </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2.4</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Overeenstemming over fiscale behandeling besloten FGR’s als asset poolinginstrument</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2.5</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Afgezonderde Particuliere Vermogens tijdens onderhandelingen besproken en zo nodig geadresseerd in het verdrag</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jc w:val="center"/>
              <w:rPr>
                <w:b/>
                <w:sz w:val="16"/>
                <w:szCs w:val="16"/>
              </w:rPr>
            </w:pPr>
          </w:p>
        </w:tc>
      </w:tr>
      <w:tr w:rsidRPr="008D0C02" w:rsidR="0002646A" w:rsidTr="009B115C">
        <w:trPr>
          <w:gridAfter w:val="10"/>
          <w:wAfter w:w="1823"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p>
        </w:tc>
        <w:tc>
          <w:tcPr>
            <w:tcW w:w="6649" w:type="dxa"/>
            <w:gridSpan w:val="5"/>
            <w:shd w:val="clear" w:color="auto" w:fill="FFFFFF" w:themeFill="background1"/>
            <w:vAlign w:val="center"/>
          </w:tcPr>
          <w:p w:rsidRPr="008D0C02" w:rsidR="0002646A" w:rsidP="009B115C" w:rsidRDefault="0002646A">
            <w:pPr>
              <w:rPr>
                <w:i/>
                <w:sz w:val="16"/>
                <w:szCs w:val="16"/>
              </w:rPr>
            </w:pPr>
            <w:r w:rsidRPr="008D0C02">
              <w:rPr>
                <w:i/>
                <w:sz w:val="16"/>
                <w:szCs w:val="16"/>
              </w:rPr>
              <w:t>Ondernemingswinsten</w:t>
            </w: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2.6.2</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D</w:t>
            </w:r>
            <w:r w:rsidRPr="004303C4">
              <w:rPr>
                <w:color w:val="FFFFFF" w:themeColor="background1"/>
                <w:sz w:val="16"/>
                <w:szCs w:val="16"/>
              </w:rPr>
              <w:t xml:space="preserve">efinitie </w:t>
            </w:r>
            <w:r>
              <w:rPr>
                <w:color w:val="FFFFFF" w:themeColor="background1"/>
                <w:sz w:val="16"/>
                <w:szCs w:val="16"/>
              </w:rPr>
              <w:t>‘</w:t>
            </w:r>
            <w:r w:rsidRPr="004303C4">
              <w:rPr>
                <w:color w:val="FFFFFF" w:themeColor="background1"/>
                <w:sz w:val="16"/>
                <w:szCs w:val="16"/>
              </w:rPr>
              <w:t>vaste inrichting</w:t>
            </w:r>
            <w:r>
              <w:rPr>
                <w:color w:val="FFFFFF" w:themeColor="background1"/>
                <w:sz w:val="16"/>
                <w:szCs w:val="16"/>
              </w:rPr>
              <w:t>’</w:t>
            </w:r>
            <w:r w:rsidRPr="004303C4">
              <w:rPr>
                <w:color w:val="FFFFFF" w:themeColor="background1"/>
                <w:sz w:val="16"/>
                <w:szCs w:val="16"/>
              </w:rPr>
              <w:t xml:space="preserve"> in overeenstemming met OESO-beginselen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sidRPr="004303C4">
              <w:rPr>
                <w:sz w:val="16"/>
                <w:szCs w:val="16"/>
              </w:rPr>
              <w:t>2.6.3</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sidRPr="004303C4">
              <w:rPr>
                <w:color w:val="FFFFFF" w:themeColor="background1"/>
                <w:sz w:val="16"/>
                <w:szCs w:val="16"/>
              </w:rPr>
              <w:t>Specifieke bepaling in artikel inzake ‘vaste inrichting’ ter behoud van heffingsrecht over winsten behaald met werkzaamheden buitengaats</w:t>
            </w:r>
            <w:r>
              <w:rPr>
                <w:color w:val="FFFFFF" w:themeColor="background1"/>
                <w:sz w:val="16"/>
                <w:szCs w:val="16"/>
              </w:rPr>
              <w:t xml:space="preserve"> opgenomen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2.6.4</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Winsttoerekening vaste inrichtingen conform artikel 7 OESO-modelverdrag</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567" w:type="dxa"/>
            <w:gridSpan w:val="2"/>
            <w:shd w:val="clear" w:color="auto" w:fill="BFBFBF" w:themeFill="background1" w:themeFillShade="BF"/>
            <w:vAlign w:val="center"/>
          </w:tcPr>
          <w:p w:rsidRPr="004303C4" w:rsidR="0002646A" w:rsidP="009B115C" w:rsidRDefault="0002646A">
            <w:pPr>
              <w:rPr>
                <w:b/>
                <w:sz w:val="16"/>
                <w:szCs w:val="16"/>
              </w:rPr>
            </w:pPr>
            <w:r>
              <w:rPr>
                <w:b/>
                <w:sz w:val="16"/>
                <w:szCs w:val="16"/>
              </w:rPr>
              <w:t>5</w:t>
            </w: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2.6.4</w:t>
            </w:r>
          </w:p>
        </w:tc>
        <w:tc>
          <w:tcPr>
            <w:tcW w:w="6469" w:type="dxa"/>
            <w:gridSpan w:val="3"/>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Toegang tot onderlingoverlegprocedure en arbitrage in kwesties over winsttoerekening en verrekenprijzen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567" w:type="dxa"/>
            <w:gridSpan w:val="2"/>
            <w:shd w:val="clear" w:color="auto" w:fill="BFBFBF" w:themeFill="background1" w:themeFillShade="BF"/>
            <w:vAlign w:val="center"/>
          </w:tcPr>
          <w:p w:rsidRPr="004303C4" w:rsidR="0002646A" w:rsidP="009B115C" w:rsidRDefault="0002646A">
            <w:pPr>
              <w:rPr>
                <w:b/>
                <w:sz w:val="16"/>
                <w:szCs w:val="16"/>
              </w:rPr>
            </w:pPr>
            <w:r>
              <w:rPr>
                <w:b/>
                <w:sz w:val="16"/>
                <w:szCs w:val="16"/>
              </w:rPr>
              <w:t>5</w:t>
            </w:r>
          </w:p>
        </w:tc>
      </w:tr>
      <w:tr w:rsidRPr="004303C4" w:rsidR="0002646A" w:rsidTr="009B115C">
        <w:trPr>
          <w:trHeight w:val="255"/>
        </w:trPr>
        <w:tc>
          <w:tcPr>
            <w:tcW w:w="704" w:type="dxa"/>
            <w:shd w:val="clear" w:color="auto" w:fill="BFBFBF" w:themeFill="background1" w:themeFillShade="BF"/>
            <w:vAlign w:val="center"/>
          </w:tcPr>
          <w:p w:rsidR="0002646A" w:rsidP="009B115C" w:rsidRDefault="0002646A">
            <w:pPr>
              <w:jc w:val="right"/>
              <w:rPr>
                <w:sz w:val="16"/>
                <w:szCs w:val="16"/>
              </w:rPr>
            </w:pPr>
            <w:r>
              <w:rPr>
                <w:sz w:val="16"/>
                <w:szCs w:val="16"/>
              </w:rPr>
              <w:t>2.6.5</w:t>
            </w:r>
          </w:p>
        </w:tc>
        <w:tc>
          <w:tcPr>
            <w:tcW w:w="6469" w:type="dxa"/>
            <w:gridSpan w:val="3"/>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 xml:space="preserve">Toekenning heffingsrecht scheep- en luchtvaartwinsten behaald in het internationale verkeer aan de staat van de werkelijke leiding van de onderneming </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2.6.5</w:t>
            </w:r>
          </w:p>
        </w:tc>
        <w:tc>
          <w:tcPr>
            <w:tcW w:w="1373" w:type="dxa"/>
            <w:shd w:val="clear" w:color="auto" w:fill="BFBFBF" w:themeFill="background1" w:themeFillShade="BF"/>
            <w:vAlign w:val="center"/>
          </w:tcPr>
          <w:p w:rsidRPr="004303C4" w:rsidR="0002646A" w:rsidP="009B115C" w:rsidRDefault="0002646A">
            <w:pPr>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5096" w:type="dxa"/>
            <w:gridSpan w:val="2"/>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Beperkte bronstaatsheffing scheep- en luchtvaartwinsten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0002646A" w:rsidP="009B115C" w:rsidRDefault="0002646A">
            <w:pPr>
              <w:jc w:val="right"/>
              <w:rPr>
                <w:sz w:val="16"/>
                <w:szCs w:val="16"/>
              </w:rPr>
            </w:pPr>
            <w:r>
              <w:rPr>
                <w:sz w:val="16"/>
                <w:szCs w:val="16"/>
              </w:rPr>
              <w:t>2.6.5</w:t>
            </w:r>
          </w:p>
        </w:tc>
        <w:tc>
          <w:tcPr>
            <w:tcW w:w="6469" w:type="dxa"/>
            <w:gridSpan w:val="3"/>
            <w:shd w:val="clear" w:color="auto" w:fill="007BC7"/>
            <w:vAlign w:val="center"/>
          </w:tcPr>
          <w:p w:rsidRPr="008D0C02" w:rsidR="0002646A" w:rsidP="009B115C" w:rsidRDefault="0002646A">
            <w:pPr>
              <w:rPr>
                <w:color w:val="FFFFFF" w:themeColor="background1"/>
              </w:rPr>
            </w:pPr>
            <w:r w:rsidRPr="008D0C02">
              <w:rPr>
                <w:color w:val="FFFFFF" w:themeColor="background1"/>
                <w:sz w:val="16"/>
              </w:rPr>
              <w:t>Vrijwaring van heffingen over de omzet behaald met passagiers- en vrachtvervoer</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8D0C02" w:rsidR="0002646A" w:rsidTr="009B115C">
        <w:trPr>
          <w:gridAfter w:val="10"/>
          <w:wAfter w:w="1823"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r>
              <w:br w:type="page"/>
            </w:r>
          </w:p>
        </w:tc>
        <w:tc>
          <w:tcPr>
            <w:tcW w:w="6649" w:type="dxa"/>
            <w:gridSpan w:val="5"/>
            <w:shd w:val="clear" w:color="auto" w:fill="FFFFFF" w:themeFill="background1"/>
            <w:vAlign w:val="center"/>
          </w:tcPr>
          <w:p w:rsidRPr="008D0C02" w:rsidR="0002646A" w:rsidP="009B115C" w:rsidRDefault="0002646A">
            <w:pPr>
              <w:rPr>
                <w:i/>
                <w:sz w:val="16"/>
                <w:szCs w:val="16"/>
              </w:rPr>
            </w:pPr>
            <w:r w:rsidRPr="008D0C02">
              <w:rPr>
                <w:i/>
                <w:sz w:val="16"/>
                <w:szCs w:val="16"/>
              </w:rPr>
              <w:t>Vermogensinkomsten en -winsten</w:t>
            </w:r>
          </w:p>
        </w:tc>
      </w:tr>
      <w:tr w:rsidRPr="004303C4" w:rsidR="0002646A" w:rsidTr="009B115C">
        <w:trPr>
          <w:trHeight w:val="255"/>
        </w:trPr>
        <w:tc>
          <w:tcPr>
            <w:tcW w:w="704" w:type="dxa"/>
            <w:shd w:val="clear" w:color="auto" w:fill="BFBFBF" w:themeFill="background1" w:themeFillShade="BF"/>
            <w:vAlign w:val="center"/>
          </w:tcPr>
          <w:p w:rsidR="0002646A" w:rsidP="009B115C" w:rsidRDefault="0002646A">
            <w:pPr>
              <w:jc w:val="right"/>
              <w:rPr>
                <w:sz w:val="16"/>
                <w:szCs w:val="16"/>
              </w:rPr>
            </w:pPr>
            <w:r>
              <w:rPr>
                <w:sz w:val="16"/>
                <w:szCs w:val="16"/>
              </w:rPr>
              <w:t>2.7.1</w:t>
            </w:r>
          </w:p>
        </w:tc>
        <w:tc>
          <w:tcPr>
            <w:tcW w:w="6469" w:type="dxa"/>
            <w:gridSpan w:val="3"/>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Uitsluitende woonstaatheffing voor deelnemingsdividenden</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0002646A" w:rsidP="009B115C" w:rsidRDefault="0002646A">
            <w:pPr>
              <w:jc w:val="right"/>
              <w:rPr>
                <w:sz w:val="16"/>
                <w:szCs w:val="16"/>
              </w:rPr>
            </w:pPr>
            <w:r>
              <w:rPr>
                <w:sz w:val="16"/>
                <w:szCs w:val="16"/>
              </w:rPr>
              <w:t>2.7.2</w:t>
            </w:r>
          </w:p>
        </w:tc>
        <w:tc>
          <w:tcPr>
            <w:tcW w:w="6469" w:type="dxa"/>
            <w:gridSpan w:val="3"/>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Tarief portfoliodividenden t.a.v. Nederland niet lager dan 15%</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0002646A" w:rsidP="009B115C" w:rsidRDefault="0002646A">
            <w:pPr>
              <w:jc w:val="right"/>
              <w:rPr>
                <w:sz w:val="16"/>
                <w:szCs w:val="16"/>
              </w:rPr>
            </w:pPr>
            <w:r>
              <w:rPr>
                <w:sz w:val="16"/>
                <w:szCs w:val="16"/>
              </w:rPr>
              <w:t>2.8.1</w:t>
            </w:r>
          </w:p>
        </w:tc>
        <w:tc>
          <w:tcPr>
            <w:tcW w:w="6469" w:type="dxa"/>
            <w:gridSpan w:val="3"/>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Uitsluitende woonstaatheffing interest &amp; royalty’s</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lastRenderedPageBreak/>
              <w:t>2.8.1</w:t>
            </w:r>
          </w:p>
        </w:tc>
        <w:tc>
          <w:tcPr>
            <w:tcW w:w="1373" w:type="dxa"/>
            <w:shd w:val="clear" w:color="auto" w:fill="BFBFBF" w:themeFill="background1" w:themeFillShade="BF"/>
            <w:vAlign w:val="center"/>
          </w:tcPr>
          <w:p w:rsidRPr="004303C4" w:rsidR="0002646A" w:rsidP="009B115C" w:rsidRDefault="0002646A">
            <w:pPr>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5096" w:type="dxa"/>
            <w:gridSpan w:val="2"/>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Uitzonderingen bronheffingsrecht</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2.9.3</w:t>
            </w:r>
          </w:p>
        </w:tc>
        <w:tc>
          <w:tcPr>
            <w:tcW w:w="6469"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Aanmerkelijkbelangvoorbehoud opgenomen</w:t>
            </w:r>
          </w:p>
        </w:tc>
        <w:tc>
          <w:tcPr>
            <w:tcW w:w="359"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jc w:val="center"/>
              <w:rPr>
                <w:b/>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jc w:val="center"/>
              <w:rPr>
                <w:b/>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jc w:val="center"/>
              <w:rPr>
                <w:b/>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F0447C" w:rsidR="0002646A" w:rsidP="009B115C" w:rsidRDefault="0002646A">
            <w:pPr>
              <w:jc w:val="center"/>
              <w:rPr>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2.9.3</w:t>
            </w:r>
          </w:p>
        </w:tc>
        <w:tc>
          <w:tcPr>
            <w:tcW w:w="1373" w:type="dxa"/>
            <w:shd w:val="clear" w:color="auto" w:fill="BFBFBF" w:themeFill="background1" w:themeFillShade="BF"/>
            <w:vAlign w:val="center"/>
          </w:tcPr>
          <w:p w:rsidRPr="004303C4" w:rsidR="0002646A" w:rsidP="009B115C" w:rsidRDefault="0002646A">
            <w:pPr>
              <w:rPr>
                <w:color w:val="000000" w:themeColor="text1"/>
                <w:sz w:val="16"/>
                <w:szCs w:val="16"/>
              </w:rPr>
            </w:pPr>
            <w:r>
              <w:rPr>
                <w:color w:val="000000" w:themeColor="text1"/>
                <w:sz w:val="16"/>
                <w:szCs w:val="16"/>
              </w:rPr>
              <w:t>Zo nodig</w:t>
            </w:r>
            <w:r w:rsidRPr="004303C4">
              <w:rPr>
                <w:color w:val="000000" w:themeColor="text1"/>
                <w:sz w:val="16"/>
                <w:szCs w:val="16"/>
              </w:rPr>
              <w:t>:</w:t>
            </w:r>
          </w:p>
        </w:tc>
        <w:tc>
          <w:tcPr>
            <w:tcW w:w="5096" w:type="dxa"/>
            <w:gridSpan w:val="2"/>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Uitbreiding aanmerkelijkbelangvoorbehoud indien verdragspartner waardeaangroei niet belast</w:t>
            </w:r>
          </w:p>
        </w:tc>
        <w:tc>
          <w:tcPr>
            <w:tcW w:w="359"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jc w:val="right"/>
              <w:rPr>
                <w:sz w:val="16"/>
                <w:szCs w:val="16"/>
              </w:rPr>
            </w:pPr>
            <w:r>
              <w:rPr>
                <w:sz w:val="16"/>
                <w:szCs w:val="16"/>
              </w:rPr>
              <w:t>2.9.4</w:t>
            </w:r>
          </w:p>
        </w:tc>
        <w:tc>
          <w:tcPr>
            <w:tcW w:w="137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color w:val="000000" w:themeColor="text1"/>
                <w:sz w:val="16"/>
                <w:szCs w:val="16"/>
              </w:rPr>
            </w:pPr>
            <w:r>
              <w:rPr>
                <w:color w:val="000000" w:themeColor="text1"/>
                <w:sz w:val="16"/>
                <w:szCs w:val="16"/>
              </w:rPr>
              <w:t>Zo nodig</w:t>
            </w:r>
            <w:r w:rsidRPr="004303C4">
              <w:rPr>
                <w:color w:val="000000" w:themeColor="text1"/>
                <w:sz w:val="16"/>
                <w:szCs w:val="16"/>
              </w:rPr>
              <w:t>:</w:t>
            </w:r>
          </w:p>
        </w:tc>
        <w:tc>
          <w:tcPr>
            <w:tcW w:w="5096"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Heffingsmogelijkheid bronstaat indien verdragspartner door Nederlands lichaam betaalde dividenden effectief niet belast</w:t>
            </w:r>
          </w:p>
        </w:tc>
        <w:tc>
          <w:tcPr>
            <w:tcW w:w="359"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2.9.5</w:t>
            </w:r>
          </w:p>
        </w:tc>
        <w:tc>
          <w:tcPr>
            <w:tcW w:w="6469"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Bepaling dat inkoop van aandelen en liquidatie worden beheerst door het dividendartikel</w:t>
            </w:r>
          </w:p>
        </w:tc>
        <w:tc>
          <w:tcPr>
            <w:tcW w:w="359"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8D0C02" w:rsidR="0002646A" w:rsidTr="009B115C">
        <w:trPr>
          <w:gridAfter w:val="11"/>
          <w:wAfter w:w="1966"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p>
        </w:tc>
        <w:tc>
          <w:tcPr>
            <w:tcW w:w="6506" w:type="dxa"/>
            <w:gridSpan w:val="4"/>
            <w:shd w:val="clear" w:color="auto" w:fill="FFFFFF" w:themeFill="background1"/>
            <w:vAlign w:val="center"/>
          </w:tcPr>
          <w:p w:rsidRPr="008D0C02" w:rsidR="0002646A" w:rsidP="009B115C" w:rsidRDefault="0002646A">
            <w:pPr>
              <w:rPr>
                <w:i/>
                <w:sz w:val="16"/>
                <w:szCs w:val="16"/>
              </w:rPr>
            </w:pPr>
            <w:r>
              <w:rPr>
                <w:i/>
                <w:sz w:val="16"/>
                <w:szCs w:val="16"/>
              </w:rPr>
              <w:t>Arbeid</w:t>
            </w:r>
          </w:p>
        </w:tc>
      </w:tr>
      <w:tr w:rsidRPr="004303C4" w:rsidR="0002646A" w:rsidTr="009B115C">
        <w:trPr>
          <w:gridAfter w:val="1"/>
          <w:wAfter w:w="123" w:type="dxa"/>
          <w:trHeight w:val="83"/>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2.10</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183-dagenbepaling opgenomen voor inkomsten uit dienstbetrekking</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2.11.1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Bronstaatheffing voor gefacilieerd opgebouwde pensioenen, onafhankelijk van de behandeling van de pensioenen in de woonstaat</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2.11.2</w:t>
            </w:r>
          </w:p>
        </w:tc>
        <w:tc>
          <w:tcPr>
            <w:tcW w:w="1373" w:type="dxa"/>
            <w:shd w:val="clear" w:color="auto" w:fill="BFBFBF" w:themeFill="background1" w:themeFillShade="BF"/>
            <w:vAlign w:val="center"/>
          </w:tcPr>
          <w:p w:rsidRPr="004303C4" w:rsidR="0002646A" w:rsidP="009B115C" w:rsidRDefault="0002646A">
            <w:pPr>
              <w:rPr>
                <w:color w:val="000000" w:themeColor="text1"/>
                <w:sz w:val="16"/>
                <w:szCs w:val="16"/>
              </w:rPr>
            </w:pPr>
            <w:r>
              <w:rPr>
                <w:color w:val="000000" w:themeColor="text1"/>
                <w:sz w:val="16"/>
                <w:szCs w:val="16"/>
              </w:rPr>
              <w:t>Indien Ja</w:t>
            </w:r>
            <w:r w:rsidRPr="004303C4">
              <w:rPr>
                <w:color w:val="000000" w:themeColor="text1"/>
                <w:sz w:val="16"/>
                <w:szCs w:val="16"/>
              </w:rPr>
              <w:t>:</w:t>
            </w:r>
          </w:p>
        </w:tc>
        <w:tc>
          <w:tcPr>
            <w:tcW w:w="4972" w:type="dxa"/>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Geen splitsing particuliere en privaatrechtelijke pensioenen indien bronstaatheffing</w:t>
            </w:r>
          </w:p>
        </w:tc>
        <w:tc>
          <w:tcPr>
            <w:tcW w:w="360"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shd w:val="clear" w:color="auto" w:fill="BFBFBF" w:themeFill="background1" w:themeFillShade="BF"/>
            <w:vAlign w:val="center"/>
          </w:tcPr>
          <w:p w:rsidRPr="004303C4" w:rsidR="0002646A" w:rsidP="009B115C" w:rsidRDefault="0002646A">
            <w:pPr>
              <w:jc w:val="right"/>
              <w:rPr>
                <w:sz w:val="16"/>
                <w:szCs w:val="16"/>
              </w:rPr>
            </w:pPr>
            <w:r>
              <w:rPr>
                <w:sz w:val="16"/>
                <w:szCs w:val="16"/>
              </w:rPr>
              <w:t>2.11.1</w:t>
            </w:r>
          </w:p>
        </w:tc>
        <w:tc>
          <w:tcPr>
            <w:tcW w:w="1373" w:type="dxa"/>
            <w:shd w:val="clear" w:color="auto" w:fill="BFBFBF" w:themeFill="background1" w:themeFillShade="BF"/>
            <w:vAlign w:val="center"/>
          </w:tcPr>
          <w:p w:rsidRPr="004303C4" w:rsidR="0002646A" w:rsidP="009B115C" w:rsidRDefault="0002646A">
            <w:pPr>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4972" w:type="dxa"/>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 xml:space="preserve">Beperkt bronheffingsrecht </w:t>
            </w:r>
          </w:p>
        </w:tc>
        <w:tc>
          <w:tcPr>
            <w:tcW w:w="360" w:type="dxa"/>
            <w:gridSpan w:val="4"/>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2.11.5</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Regeling voortgezette pensioenpremieaftrek in of bij non- discriminatieartikel</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Inkomsten sporters &amp; artiesten vallen onder bepalingen inkomsten uit onderneming of dienstverband</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Risico dubbele vrijstelling sporters &amp; artiesten geadresseerd</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2.13</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Specifieke bepaling (hoog)leraren achterwege gelaten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8D0C02" w:rsidR="0002646A" w:rsidTr="009B115C">
        <w:trPr>
          <w:gridAfter w:val="11"/>
          <w:wAfter w:w="1966"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p>
        </w:tc>
        <w:tc>
          <w:tcPr>
            <w:tcW w:w="6506" w:type="dxa"/>
            <w:gridSpan w:val="4"/>
            <w:shd w:val="clear" w:color="auto" w:fill="FFFFFF" w:themeFill="background1"/>
            <w:vAlign w:val="center"/>
          </w:tcPr>
          <w:p w:rsidRPr="008D0C02" w:rsidR="0002646A" w:rsidP="009B115C" w:rsidRDefault="0002646A">
            <w:pPr>
              <w:rPr>
                <w:i/>
                <w:sz w:val="16"/>
                <w:szCs w:val="16"/>
              </w:rPr>
            </w:pPr>
            <w:r>
              <w:rPr>
                <w:i/>
                <w:sz w:val="16"/>
                <w:szCs w:val="16"/>
              </w:rPr>
              <w:t>Voorkomingsmethodiek</w:t>
            </w: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2.15.1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 xml:space="preserve">Nederlandse voorkomingsmethodiek opgenomen </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2.15.2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Geen tax sparing credit opgenomen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8D0C02" w:rsidR="0002646A" w:rsidTr="009B115C">
        <w:trPr>
          <w:gridAfter w:val="11"/>
          <w:wAfter w:w="1966"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p>
        </w:tc>
        <w:tc>
          <w:tcPr>
            <w:tcW w:w="6506" w:type="dxa"/>
            <w:gridSpan w:val="4"/>
            <w:shd w:val="clear" w:color="auto" w:fill="FFFFFF" w:themeFill="background1"/>
            <w:vAlign w:val="center"/>
          </w:tcPr>
          <w:p w:rsidRPr="008D0C02" w:rsidR="0002646A" w:rsidP="009B115C" w:rsidRDefault="0002646A">
            <w:pPr>
              <w:rPr>
                <w:i/>
                <w:sz w:val="16"/>
                <w:szCs w:val="16"/>
              </w:rPr>
            </w:pPr>
            <w:r>
              <w:rPr>
                <w:i/>
                <w:sz w:val="16"/>
                <w:szCs w:val="16"/>
              </w:rPr>
              <w:t>Administratieve samenwerking en overig</w:t>
            </w: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040F71" w:rsidR="0002646A" w:rsidP="009B115C" w:rsidRDefault="0002646A">
            <w:pPr>
              <w:jc w:val="right"/>
              <w:rPr>
                <w:sz w:val="16"/>
                <w:szCs w:val="16"/>
              </w:rPr>
            </w:pPr>
            <w:r w:rsidRPr="00040F71">
              <w:rPr>
                <w:sz w:val="16"/>
                <w:szCs w:val="16"/>
              </w:rPr>
              <w:t>2.16.1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sidRPr="00040F71">
              <w:rPr>
                <w:color w:val="FFFFFF" w:themeColor="background1"/>
                <w:sz w:val="16"/>
                <w:szCs w:val="16"/>
              </w:rPr>
              <w:t>Verdergaande informatie-uitwisseling mogelijk dan uitwisseling op verzoek</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2.16.2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42158" w:rsidR="0002646A" w:rsidP="009B115C" w:rsidRDefault="0002646A">
            <w:pPr>
              <w:rPr>
                <w:color w:val="FFFFFF" w:themeColor="background1"/>
                <w:sz w:val="16"/>
                <w:szCs w:val="16"/>
                <w:highlight w:val="magenta"/>
              </w:rPr>
            </w:pPr>
            <w:r w:rsidRPr="00442158">
              <w:rPr>
                <w:color w:val="FFFFFF" w:themeColor="background1"/>
                <w:sz w:val="16"/>
                <w:szCs w:val="16"/>
              </w:rPr>
              <w:t xml:space="preserve">Invorderingsbepaling </w:t>
            </w:r>
            <w:r>
              <w:rPr>
                <w:color w:val="FFFFFF" w:themeColor="background1"/>
                <w:sz w:val="16"/>
                <w:szCs w:val="16"/>
              </w:rPr>
              <w:t>opgenomen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F0447C" w:rsidR="0002646A" w:rsidP="009B115C" w:rsidRDefault="0002646A">
            <w:pPr>
              <w:jc w:val="center"/>
              <w:rPr>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2.17.1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Arbitragemogelijkheid opgenomen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2.17.1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Arbitrage ook mogelijk in gevallen waarin definitieve gerechtelijke uitspraak is gedaan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2.21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Terug- en overnameclausule opgenomen in geval regeling nog niet was overeengekomen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8D0C02" w:rsidR="0002646A" w:rsidTr="009B115C">
        <w:trPr>
          <w:gridAfter w:val="11"/>
          <w:wAfter w:w="1966" w:type="dxa"/>
          <w:cantSplit/>
          <w:trHeight w:val="403"/>
        </w:trPr>
        <w:tc>
          <w:tcPr>
            <w:tcW w:w="704" w:type="dxa"/>
            <w:shd w:val="clear" w:color="auto" w:fill="FFFFFF" w:themeFill="background1"/>
            <w:vAlign w:val="center"/>
          </w:tcPr>
          <w:p w:rsidRPr="008D0C02" w:rsidR="0002646A" w:rsidP="009B115C" w:rsidRDefault="0002646A">
            <w:pPr>
              <w:jc w:val="center"/>
              <w:rPr>
                <w:b/>
                <w:sz w:val="16"/>
                <w:szCs w:val="16"/>
              </w:rPr>
            </w:pPr>
          </w:p>
        </w:tc>
        <w:tc>
          <w:tcPr>
            <w:tcW w:w="6506" w:type="dxa"/>
            <w:gridSpan w:val="4"/>
            <w:shd w:val="clear" w:color="auto" w:fill="FFFFFF" w:themeFill="background1"/>
            <w:vAlign w:val="center"/>
          </w:tcPr>
          <w:p w:rsidRPr="008D0C02" w:rsidR="0002646A" w:rsidP="009B115C" w:rsidRDefault="0002646A">
            <w:pPr>
              <w:rPr>
                <w:i/>
                <w:sz w:val="16"/>
                <w:szCs w:val="16"/>
              </w:rPr>
            </w:pPr>
            <w:r>
              <w:rPr>
                <w:i/>
                <w:sz w:val="16"/>
                <w:szCs w:val="16"/>
              </w:rPr>
              <w:t>Instrumentarium voorkomen verdragsmisbruik</w:t>
            </w: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2.20.1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Indien aansluiting is gezocht bij nationale antimisbruikleerstukken is consultatie en/of onderlingoverlegmogelijkheid overeengekomen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2.20.2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Verdragsvoordeelbeperkende bepalingen opgenomen waar interactie tussen betrokken stelsels verdragsmisbruik meebrengen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1"/>
          <w:wAfter w:w="1966" w:type="dxa"/>
          <w:cantSplit/>
          <w:trHeight w:val="403"/>
        </w:trPr>
        <w:tc>
          <w:tcPr>
            <w:tcW w:w="704" w:type="dxa"/>
            <w:shd w:val="clear" w:color="auto" w:fill="FFFFFF" w:themeFill="background1"/>
            <w:vAlign w:val="center"/>
          </w:tcPr>
          <w:p w:rsidRPr="004303C4" w:rsidR="0002646A" w:rsidP="009B115C" w:rsidRDefault="0002646A">
            <w:pPr>
              <w:jc w:val="center"/>
              <w:rPr>
                <w:b/>
                <w:sz w:val="16"/>
                <w:szCs w:val="16"/>
              </w:rPr>
            </w:pPr>
          </w:p>
        </w:tc>
        <w:tc>
          <w:tcPr>
            <w:tcW w:w="6506" w:type="dxa"/>
            <w:gridSpan w:val="4"/>
            <w:shd w:val="clear" w:color="auto" w:fill="FFFFFF" w:themeFill="background1"/>
            <w:vAlign w:val="center"/>
          </w:tcPr>
          <w:p w:rsidRPr="004303C4" w:rsidR="0002646A" w:rsidP="009B115C" w:rsidRDefault="0002646A">
            <w:pPr>
              <w:rPr>
                <w:b/>
                <w:sz w:val="16"/>
                <w:szCs w:val="16"/>
              </w:rPr>
            </w:pPr>
            <w:r>
              <w:rPr>
                <w:b/>
                <w:sz w:val="16"/>
                <w:szCs w:val="16"/>
              </w:rPr>
              <w:t>Ontwikkelingslanden</w:t>
            </w: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2.6.2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Uitgebreidere definitie ‘vaste inrichting’</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2.7.1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Bronbelasting op deelnemingsdividenden toegestaan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2646A" w:rsidP="009B115C" w:rsidRDefault="0002646A">
            <w:pPr>
              <w:jc w:val="right"/>
              <w:rPr>
                <w:sz w:val="16"/>
                <w:szCs w:val="16"/>
              </w:rPr>
            </w:pPr>
            <w:r>
              <w:rPr>
                <w:sz w:val="16"/>
                <w:szCs w:val="16"/>
              </w:rPr>
              <w:t>2.8.1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Bronbelasting op interest &amp; royalty’s toegestaan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jc w:val="right"/>
              <w:rPr>
                <w:sz w:val="16"/>
                <w:szCs w:val="16"/>
              </w:rPr>
            </w:pP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303C4" w:rsidR="0002646A" w:rsidP="009B115C" w:rsidRDefault="0002646A">
            <w:pPr>
              <w:rPr>
                <w:color w:val="FFFFFF" w:themeColor="background1"/>
                <w:sz w:val="16"/>
                <w:szCs w:val="16"/>
              </w:rPr>
            </w:pPr>
            <w:r>
              <w:rPr>
                <w:color w:val="FFFFFF" w:themeColor="background1"/>
                <w:sz w:val="16"/>
                <w:szCs w:val="16"/>
              </w:rPr>
              <w:t xml:space="preserve">Risico’s verdragsmisbruik </w:t>
            </w:r>
            <w:r w:rsidRPr="004303C4">
              <w:rPr>
                <w:color w:val="FFFFFF" w:themeColor="background1"/>
                <w:sz w:val="16"/>
                <w:szCs w:val="16"/>
              </w:rPr>
              <w:t xml:space="preserve">tijdens onderhandelingen </w:t>
            </w:r>
            <w:r>
              <w:rPr>
                <w:color w:val="FFFFFF" w:themeColor="background1"/>
                <w:sz w:val="16"/>
                <w:szCs w:val="16"/>
              </w:rPr>
              <w:t xml:space="preserve">op initiatief van Nederland </w:t>
            </w:r>
            <w:r w:rsidRPr="004303C4">
              <w:rPr>
                <w:color w:val="FFFFFF" w:themeColor="background1"/>
                <w:sz w:val="16"/>
                <w:szCs w:val="16"/>
              </w:rPr>
              <w:t>besproken en zo nodig geadresseerd in het verdrag</w:t>
            </w:r>
            <w:r>
              <w:rPr>
                <w:color w:val="FFFFFF" w:themeColor="background1"/>
                <w:sz w:val="16"/>
                <w:szCs w:val="16"/>
              </w:rPr>
              <w:t xml:space="preserve"> </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r w:rsidRPr="004303C4" w:rsidR="0002646A" w:rsidTr="009B115C">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jc w:val="right"/>
              <w:rPr>
                <w:sz w:val="16"/>
                <w:szCs w:val="16"/>
              </w:rPr>
            </w:pPr>
            <w:r>
              <w:rPr>
                <w:sz w:val="16"/>
                <w:szCs w:val="16"/>
              </w:rPr>
              <w:t>II.2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02646A" w:rsidP="009B115C" w:rsidRDefault="0002646A">
            <w:pPr>
              <w:rPr>
                <w:color w:val="FFFFFF" w:themeColor="background1"/>
                <w:sz w:val="16"/>
                <w:szCs w:val="16"/>
              </w:rPr>
            </w:pPr>
            <w:r>
              <w:rPr>
                <w:color w:val="FFFFFF" w:themeColor="background1"/>
                <w:sz w:val="16"/>
                <w:szCs w:val="16"/>
              </w:rPr>
              <w:t>Overige onderdelen van het VN-model geaccepteerd ter ondersteuning van de fiscale ontwikkeling van het ontwikkelingsland</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02646A" w:rsidP="009B115C" w:rsidRDefault="0002646A">
            <w:pPr>
              <w:jc w:val="center"/>
              <w:rPr>
                <w:b/>
                <w:color w:val="007BC7"/>
                <w:sz w:val="16"/>
                <w:szCs w:val="16"/>
              </w:rPr>
            </w:pPr>
            <w:r>
              <w:rPr>
                <w:b/>
                <w:color w:val="007BC7"/>
                <w:sz w:val="16"/>
                <w:szCs w:val="16"/>
              </w:rPr>
              <w:t>x</w:t>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02646A" w:rsidP="009B115C" w:rsidRDefault="0002646A">
            <w:pPr>
              <w:rPr>
                <w:b/>
                <w:sz w:val="16"/>
                <w:szCs w:val="16"/>
              </w:rPr>
            </w:pPr>
          </w:p>
        </w:tc>
      </w:tr>
    </w:tbl>
    <w:p w:rsidR="0002646A" w:rsidP="0002646A" w:rsidRDefault="0002646A">
      <w:pPr>
        <w:rPr>
          <w:b/>
          <w:sz w:val="16"/>
          <w:szCs w:val="16"/>
        </w:rPr>
      </w:pPr>
    </w:p>
    <w:p w:rsidR="0002646A" w:rsidP="0002646A" w:rsidRDefault="0002646A">
      <w:pPr>
        <w:pBdr>
          <w:top w:val="single" w:color="auto" w:sz="4" w:space="1"/>
          <w:left w:val="single" w:color="auto" w:sz="4" w:space="0"/>
          <w:bottom w:val="single" w:color="auto" w:sz="4" w:space="1"/>
          <w:right w:val="single" w:color="auto" w:sz="4" w:space="4"/>
        </w:pBdr>
        <w:rPr>
          <w:b/>
        </w:rPr>
      </w:pPr>
      <w:r w:rsidRPr="00020BF1">
        <w:rPr>
          <w:b/>
          <w:sz w:val="16"/>
          <w:szCs w:val="16"/>
        </w:rPr>
        <w:t>Toelichting</w:t>
      </w:r>
      <w:r>
        <w:rPr>
          <w:sz w:val="16"/>
          <w:szCs w:val="16"/>
        </w:rPr>
        <w:br/>
        <w:t>In bovenstaand toetsschema met standaardcriteria voor het sluiten van belastingverdragen zijn de standaardcriteria opgenomen zoals geformuleerd en toegelicht in de Notitie Fiscaal Verdragsbeleid 2011.</w:t>
      </w:r>
      <w:r>
        <w:rPr>
          <w:rStyle w:val="FootnoteReference"/>
          <w:sz w:val="16"/>
          <w:szCs w:val="16"/>
        </w:rPr>
        <w:footnoteReference w:id="2"/>
      </w:r>
      <w:r>
        <w:rPr>
          <w:sz w:val="16"/>
          <w:szCs w:val="16"/>
        </w:rPr>
        <w:t xml:space="preserve"> Dit schema biedt tevens uitvoering aan de motie-Van Vliet</w:t>
      </w:r>
      <w:r>
        <w:rPr>
          <w:rStyle w:val="FootnoteReference"/>
          <w:sz w:val="16"/>
          <w:szCs w:val="16"/>
        </w:rPr>
        <w:footnoteReference w:id="3"/>
      </w:r>
      <w:r>
        <w:rPr>
          <w:sz w:val="16"/>
          <w:szCs w:val="16"/>
        </w:rPr>
        <w:t xml:space="preserve"> en zal gevoegd worden bij elke toelichting bij nieuwe belastingverdragen. Per onderdeel zal worden aangegeven of de inzet geconcretiseerd is in het verdrag en zal worden verwezen naar de relevante passage in de toelichting.</w:t>
      </w:r>
    </w:p>
    <w:p w:rsidR="0002646A" w:rsidP="009D21AF" w:rsidRDefault="0002646A">
      <w:pPr>
        <w:spacing w:line="360" w:lineRule="auto"/>
        <w:rPr>
          <w:rFonts w:cs="Arial"/>
          <w:b/>
        </w:rPr>
      </w:pPr>
    </w:p>
    <w:p w:rsidRPr="00172064" w:rsidR="0002646A" w:rsidP="009D21AF" w:rsidRDefault="0002646A">
      <w:pPr>
        <w:spacing w:line="360" w:lineRule="auto"/>
        <w:rPr>
          <w:rFonts w:cs="Arial"/>
          <w:b/>
        </w:rPr>
      </w:pPr>
    </w:p>
    <w:p w:rsidRPr="002F02D7" w:rsidR="00381217" w:rsidP="002722F2" w:rsidRDefault="00381217">
      <w:pPr>
        <w:spacing w:line="360" w:lineRule="auto"/>
        <w:rPr>
          <w:rFonts w:ascii="Verdana" w:hAnsi="Verdana" w:cs="Arial"/>
          <w:b/>
          <w:sz w:val="18"/>
          <w:szCs w:val="18"/>
          <w:lang w:val="nl-NL"/>
        </w:rPr>
      </w:pPr>
      <w:r w:rsidRPr="002F02D7">
        <w:rPr>
          <w:rFonts w:ascii="Verdana" w:hAnsi="Verdana" w:cs="Arial"/>
          <w:b/>
          <w:sz w:val="18"/>
          <w:szCs w:val="18"/>
          <w:lang w:val="nl-NL"/>
        </w:rPr>
        <w:t>5. Artikelsgewijze toelichting</w:t>
      </w:r>
    </w:p>
    <w:p w:rsidRPr="002F02D7" w:rsidR="00D74B23" w:rsidP="002722F2" w:rsidRDefault="00D74B23">
      <w:pPr>
        <w:spacing w:line="360" w:lineRule="auto"/>
        <w:rPr>
          <w:rFonts w:ascii="Verdana" w:hAnsi="Verdana" w:cs="Arial"/>
          <w:sz w:val="18"/>
          <w:szCs w:val="18"/>
          <w:u w:val="single"/>
          <w:lang w:val="nl-NL"/>
        </w:rPr>
      </w:pPr>
    </w:p>
    <w:p w:rsidRPr="002F02D7" w:rsidR="002722F2" w:rsidP="002722F2" w:rsidRDefault="005B1B8B">
      <w:pPr>
        <w:spacing w:line="360" w:lineRule="auto"/>
        <w:rPr>
          <w:rFonts w:ascii="Verdana" w:hAnsi="Verdana" w:cs="Arial"/>
          <w:sz w:val="18"/>
          <w:szCs w:val="18"/>
          <w:lang w:val="nl-NL"/>
        </w:rPr>
      </w:pPr>
      <w:r w:rsidRPr="002F02D7">
        <w:rPr>
          <w:rFonts w:ascii="Verdana" w:hAnsi="Verdana" w:cs="Arial"/>
          <w:sz w:val="18"/>
          <w:szCs w:val="18"/>
          <w:u w:val="single"/>
          <w:lang w:val="nl-NL"/>
        </w:rPr>
        <w:t>Artikel I (</w:t>
      </w:r>
      <w:r w:rsidRPr="002F02D7" w:rsidR="002722F2">
        <w:rPr>
          <w:rFonts w:ascii="Verdana" w:hAnsi="Verdana" w:cs="Arial"/>
          <w:sz w:val="18"/>
          <w:szCs w:val="18"/>
          <w:u w:val="single"/>
          <w:lang w:val="nl-NL"/>
        </w:rPr>
        <w:t>Winst uit onderneming</w:t>
      </w:r>
      <w:r w:rsidRPr="002F02D7">
        <w:rPr>
          <w:rFonts w:ascii="Verdana" w:hAnsi="Verdana" w:cs="Arial"/>
          <w:sz w:val="18"/>
          <w:szCs w:val="18"/>
          <w:u w:val="single"/>
          <w:lang w:val="nl-NL"/>
        </w:rPr>
        <w:t>)</w:t>
      </w:r>
    </w:p>
    <w:p w:rsidR="00661435" w:rsidP="00B0245E" w:rsidRDefault="002722F2">
      <w:pPr>
        <w:spacing w:line="360" w:lineRule="auto"/>
        <w:rPr>
          <w:rFonts w:ascii="Verdana" w:hAnsi="Verdana" w:cs="Arial"/>
          <w:sz w:val="18"/>
          <w:szCs w:val="18"/>
          <w:lang w:val="nl-NL"/>
        </w:rPr>
      </w:pPr>
      <w:r w:rsidRPr="002F02D7">
        <w:rPr>
          <w:rFonts w:ascii="Verdana" w:hAnsi="Verdana" w:cs="Arial"/>
          <w:sz w:val="18"/>
          <w:szCs w:val="18"/>
          <w:lang w:val="nl-NL"/>
        </w:rPr>
        <w:t xml:space="preserve">Zowel Nederland als het Verenigd Koninkrijk </w:t>
      </w:r>
      <w:r w:rsidRPr="002F02D7" w:rsidR="006573BF">
        <w:rPr>
          <w:rFonts w:ascii="Verdana" w:hAnsi="Verdana" w:cs="Arial"/>
          <w:sz w:val="18"/>
          <w:szCs w:val="18"/>
          <w:lang w:val="nl-NL"/>
        </w:rPr>
        <w:t xml:space="preserve">zijn eensgezind in hun wens om, als </w:t>
      </w:r>
      <w:r w:rsidRPr="002F02D7" w:rsidR="00D65C18">
        <w:rPr>
          <w:rFonts w:ascii="Verdana" w:hAnsi="Verdana" w:cs="Arial"/>
          <w:sz w:val="18"/>
          <w:szCs w:val="18"/>
          <w:lang w:val="nl-NL"/>
        </w:rPr>
        <w:t>l</w:t>
      </w:r>
      <w:r w:rsidRPr="002F02D7" w:rsidR="006573BF">
        <w:rPr>
          <w:rFonts w:ascii="Verdana" w:hAnsi="Verdana" w:cs="Arial"/>
          <w:sz w:val="18"/>
          <w:szCs w:val="18"/>
          <w:lang w:val="nl-NL"/>
        </w:rPr>
        <w:t xml:space="preserve">idstaten van de OESO, </w:t>
      </w:r>
      <w:r w:rsidRPr="002F02D7">
        <w:rPr>
          <w:rFonts w:ascii="Verdana" w:hAnsi="Verdana" w:cs="Arial"/>
          <w:sz w:val="18"/>
          <w:szCs w:val="18"/>
          <w:lang w:val="nl-NL"/>
        </w:rPr>
        <w:t xml:space="preserve">artikel 7 van </w:t>
      </w:r>
      <w:r w:rsidRPr="002F02D7" w:rsidR="00A82CDD">
        <w:rPr>
          <w:rFonts w:ascii="Verdana" w:hAnsi="Verdana" w:cs="Arial"/>
          <w:sz w:val="18"/>
          <w:szCs w:val="18"/>
          <w:lang w:val="nl-NL"/>
        </w:rPr>
        <w:t>het Verdrag</w:t>
      </w:r>
      <w:r w:rsidRPr="002F02D7" w:rsidR="00265205">
        <w:rPr>
          <w:rFonts w:ascii="Verdana" w:hAnsi="Verdana" w:cs="Arial"/>
          <w:sz w:val="18"/>
          <w:szCs w:val="18"/>
          <w:lang w:val="nl-NL"/>
        </w:rPr>
        <w:t xml:space="preserve"> zoals dat momenteel luidt,</w:t>
      </w:r>
      <w:r w:rsidRPr="002F02D7">
        <w:rPr>
          <w:rFonts w:ascii="Verdana" w:hAnsi="Verdana" w:cs="Arial"/>
          <w:sz w:val="18"/>
          <w:szCs w:val="18"/>
          <w:lang w:val="nl-NL"/>
        </w:rPr>
        <w:t xml:space="preserve"> te vervangen door </w:t>
      </w:r>
      <w:r w:rsidRPr="002F02D7" w:rsidR="00D65C18">
        <w:rPr>
          <w:rFonts w:ascii="Verdana" w:hAnsi="Verdana" w:cs="Arial"/>
          <w:sz w:val="18"/>
          <w:szCs w:val="18"/>
          <w:lang w:val="nl-NL"/>
        </w:rPr>
        <w:t xml:space="preserve">een op </w:t>
      </w:r>
      <w:r w:rsidRPr="002F02D7">
        <w:rPr>
          <w:rFonts w:ascii="Verdana" w:hAnsi="Verdana" w:cs="Arial"/>
          <w:sz w:val="18"/>
          <w:szCs w:val="18"/>
          <w:lang w:val="nl-NL"/>
        </w:rPr>
        <w:t>het</w:t>
      </w:r>
      <w:r w:rsidRPr="002F02D7" w:rsidR="00321A9B">
        <w:rPr>
          <w:rFonts w:ascii="Verdana" w:hAnsi="Verdana" w:cs="Arial"/>
          <w:sz w:val="18"/>
          <w:szCs w:val="18"/>
          <w:lang w:val="nl-NL"/>
        </w:rPr>
        <w:t xml:space="preserve"> nieuwe artikel 7 van het OESO-</w:t>
      </w:r>
      <w:r w:rsidRPr="002F02D7" w:rsidR="00B6717B">
        <w:rPr>
          <w:rFonts w:ascii="Verdana" w:hAnsi="Verdana" w:cs="Arial"/>
          <w:sz w:val="18"/>
          <w:szCs w:val="18"/>
          <w:lang w:val="nl-NL"/>
        </w:rPr>
        <w:t>m</w:t>
      </w:r>
      <w:r w:rsidRPr="002F02D7">
        <w:rPr>
          <w:rFonts w:ascii="Verdana" w:hAnsi="Verdana" w:cs="Arial"/>
          <w:sz w:val="18"/>
          <w:szCs w:val="18"/>
          <w:lang w:val="nl-NL"/>
        </w:rPr>
        <w:t>odelverdrag 2010</w:t>
      </w:r>
      <w:r w:rsidRPr="002F02D7" w:rsidR="00D65C18">
        <w:rPr>
          <w:rFonts w:ascii="Verdana" w:hAnsi="Verdana" w:cs="Arial"/>
          <w:sz w:val="18"/>
          <w:szCs w:val="18"/>
          <w:lang w:val="nl-NL"/>
        </w:rPr>
        <w:t xml:space="preserve"> gebaseerde bepaling</w:t>
      </w:r>
      <w:r w:rsidRPr="002F02D7">
        <w:rPr>
          <w:rFonts w:ascii="Verdana" w:hAnsi="Verdana" w:cs="Arial"/>
          <w:sz w:val="18"/>
          <w:szCs w:val="18"/>
          <w:lang w:val="nl-NL"/>
        </w:rPr>
        <w:t xml:space="preserve">. </w:t>
      </w:r>
    </w:p>
    <w:p w:rsidRPr="002F02D7" w:rsidR="00C06878" w:rsidP="00B0245E" w:rsidRDefault="002722F2">
      <w:pPr>
        <w:spacing w:line="360" w:lineRule="auto"/>
        <w:rPr>
          <w:rFonts w:ascii="Verdana" w:hAnsi="Verdana" w:cs="Arial"/>
          <w:sz w:val="18"/>
          <w:szCs w:val="18"/>
          <w:lang w:val="nl-NL"/>
        </w:rPr>
      </w:pPr>
      <w:r w:rsidRPr="002F02D7">
        <w:rPr>
          <w:rFonts w:ascii="Verdana" w:hAnsi="Verdana" w:cs="Arial"/>
          <w:sz w:val="18"/>
          <w:szCs w:val="18"/>
          <w:lang w:val="nl-NL"/>
        </w:rPr>
        <w:t>Artikel 7 vormt de basis voor de toerekening van voordelen aan het hoofdhuis en aan de vaste inr</w:t>
      </w:r>
      <w:r w:rsidRPr="002F02D7" w:rsidR="00A82CDD">
        <w:rPr>
          <w:rFonts w:ascii="Verdana" w:hAnsi="Verdana" w:cs="Arial"/>
          <w:sz w:val="18"/>
          <w:szCs w:val="18"/>
          <w:lang w:val="nl-NL"/>
        </w:rPr>
        <w:t>ichting(en) van een onderneming</w:t>
      </w:r>
      <w:r w:rsidRPr="002F02D7" w:rsidR="00CB2C99">
        <w:rPr>
          <w:rFonts w:ascii="Verdana" w:hAnsi="Verdana" w:cs="Arial"/>
          <w:sz w:val="18"/>
          <w:szCs w:val="18"/>
          <w:lang w:val="nl-NL"/>
        </w:rPr>
        <w:t xml:space="preserve"> van een van de V</w:t>
      </w:r>
      <w:r w:rsidRPr="002F02D7" w:rsidR="005B1B8B">
        <w:rPr>
          <w:rFonts w:ascii="Verdana" w:hAnsi="Verdana" w:cs="Arial"/>
          <w:sz w:val="18"/>
          <w:szCs w:val="18"/>
          <w:lang w:val="nl-NL"/>
        </w:rPr>
        <w:t>erdragsluitende Staten</w:t>
      </w:r>
      <w:r w:rsidRPr="002F02D7" w:rsidR="00A82CDD">
        <w:rPr>
          <w:rFonts w:ascii="Verdana" w:hAnsi="Verdana" w:cs="Arial"/>
          <w:sz w:val="18"/>
          <w:szCs w:val="18"/>
          <w:lang w:val="nl-NL"/>
        </w:rPr>
        <w:t xml:space="preserve">. Daarmee vormt het </w:t>
      </w:r>
      <w:r w:rsidRPr="002F02D7">
        <w:rPr>
          <w:rFonts w:ascii="Verdana" w:hAnsi="Verdana" w:cs="Arial"/>
          <w:sz w:val="18"/>
          <w:szCs w:val="18"/>
          <w:lang w:val="nl-NL"/>
        </w:rPr>
        <w:t xml:space="preserve">de grondslag voor de verdeling van </w:t>
      </w:r>
      <w:r w:rsidRPr="002F02D7" w:rsidR="005B1B8B">
        <w:rPr>
          <w:rFonts w:ascii="Verdana" w:hAnsi="Verdana" w:cs="Arial"/>
          <w:sz w:val="18"/>
          <w:szCs w:val="18"/>
          <w:lang w:val="nl-NL"/>
        </w:rPr>
        <w:t xml:space="preserve">de </w:t>
      </w:r>
      <w:r w:rsidRPr="002F02D7">
        <w:rPr>
          <w:rFonts w:ascii="Verdana" w:hAnsi="Verdana" w:cs="Arial"/>
          <w:sz w:val="18"/>
          <w:szCs w:val="18"/>
          <w:lang w:val="nl-NL"/>
        </w:rPr>
        <w:t xml:space="preserve">heffingsrechten </w:t>
      </w:r>
      <w:r w:rsidRPr="002F02D7" w:rsidR="005B1B8B">
        <w:rPr>
          <w:rFonts w:ascii="Verdana" w:hAnsi="Verdana" w:cs="Arial"/>
          <w:sz w:val="18"/>
          <w:szCs w:val="18"/>
          <w:lang w:val="nl-NL"/>
        </w:rPr>
        <w:t xml:space="preserve">over ondernemingswinsten </w:t>
      </w:r>
      <w:r w:rsidRPr="002F02D7">
        <w:rPr>
          <w:rFonts w:ascii="Verdana" w:hAnsi="Verdana" w:cs="Arial"/>
          <w:sz w:val="18"/>
          <w:szCs w:val="18"/>
          <w:lang w:val="nl-NL"/>
        </w:rPr>
        <w:t xml:space="preserve">tussen de </w:t>
      </w:r>
      <w:r w:rsidRPr="002F02D7" w:rsidR="00CB2C99">
        <w:rPr>
          <w:rFonts w:ascii="Verdana" w:hAnsi="Verdana" w:cs="Arial"/>
          <w:sz w:val="18"/>
          <w:szCs w:val="18"/>
          <w:lang w:val="nl-NL"/>
        </w:rPr>
        <w:t>V</w:t>
      </w:r>
      <w:r w:rsidRPr="002F02D7" w:rsidR="005B1B8B">
        <w:rPr>
          <w:rFonts w:ascii="Verdana" w:hAnsi="Verdana" w:cs="Arial"/>
          <w:sz w:val="18"/>
          <w:szCs w:val="18"/>
          <w:lang w:val="nl-NL"/>
        </w:rPr>
        <w:t xml:space="preserve">erdragsluitende </w:t>
      </w:r>
      <w:r w:rsidRPr="002F02D7">
        <w:rPr>
          <w:rFonts w:ascii="Verdana" w:hAnsi="Verdana" w:cs="Arial"/>
          <w:sz w:val="18"/>
          <w:szCs w:val="18"/>
          <w:lang w:val="nl-NL"/>
        </w:rPr>
        <w:t>Staten waar</w:t>
      </w:r>
      <w:r w:rsidRPr="002F02D7" w:rsidR="005B1B8B">
        <w:rPr>
          <w:rFonts w:ascii="Verdana" w:hAnsi="Verdana" w:cs="Arial"/>
          <w:sz w:val="18"/>
          <w:szCs w:val="18"/>
          <w:lang w:val="nl-NL"/>
        </w:rPr>
        <w:t>in</w:t>
      </w:r>
      <w:r w:rsidRPr="002F02D7">
        <w:rPr>
          <w:rFonts w:ascii="Verdana" w:hAnsi="Verdana" w:cs="Arial"/>
          <w:sz w:val="18"/>
          <w:szCs w:val="18"/>
          <w:lang w:val="nl-NL"/>
        </w:rPr>
        <w:t xml:space="preserve"> deze verschillende delen van een ondernem</w:t>
      </w:r>
      <w:r w:rsidRPr="002F02D7" w:rsidR="006573BF">
        <w:rPr>
          <w:rFonts w:ascii="Verdana" w:hAnsi="Verdana" w:cs="Arial"/>
          <w:sz w:val="18"/>
          <w:szCs w:val="18"/>
          <w:lang w:val="nl-NL"/>
        </w:rPr>
        <w:t xml:space="preserve">ing zijn gevestigd. Artikel 7, </w:t>
      </w:r>
      <w:r w:rsidRPr="002F02D7">
        <w:rPr>
          <w:rFonts w:ascii="Verdana" w:hAnsi="Verdana" w:cs="Arial"/>
          <w:sz w:val="18"/>
          <w:szCs w:val="18"/>
          <w:lang w:val="nl-NL"/>
        </w:rPr>
        <w:t>en het Commentaar daarop</w:t>
      </w:r>
      <w:r w:rsidRPr="002F02D7" w:rsidR="006573BF">
        <w:rPr>
          <w:rFonts w:ascii="Verdana" w:hAnsi="Verdana" w:cs="Arial"/>
          <w:sz w:val="18"/>
          <w:szCs w:val="18"/>
          <w:lang w:val="nl-NL"/>
        </w:rPr>
        <w:t xml:space="preserve">, </w:t>
      </w:r>
      <w:r w:rsidRPr="002F02D7" w:rsidR="00A82CDD">
        <w:rPr>
          <w:rFonts w:ascii="Verdana" w:hAnsi="Verdana" w:cs="Arial"/>
          <w:sz w:val="18"/>
          <w:szCs w:val="18"/>
          <w:lang w:val="nl-NL"/>
        </w:rPr>
        <w:t xml:space="preserve">van het </w:t>
      </w:r>
      <w:r w:rsidRPr="002F02D7" w:rsidR="00321A9B">
        <w:rPr>
          <w:rFonts w:ascii="Verdana" w:hAnsi="Verdana" w:cs="Arial"/>
          <w:sz w:val="18"/>
          <w:szCs w:val="18"/>
          <w:lang w:val="nl-NL"/>
        </w:rPr>
        <w:t>OESO-</w:t>
      </w:r>
      <w:r w:rsidRPr="002F02D7" w:rsidR="00B6717B">
        <w:rPr>
          <w:rFonts w:ascii="Verdana" w:hAnsi="Verdana" w:cs="Arial"/>
          <w:sz w:val="18"/>
          <w:szCs w:val="18"/>
          <w:lang w:val="nl-NL"/>
        </w:rPr>
        <w:t>m</w:t>
      </w:r>
      <w:r w:rsidRPr="002F02D7" w:rsidR="00C06878">
        <w:rPr>
          <w:rFonts w:ascii="Verdana" w:hAnsi="Verdana" w:cs="Arial"/>
          <w:sz w:val="18"/>
          <w:szCs w:val="18"/>
          <w:lang w:val="nl-NL"/>
        </w:rPr>
        <w:t>odelverdrag 2010</w:t>
      </w:r>
      <w:r w:rsidRPr="002F02D7">
        <w:rPr>
          <w:rFonts w:ascii="Verdana" w:hAnsi="Verdana" w:cs="Arial"/>
          <w:sz w:val="18"/>
          <w:szCs w:val="18"/>
          <w:lang w:val="nl-NL"/>
        </w:rPr>
        <w:t xml:space="preserve"> is gebaseerd op de conc</w:t>
      </w:r>
      <w:r w:rsidRPr="002F02D7" w:rsidR="009D353B">
        <w:rPr>
          <w:rFonts w:ascii="Verdana" w:hAnsi="Verdana" w:cs="Arial"/>
          <w:sz w:val="18"/>
          <w:szCs w:val="18"/>
          <w:lang w:val="nl-NL"/>
        </w:rPr>
        <w:t>lusies en aanbevelingen van het in 2008 verschenen</w:t>
      </w:r>
      <w:r w:rsidRPr="002F02D7">
        <w:rPr>
          <w:rFonts w:ascii="Verdana" w:hAnsi="Verdana" w:cs="Arial"/>
          <w:sz w:val="18"/>
          <w:szCs w:val="18"/>
          <w:lang w:val="nl-NL"/>
        </w:rPr>
        <w:t xml:space="preserve"> OESO-rapport “Attribution of Profits to Permanent Establishments”. Dit rapport heeft in het bijzonder geleid tot verduidelijkingen </w:t>
      </w:r>
      <w:r w:rsidRPr="002F02D7" w:rsidR="001F5C7F">
        <w:rPr>
          <w:rFonts w:ascii="Verdana" w:hAnsi="Verdana" w:cs="Arial"/>
          <w:sz w:val="18"/>
          <w:szCs w:val="18"/>
          <w:lang w:val="nl-NL"/>
        </w:rPr>
        <w:t>over de allocatie van activa en risico’s en de daarmee samenhangende allocatie van eigen en vreemd vermogen aan vaste inrichti</w:t>
      </w:r>
      <w:r w:rsidRPr="002F02D7" w:rsidR="00E710B4">
        <w:rPr>
          <w:rFonts w:ascii="Verdana" w:hAnsi="Verdana" w:cs="Arial"/>
          <w:sz w:val="18"/>
          <w:szCs w:val="18"/>
          <w:lang w:val="nl-NL"/>
        </w:rPr>
        <w:t>ngen</w:t>
      </w:r>
      <w:r w:rsidRPr="002F02D7" w:rsidR="001F5C7F">
        <w:rPr>
          <w:rFonts w:ascii="Verdana" w:hAnsi="Verdana" w:cs="Arial"/>
          <w:sz w:val="18"/>
          <w:szCs w:val="18"/>
          <w:lang w:val="nl-NL"/>
        </w:rPr>
        <w:t xml:space="preserve"> en vervolgens over de toedeling van baten en lasten en de toepassing daarbij </w:t>
      </w:r>
      <w:r w:rsidRPr="002F02D7">
        <w:rPr>
          <w:rFonts w:ascii="Verdana" w:hAnsi="Verdana" w:cs="Arial"/>
          <w:sz w:val="18"/>
          <w:szCs w:val="18"/>
          <w:lang w:val="nl-NL"/>
        </w:rPr>
        <w:t>van het ‘arm’s length’-beginsel</w:t>
      </w:r>
      <w:r w:rsidRPr="002F02D7" w:rsidR="001F5C7F">
        <w:rPr>
          <w:rFonts w:ascii="Verdana" w:hAnsi="Verdana" w:cs="Arial"/>
          <w:sz w:val="18"/>
          <w:szCs w:val="18"/>
          <w:lang w:val="nl-NL"/>
        </w:rPr>
        <w:t>.</w:t>
      </w:r>
      <w:r w:rsidRPr="002F02D7">
        <w:rPr>
          <w:rFonts w:ascii="Verdana" w:hAnsi="Verdana" w:cs="Arial"/>
          <w:sz w:val="18"/>
          <w:szCs w:val="18"/>
          <w:lang w:val="nl-NL"/>
        </w:rPr>
        <w:t xml:space="preserve"> </w:t>
      </w:r>
      <w:r w:rsidRPr="002F02D7" w:rsidR="00E710B4">
        <w:rPr>
          <w:rFonts w:ascii="Verdana" w:hAnsi="Verdana" w:cs="Arial"/>
          <w:sz w:val="18"/>
          <w:szCs w:val="18"/>
          <w:lang w:val="nl-NL"/>
        </w:rPr>
        <w:t>Door in het Verdrag artikel 7 te baseren op het overeenkomstige artikel 7 van het O</w:t>
      </w:r>
      <w:r w:rsidRPr="002F02D7" w:rsidR="00AC7718">
        <w:rPr>
          <w:rFonts w:ascii="Verdana" w:hAnsi="Verdana" w:cs="Arial"/>
          <w:sz w:val="18"/>
          <w:szCs w:val="18"/>
          <w:lang w:val="nl-NL"/>
        </w:rPr>
        <w:t>ESO</w:t>
      </w:r>
      <w:r w:rsidRPr="002F02D7" w:rsidR="00E710B4">
        <w:rPr>
          <w:rFonts w:ascii="Verdana" w:hAnsi="Verdana" w:cs="Arial"/>
          <w:sz w:val="18"/>
          <w:szCs w:val="18"/>
          <w:lang w:val="nl-NL"/>
        </w:rPr>
        <w:t>-modelverdrag 2010 wordt bereikt dat de wijzigingen die in het kader van het bovengenoemde rapport zijn aangebracht in het O</w:t>
      </w:r>
      <w:r w:rsidRPr="002F02D7" w:rsidR="00AC7718">
        <w:rPr>
          <w:rFonts w:ascii="Verdana" w:hAnsi="Verdana" w:cs="Arial"/>
          <w:sz w:val="18"/>
          <w:szCs w:val="18"/>
          <w:lang w:val="nl-NL"/>
        </w:rPr>
        <w:t>ESO</w:t>
      </w:r>
      <w:r w:rsidRPr="002F02D7" w:rsidR="00E710B4">
        <w:rPr>
          <w:rFonts w:ascii="Verdana" w:hAnsi="Verdana" w:cs="Arial"/>
          <w:sz w:val="18"/>
          <w:szCs w:val="18"/>
          <w:lang w:val="nl-NL"/>
        </w:rPr>
        <w:t>-modelverdrag en het daarbij behorende commentaar op dit punt ook doorwerken naar de toepassing van het tussen Nederland en het Verenigd Koninkrijk gesloten belastingverdrag. Deze duidelijkheid komt ook de uitvoeringspraktijk ten goede.</w:t>
      </w:r>
    </w:p>
    <w:p w:rsidRPr="002F02D7" w:rsidR="00E710B4" w:rsidP="00B0245E" w:rsidRDefault="00E710B4">
      <w:pPr>
        <w:spacing w:line="360" w:lineRule="auto"/>
        <w:rPr>
          <w:rFonts w:ascii="Verdana" w:hAnsi="Verdana" w:cs="Arial"/>
          <w:sz w:val="18"/>
          <w:szCs w:val="18"/>
          <w:lang w:val="nl-NL"/>
        </w:rPr>
      </w:pPr>
    </w:p>
    <w:p w:rsidRPr="002F02D7" w:rsidR="00A82CDD" w:rsidP="00B0245E" w:rsidRDefault="002722F2">
      <w:pPr>
        <w:spacing w:line="360" w:lineRule="auto"/>
        <w:rPr>
          <w:rFonts w:ascii="Verdana" w:hAnsi="Verdana" w:cs="Arial"/>
          <w:sz w:val="18"/>
          <w:szCs w:val="18"/>
          <w:lang w:val="nl-NL"/>
        </w:rPr>
      </w:pPr>
      <w:r w:rsidRPr="002F02D7">
        <w:rPr>
          <w:rFonts w:ascii="Verdana" w:hAnsi="Verdana" w:cs="Arial"/>
          <w:sz w:val="18"/>
          <w:szCs w:val="18"/>
          <w:lang w:val="nl-NL"/>
        </w:rPr>
        <w:t xml:space="preserve">In één opzicht wordt in het nieuwe artikel 7 </w:t>
      </w:r>
      <w:r w:rsidRPr="002F02D7" w:rsidR="00E710B4">
        <w:rPr>
          <w:rFonts w:ascii="Verdana" w:hAnsi="Verdana" w:cs="Arial"/>
          <w:sz w:val="18"/>
          <w:szCs w:val="18"/>
          <w:lang w:val="nl-NL"/>
        </w:rPr>
        <w:t xml:space="preserve">afgeweken </w:t>
      </w:r>
      <w:r w:rsidRPr="002F02D7">
        <w:rPr>
          <w:rFonts w:ascii="Verdana" w:hAnsi="Verdana" w:cs="Arial"/>
          <w:sz w:val="18"/>
          <w:szCs w:val="18"/>
          <w:lang w:val="nl-NL"/>
        </w:rPr>
        <w:t xml:space="preserve">van de tekst van </w:t>
      </w:r>
      <w:r w:rsidRPr="002F02D7" w:rsidR="00E710B4">
        <w:rPr>
          <w:rFonts w:ascii="Verdana" w:hAnsi="Verdana" w:cs="Arial"/>
          <w:sz w:val="18"/>
          <w:szCs w:val="18"/>
          <w:lang w:val="nl-NL"/>
        </w:rPr>
        <w:t xml:space="preserve">artikel 7 van </w:t>
      </w:r>
      <w:r w:rsidRPr="002F02D7">
        <w:rPr>
          <w:rFonts w:ascii="Verdana" w:hAnsi="Verdana" w:cs="Arial"/>
          <w:sz w:val="18"/>
          <w:szCs w:val="18"/>
          <w:lang w:val="nl-NL"/>
        </w:rPr>
        <w:t>het OESO-</w:t>
      </w:r>
      <w:r w:rsidRPr="002F02D7" w:rsidR="00B6717B">
        <w:rPr>
          <w:rFonts w:ascii="Verdana" w:hAnsi="Verdana" w:cs="Arial"/>
          <w:sz w:val="18"/>
          <w:szCs w:val="18"/>
          <w:lang w:val="nl-NL"/>
        </w:rPr>
        <w:t>m</w:t>
      </w:r>
      <w:r w:rsidRPr="002F02D7">
        <w:rPr>
          <w:rFonts w:ascii="Verdana" w:hAnsi="Verdana" w:cs="Arial"/>
          <w:sz w:val="18"/>
          <w:szCs w:val="18"/>
          <w:lang w:val="nl-NL"/>
        </w:rPr>
        <w:t>odelverdrag</w:t>
      </w:r>
      <w:r w:rsidRPr="002F02D7" w:rsidR="00C06878">
        <w:rPr>
          <w:rFonts w:ascii="Verdana" w:hAnsi="Verdana" w:cs="Arial"/>
          <w:sz w:val="18"/>
          <w:szCs w:val="18"/>
          <w:lang w:val="nl-NL"/>
        </w:rPr>
        <w:t>. Dit is het geval voor de</w:t>
      </w:r>
      <w:r w:rsidRPr="002F02D7">
        <w:rPr>
          <w:rFonts w:ascii="Verdana" w:hAnsi="Verdana" w:cs="Arial"/>
          <w:sz w:val="18"/>
          <w:szCs w:val="18"/>
          <w:lang w:val="nl-NL"/>
        </w:rPr>
        <w:t xml:space="preserve"> wijze waarop met een door de ene </w:t>
      </w:r>
      <w:r w:rsidRPr="002F02D7" w:rsidR="00CB2C99">
        <w:rPr>
          <w:rFonts w:ascii="Verdana" w:hAnsi="Verdana" w:cs="Arial"/>
          <w:sz w:val="18"/>
          <w:szCs w:val="18"/>
          <w:lang w:val="nl-NL"/>
        </w:rPr>
        <w:t>V</w:t>
      </w:r>
      <w:r w:rsidRPr="002F02D7" w:rsidR="00E710B4">
        <w:rPr>
          <w:rFonts w:ascii="Verdana" w:hAnsi="Verdana" w:cs="Arial"/>
          <w:sz w:val="18"/>
          <w:szCs w:val="18"/>
          <w:lang w:val="nl-NL"/>
        </w:rPr>
        <w:t xml:space="preserve">erdragsluitende </w:t>
      </w:r>
      <w:r w:rsidRPr="002F02D7">
        <w:rPr>
          <w:rFonts w:ascii="Verdana" w:hAnsi="Verdana" w:cs="Arial"/>
          <w:sz w:val="18"/>
          <w:szCs w:val="18"/>
          <w:lang w:val="nl-NL"/>
        </w:rPr>
        <w:t xml:space="preserve">Staat aangebrachte winstcorrectie wordt omgegaan door de andere </w:t>
      </w:r>
      <w:r w:rsidRPr="002F02D7" w:rsidR="00CB2C99">
        <w:rPr>
          <w:rFonts w:ascii="Verdana" w:hAnsi="Verdana" w:cs="Arial"/>
          <w:sz w:val="18"/>
          <w:szCs w:val="18"/>
          <w:lang w:val="nl-NL"/>
        </w:rPr>
        <w:t>V</w:t>
      </w:r>
      <w:r w:rsidRPr="002F02D7" w:rsidR="00E710B4">
        <w:rPr>
          <w:rFonts w:ascii="Verdana" w:hAnsi="Verdana" w:cs="Arial"/>
          <w:sz w:val="18"/>
          <w:szCs w:val="18"/>
          <w:lang w:val="nl-NL"/>
        </w:rPr>
        <w:t xml:space="preserve">erdragsluitende </w:t>
      </w:r>
      <w:r w:rsidRPr="002F02D7">
        <w:rPr>
          <w:rFonts w:ascii="Verdana" w:hAnsi="Verdana" w:cs="Arial"/>
          <w:sz w:val="18"/>
          <w:szCs w:val="18"/>
          <w:lang w:val="nl-NL"/>
        </w:rPr>
        <w:t xml:space="preserve">Staat. </w:t>
      </w:r>
    </w:p>
    <w:p w:rsidRPr="002F02D7" w:rsidR="002722F2" w:rsidP="00B0245E" w:rsidRDefault="002722F2">
      <w:pPr>
        <w:spacing w:line="360" w:lineRule="auto"/>
        <w:rPr>
          <w:rFonts w:ascii="Verdana" w:hAnsi="Verdana" w:cs="Arial"/>
          <w:sz w:val="18"/>
          <w:szCs w:val="18"/>
          <w:lang w:val="nl-NL"/>
        </w:rPr>
      </w:pPr>
      <w:r w:rsidRPr="002F02D7">
        <w:rPr>
          <w:rFonts w:ascii="Verdana" w:hAnsi="Verdana" w:cs="Arial"/>
          <w:sz w:val="18"/>
          <w:szCs w:val="18"/>
          <w:lang w:val="nl-NL"/>
        </w:rPr>
        <w:t>In</w:t>
      </w:r>
      <w:r w:rsidRPr="002F02D7" w:rsidR="00A82CDD">
        <w:rPr>
          <w:rFonts w:ascii="Verdana" w:hAnsi="Verdana" w:cs="Arial"/>
          <w:sz w:val="18"/>
          <w:szCs w:val="18"/>
          <w:lang w:val="nl-NL"/>
        </w:rPr>
        <w:t xml:space="preserve"> het </w:t>
      </w:r>
      <w:r w:rsidRPr="002F02D7" w:rsidR="00E710B4">
        <w:rPr>
          <w:rFonts w:ascii="Verdana" w:hAnsi="Verdana" w:cs="Arial"/>
          <w:sz w:val="18"/>
          <w:szCs w:val="18"/>
          <w:lang w:val="nl-NL"/>
        </w:rPr>
        <w:t xml:space="preserve">nieuwe </w:t>
      </w:r>
      <w:r w:rsidRPr="002F02D7">
        <w:rPr>
          <w:rFonts w:ascii="Verdana" w:hAnsi="Verdana" w:cs="Arial"/>
          <w:sz w:val="18"/>
          <w:szCs w:val="18"/>
          <w:lang w:val="nl-NL"/>
        </w:rPr>
        <w:t xml:space="preserve">artikel 7, derde lid, is </w:t>
      </w:r>
      <w:r w:rsidRPr="002F02D7" w:rsidR="00B152E2">
        <w:rPr>
          <w:rFonts w:ascii="Verdana" w:hAnsi="Verdana" w:cs="Arial"/>
          <w:sz w:val="18"/>
          <w:szCs w:val="18"/>
          <w:lang w:val="nl-NL"/>
        </w:rPr>
        <w:t xml:space="preserve">namelijk </w:t>
      </w:r>
      <w:r w:rsidRPr="002F02D7">
        <w:rPr>
          <w:rFonts w:ascii="Verdana" w:hAnsi="Verdana" w:cs="Arial"/>
          <w:sz w:val="18"/>
          <w:szCs w:val="18"/>
          <w:lang w:val="nl-NL"/>
        </w:rPr>
        <w:t>gekozen voor de alternatieve bepaling, zoals die in het commentaar (paragraaf</w:t>
      </w:r>
      <w:r w:rsidRPr="002F02D7" w:rsidR="00321A9B">
        <w:rPr>
          <w:rFonts w:ascii="Verdana" w:hAnsi="Verdana" w:cs="Arial"/>
          <w:sz w:val="18"/>
          <w:szCs w:val="18"/>
          <w:lang w:val="nl-NL"/>
        </w:rPr>
        <w:t xml:space="preserve"> 68) op artikel 7 van het OESO-</w:t>
      </w:r>
      <w:r w:rsidRPr="002F02D7" w:rsidR="00B6717B">
        <w:rPr>
          <w:rFonts w:ascii="Verdana" w:hAnsi="Verdana" w:cs="Arial"/>
          <w:sz w:val="18"/>
          <w:szCs w:val="18"/>
          <w:lang w:val="nl-NL"/>
        </w:rPr>
        <w:t>m</w:t>
      </w:r>
      <w:r w:rsidRPr="002F02D7">
        <w:rPr>
          <w:rFonts w:ascii="Verdana" w:hAnsi="Verdana" w:cs="Arial"/>
          <w:sz w:val="18"/>
          <w:szCs w:val="18"/>
          <w:lang w:val="nl-NL"/>
        </w:rPr>
        <w:t xml:space="preserve">odelverdrag is opgenomen. Daarin wordt benadrukt dat </w:t>
      </w:r>
      <w:r w:rsidRPr="002F02D7" w:rsidR="001375FB">
        <w:rPr>
          <w:rFonts w:ascii="Verdana" w:hAnsi="Verdana" w:cs="Arial"/>
          <w:sz w:val="18"/>
          <w:szCs w:val="18"/>
          <w:lang w:val="nl-NL"/>
        </w:rPr>
        <w:t xml:space="preserve">als een </w:t>
      </w:r>
      <w:r w:rsidRPr="002F02D7" w:rsidR="00CB2C99">
        <w:rPr>
          <w:rFonts w:ascii="Verdana" w:hAnsi="Verdana" w:cs="Arial"/>
          <w:sz w:val="18"/>
          <w:szCs w:val="18"/>
          <w:lang w:val="nl-NL"/>
        </w:rPr>
        <w:t>V</w:t>
      </w:r>
      <w:r w:rsidRPr="002F02D7" w:rsidR="001375FB">
        <w:rPr>
          <w:rFonts w:ascii="Verdana" w:hAnsi="Verdana" w:cs="Arial"/>
          <w:sz w:val="18"/>
          <w:szCs w:val="18"/>
          <w:lang w:val="nl-NL"/>
        </w:rPr>
        <w:t xml:space="preserve">erdragsluitende </w:t>
      </w:r>
      <w:r w:rsidRPr="002F02D7">
        <w:rPr>
          <w:rFonts w:ascii="Verdana" w:hAnsi="Verdana" w:cs="Arial"/>
          <w:sz w:val="18"/>
          <w:szCs w:val="18"/>
          <w:lang w:val="nl-NL"/>
        </w:rPr>
        <w:t xml:space="preserve">Staat </w:t>
      </w:r>
      <w:r w:rsidRPr="002F02D7" w:rsidR="001375FB">
        <w:rPr>
          <w:rFonts w:ascii="Verdana" w:hAnsi="Verdana" w:cs="Arial"/>
          <w:sz w:val="18"/>
          <w:szCs w:val="18"/>
          <w:lang w:val="nl-NL"/>
        </w:rPr>
        <w:t>een winst</w:t>
      </w:r>
      <w:r w:rsidRPr="002F02D7" w:rsidR="00CB2C99">
        <w:rPr>
          <w:rFonts w:ascii="Verdana" w:hAnsi="Verdana" w:cs="Arial"/>
          <w:sz w:val="18"/>
          <w:szCs w:val="18"/>
          <w:lang w:val="nl-NL"/>
        </w:rPr>
        <w:t>correctie aanbrengt, de andere V</w:t>
      </w:r>
      <w:r w:rsidRPr="002F02D7" w:rsidR="001375FB">
        <w:rPr>
          <w:rFonts w:ascii="Verdana" w:hAnsi="Verdana" w:cs="Arial"/>
          <w:sz w:val="18"/>
          <w:szCs w:val="18"/>
          <w:lang w:val="nl-NL"/>
        </w:rPr>
        <w:t xml:space="preserve">erdragsluitende Staat </w:t>
      </w:r>
      <w:r w:rsidRPr="002F02D7">
        <w:rPr>
          <w:rFonts w:ascii="Verdana" w:hAnsi="Verdana" w:cs="Arial"/>
          <w:sz w:val="18"/>
          <w:szCs w:val="18"/>
          <w:lang w:val="nl-NL"/>
        </w:rPr>
        <w:t xml:space="preserve">niet automatisch een overeenkomstige correctie hoeft aan te brengen, maar slechts voor zover zij instemt met de door de </w:t>
      </w:r>
      <w:r w:rsidRPr="002F02D7" w:rsidR="001375FB">
        <w:rPr>
          <w:rFonts w:ascii="Verdana" w:hAnsi="Verdana" w:cs="Arial"/>
          <w:sz w:val="18"/>
          <w:szCs w:val="18"/>
          <w:lang w:val="nl-NL"/>
        </w:rPr>
        <w:t>eerstbedoelde</w:t>
      </w:r>
      <w:r w:rsidRPr="002F02D7">
        <w:rPr>
          <w:rFonts w:ascii="Verdana" w:hAnsi="Verdana" w:cs="Arial"/>
          <w:sz w:val="18"/>
          <w:szCs w:val="18"/>
          <w:lang w:val="nl-NL"/>
        </w:rPr>
        <w:t xml:space="preserve"> Staat aangebrachte winstcorrectie. Daarmee wordt ruimte ingebouwd voor onderling overleg tussen de </w:t>
      </w:r>
      <w:r w:rsidRPr="002F02D7" w:rsidR="00CB2C99">
        <w:rPr>
          <w:rFonts w:ascii="Verdana" w:hAnsi="Verdana" w:cs="Arial"/>
          <w:sz w:val="18"/>
          <w:szCs w:val="18"/>
          <w:lang w:val="nl-NL"/>
        </w:rPr>
        <w:t>V</w:t>
      </w:r>
      <w:r w:rsidRPr="002F02D7" w:rsidR="001375FB">
        <w:rPr>
          <w:rFonts w:ascii="Verdana" w:hAnsi="Verdana" w:cs="Arial"/>
          <w:sz w:val="18"/>
          <w:szCs w:val="18"/>
          <w:lang w:val="nl-NL"/>
        </w:rPr>
        <w:t xml:space="preserve">erdragsluitende </w:t>
      </w:r>
      <w:r w:rsidRPr="002F02D7">
        <w:rPr>
          <w:rFonts w:ascii="Verdana" w:hAnsi="Verdana" w:cs="Arial"/>
          <w:sz w:val="18"/>
          <w:szCs w:val="18"/>
          <w:lang w:val="nl-NL"/>
        </w:rPr>
        <w:t xml:space="preserve">Staten over de gehanteerde verrekenprijzen en de toe te passen verrekenprijsmethode. </w:t>
      </w:r>
      <w:r w:rsidRPr="002F02D7" w:rsidR="00C06878">
        <w:rPr>
          <w:rFonts w:ascii="Verdana" w:hAnsi="Verdana" w:cs="Arial"/>
          <w:sz w:val="18"/>
          <w:szCs w:val="18"/>
          <w:lang w:val="nl-NL"/>
        </w:rPr>
        <w:t xml:space="preserve">Dit overleg kent een resultaatverplichting, die behelst dat het onderlinge overleg dient te </w:t>
      </w:r>
      <w:r w:rsidRPr="002F02D7" w:rsidR="00B6717B">
        <w:rPr>
          <w:rFonts w:ascii="Verdana" w:hAnsi="Verdana" w:cs="Arial"/>
          <w:sz w:val="18"/>
          <w:szCs w:val="18"/>
          <w:lang w:val="nl-NL"/>
        </w:rPr>
        <w:t xml:space="preserve">resulteren in de </w:t>
      </w:r>
      <w:r w:rsidRPr="002F02D7" w:rsidR="00C06878">
        <w:rPr>
          <w:rFonts w:ascii="Verdana" w:hAnsi="Verdana" w:cs="Arial"/>
          <w:sz w:val="18"/>
          <w:szCs w:val="18"/>
          <w:lang w:val="nl-NL"/>
        </w:rPr>
        <w:t>elimin</w:t>
      </w:r>
      <w:r w:rsidRPr="002F02D7" w:rsidR="00B6717B">
        <w:rPr>
          <w:rFonts w:ascii="Verdana" w:hAnsi="Verdana" w:cs="Arial"/>
          <w:sz w:val="18"/>
          <w:szCs w:val="18"/>
          <w:lang w:val="nl-NL"/>
        </w:rPr>
        <w:t>atie van de dubbele belasting</w:t>
      </w:r>
      <w:r w:rsidRPr="002F02D7" w:rsidR="00C06878">
        <w:rPr>
          <w:rFonts w:ascii="Verdana" w:hAnsi="Verdana" w:cs="Arial"/>
          <w:sz w:val="18"/>
          <w:szCs w:val="18"/>
          <w:lang w:val="nl-NL"/>
        </w:rPr>
        <w:t>.</w:t>
      </w:r>
      <w:r w:rsidRPr="002F02D7" w:rsidR="00AC7718">
        <w:rPr>
          <w:rFonts w:ascii="Verdana" w:hAnsi="Verdana" w:cs="Arial"/>
          <w:sz w:val="18"/>
          <w:szCs w:val="18"/>
          <w:lang w:val="nl-NL"/>
        </w:rPr>
        <w:t xml:space="preserve"> </w:t>
      </w:r>
      <w:r w:rsidRPr="002F02D7" w:rsidR="006A0D10">
        <w:rPr>
          <w:rFonts w:ascii="Verdana" w:hAnsi="Verdana" w:cs="Arial"/>
          <w:sz w:val="18"/>
          <w:szCs w:val="18"/>
          <w:lang w:val="nl-NL"/>
        </w:rPr>
        <w:t>Voorts kan nog worden gewezen op de in artikel 25, vijfde lid, van het Verdrag opgenomen arbitrageregeling.</w:t>
      </w:r>
    </w:p>
    <w:p w:rsidRPr="002F02D7" w:rsidR="002722F2" w:rsidP="002722F2" w:rsidRDefault="002722F2">
      <w:pPr>
        <w:spacing w:line="360" w:lineRule="auto"/>
        <w:rPr>
          <w:rFonts w:ascii="Verdana" w:hAnsi="Verdana" w:cs="Arial"/>
          <w:sz w:val="18"/>
          <w:szCs w:val="18"/>
          <w:lang w:val="nl-NL"/>
        </w:rPr>
      </w:pPr>
    </w:p>
    <w:p w:rsidRPr="002F02D7" w:rsidR="002722F2" w:rsidP="002722F2" w:rsidRDefault="008A4139">
      <w:pPr>
        <w:pStyle w:val="BodyText"/>
        <w:rPr>
          <w:rFonts w:ascii="Verdana" w:hAnsi="Verdana" w:cs="Arial" w:eastAsiaTheme="minorHAnsi"/>
          <w:sz w:val="18"/>
          <w:szCs w:val="18"/>
        </w:rPr>
      </w:pPr>
      <w:r w:rsidRPr="002F02D7">
        <w:rPr>
          <w:rFonts w:ascii="Verdana" w:hAnsi="Verdana" w:cs="Arial"/>
          <w:sz w:val="18"/>
          <w:szCs w:val="18"/>
          <w:u w:val="single"/>
        </w:rPr>
        <w:t>Artikel II (</w:t>
      </w:r>
      <w:r w:rsidRPr="002F02D7" w:rsidR="002722F2">
        <w:rPr>
          <w:rFonts w:ascii="Verdana" w:hAnsi="Verdana" w:cs="Arial"/>
          <w:sz w:val="18"/>
          <w:szCs w:val="18"/>
          <w:u w:val="single"/>
        </w:rPr>
        <w:t>Overheidsfuncties</w:t>
      </w:r>
      <w:r w:rsidRPr="002F02D7">
        <w:rPr>
          <w:rFonts w:ascii="Verdana" w:hAnsi="Verdana" w:cs="Arial"/>
          <w:sz w:val="18"/>
          <w:szCs w:val="18"/>
          <w:u w:val="single"/>
        </w:rPr>
        <w:t>)</w:t>
      </w:r>
      <w:r w:rsidRPr="002F02D7" w:rsidR="002722F2">
        <w:rPr>
          <w:rFonts w:ascii="Verdana" w:hAnsi="Verdana" w:cs="Arial"/>
          <w:sz w:val="18"/>
          <w:szCs w:val="18"/>
        </w:rPr>
        <w:t xml:space="preserve"> </w:t>
      </w:r>
    </w:p>
    <w:p w:rsidRPr="002F02D7" w:rsidR="002722F2" w:rsidP="00B0245E" w:rsidRDefault="002722F2">
      <w:pPr>
        <w:spacing w:line="360" w:lineRule="auto"/>
        <w:rPr>
          <w:rFonts w:ascii="Verdana" w:hAnsi="Verdana" w:cs="Arial"/>
          <w:sz w:val="18"/>
          <w:szCs w:val="18"/>
        </w:rPr>
      </w:pPr>
      <w:r w:rsidRPr="002F02D7">
        <w:rPr>
          <w:rFonts w:ascii="Verdana" w:hAnsi="Verdana" w:cs="Arial"/>
          <w:sz w:val="18"/>
          <w:szCs w:val="18"/>
        </w:rPr>
        <w:t xml:space="preserve">Artikel 18 van het Verdrag regelt de toewijzing van het heffingsrecht over alle inkomsten die worden ontvangen door een natuurlijke persoon vanwege werkzaamheden die voor de overheid zijn verricht. Volgens het eerste lid </w:t>
      </w:r>
      <w:r w:rsidRPr="002F02D7" w:rsidR="00CB2C99">
        <w:rPr>
          <w:rFonts w:ascii="Verdana" w:hAnsi="Verdana" w:cs="Arial"/>
          <w:sz w:val="18"/>
          <w:szCs w:val="18"/>
        </w:rPr>
        <w:t xml:space="preserve">van artikel 18 </w:t>
      </w:r>
      <w:r w:rsidRPr="002F02D7">
        <w:rPr>
          <w:rFonts w:ascii="Verdana" w:hAnsi="Verdana" w:cs="Arial"/>
          <w:sz w:val="18"/>
          <w:szCs w:val="18"/>
        </w:rPr>
        <w:t xml:space="preserve">mogen deze inkomsten worden belast in de Verdragsluitende Staat die deze beloningen betaalt (de zogenoemde kasstaat). Op deze regel </w:t>
      </w:r>
      <w:r w:rsidRPr="002F02D7">
        <w:rPr>
          <w:rFonts w:ascii="Verdana" w:hAnsi="Verdana" w:cs="Arial"/>
          <w:sz w:val="18"/>
          <w:szCs w:val="18"/>
        </w:rPr>
        <w:lastRenderedPageBreak/>
        <w:t xml:space="preserve">bestaat een uitzondering die tevens in het eerste lid is opgenomen. De </w:t>
      </w:r>
      <w:r w:rsidRPr="002F02D7" w:rsidR="00CB2C99">
        <w:rPr>
          <w:rFonts w:ascii="Verdana" w:hAnsi="Verdana" w:cs="Arial"/>
          <w:sz w:val="18"/>
          <w:szCs w:val="18"/>
        </w:rPr>
        <w:t xml:space="preserve">Verdragsluitende Staat waarin de werkzaamheden worden verricht (de </w:t>
      </w:r>
      <w:r w:rsidRPr="002F02D7">
        <w:rPr>
          <w:rFonts w:ascii="Verdana" w:hAnsi="Verdana" w:cs="Arial"/>
          <w:sz w:val="18"/>
          <w:szCs w:val="18"/>
        </w:rPr>
        <w:t>werkstaat</w:t>
      </w:r>
      <w:r w:rsidRPr="002F02D7" w:rsidR="00CB2C99">
        <w:rPr>
          <w:rFonts w:ascii="Verdana" w:hAnsi="Verdana" w:cs="Arial"/>
          <w:sz w:val="18"/>
          <w:szCs w:val="18"/>
        </w:rPr>
        <w:t>)</w:t>
      </w:r>
      <w:r w:rsidRPr="002F02D7">
        <w:rPr>
          <w:rFonts w:ascii="Verdana" w:hAnsi="Verdana" w:cs="Arial"/>
          <w:sz w:val="18"/>
          <w:szCs w:val="18"/>
        </w:rPr>
        <w:t xml:space="preserve"> heeft het heffingsrecht indien de werk</w:t>
      </w:r>
      <w:r w:rsidRPr="002F02D7">
        <w:rPr>
          <w:rFonts w:ascii="Verdana" w:hAnsi="Verdana" w:cs="Arial"/>
          <w:sz w:val="18"/>
          <w:szCs w:val="18"/>
        </w:rPr>
        <w:softHyphen/>
        <w:t>nemer inwoner is van de werkstaat en tevens de nationaliteit heeft van die Staat of niet alleen in</w:t>
      </w:r>
      <w:r w:rsidRPr="002F02D7">
        <w:rPr>
          <w:rFonts w:ascii="Verdana" w:hAnsi="Verdana" w:cs="Arial"/>
          <w:sz w:val="18"/>
          <w:szCs w:val="18"/>
        </w:rPr>
        <w:softHyphen/>
        <w:t xml:space="preserve">woner van die Staat is geworden om aldaar werk te verrichten voor de andere Staat. Deze uitzondering heeft als achtergrond lokale medewerkers van een ambassade in hun woonland belastingplichtig te laten zijn. De wijziging in artikel 18 ziet op deze uitzondering. Als extra voorwaarde voor het toepassen van de uitzondering geldt </w:t>
      </w:r>
      <w:r w:rsidRPr="002F02D7" w:rsidR="00265205">
        <w:rPr>
          <w:rFonts w:ascii="Verdana" w:hAnsi="Verdana" w:cs="Arial"/>
          <w:sz w:val="18"/>
          <w:szCs w:val="18"/>
        </w:rPr>
        <w:t xml:space="preserve">op basis van </w:t>
      </w:r>
      <w:r w:rsidRPr="002F02D7" w:rsidR="00CB2C99">
        <w:rPr>
          <w:rFonts w:ascii="Verdana" w:hAnsi="Verdana" w:cs="Arial"/>
          <w:sz w:val="18"/>
          <w:szCs w:val="18"/>
        </w:rPr>
        <w:t xml:space="preserve">de met </w:t>
      </w:r>
      <w:r w:rsidRPr="002F02D7" w:rsidR="00265205">
        <w:rPr>
          <w:rFonts w:ascii="Verdana" w:hAnsi="Verdana" w:cs="Arial"/>
          <w:sz w:val="18"/>
          <w:szCs w:val="18"/>
        </w:rPr>
        <w:t xml:space="preserve">het </w:t>
      </w:r>
      <w:r w:rsidRPr="002F02D7" w:rsidR="00AC7718">
        <w:rPr>
          <w:rFonts w:ascii="Verdana" w:hAnsi="Verdana" w:cs="Arial"/>
          <w:sz w:val="18"/>
          <w:szCs w:val="18"/>
        </w:rPr>
        <w:t>Protocol</w:t>
      </w:r>
      <w:r w:rsidRPr="002F02D7" w:rsidR="00265205">
        <w:rPr>
          <w:rFonts w:ascii="Verdana" w:hAnsi="Verdana" w:cs="Arial"/>
          <w:sz w:val="18"/>
          <w:szCs w:val="18"/>
        </w:rPr>
        <w:t xml:space="preserve"> </w:t>
      </w:r>
      <w:r w:rsidRPr="002F02D7" w:rsidR="00CB2C99">
        <w:rPr>
          <w:rFonts w:ascii="Verdana" w:hAnsi="Verdana" w:cs="Arial"/>
          <w:sz w:val="18"/>
          <w:szCs w:val="18"/>
        </w:rPr>
        <w:t xml:space="preserve">aangebrachte wijziging </w:t>
      </w:r>
      <w:r w:rsidRPr="002F02D7">
        <w:rPr>
          <w:rFonts w:ascii="Verdana" w:hAnsi="Verdana" w:cs="Arial"/>
          <w:sz w:val="18"/>
          <w:szCs w:val="18"/>
        </w:rPr>
        <w:t xml:space="preserve">dat de betreffende werknemer </w:t>
      </w:r>
      <w:r w:rsidRPr="002F02D7" w:rsidR="00CB2C99">
        <w:rPr>
          <w:rFonts w:ascii="Verdana" w:hAnsi="Verdana" w:cs="Arial"/>
          <w:sz w:val="18"/>
          <w:szCs w:val="18"/>
        </w:rPr>
        <w:t xml:space="preserve">in de werkstaat </w:t>
      </w:r>
      <w:r w:rsidRPr="002F02D7">
        <w:rPr>
          <w:rFonts w:ascii="Verdana" w:hAnsi="Verdana" w:cs="Arial"/>
          <w:sz w:val="18"/>
          <w:szCs w:val="18"/>
        </w:rPr>
        <w:t>onderworpen moet zijn aan belasting</w:t>
      </w:r>
      <w:r w:rsidRPr="002F02D7" w:rsidR="00CB2C99">
        <w:rPr>
          <w:rFonts w:ascii="Verdana" w:hAnsi="Verdana" w:cs="Arial"/>
          <w:sz w:val="18"/>
          <w:szCs w:val="18"/>
        </w:rPr>
        <w:t>heffing</w:t>
      </w:r>
      <w:r w:rsidRPr="002F02D7">
        <w:rPr>
          <w:rFonts w:ascii="Verdana" w:hAnsi="Verdana" w:cs="Arial"/>
          <w:sz w:val="18"/>
          <w:szCs w:val="18"/>
        </w:rPr>
        <w:t xml:space="preserve"> over de inkomsten </w:t>
      </w:r>
      <w:r w:rsidRPr="002F02D7" w:rsidR="00CB2C99">
        <w:rPr>
          <w:rFonts w:ascii="Verdana" w:hAnsi="Verdana" w:cs="Arial"/>
          <w:sz w:val="18"/>
          <w:szCs w:val="18"/>
        </w:rPr>
        <w:t xml:space="preserve">die het </w:t>
      </w:r>
      <w:r w:rsidRPr="002F02D7">
        <w:rPr>
          <w:rFonts w:ascii="Verdana" w:hAnsi="Verdana" w:cs="Arial"/>
          <w:sz w:val="18"/>
          <w:szCs w:val="18"/>
        </w:rPr>
        <w:t xml:space="preserve">vanwege </w:t>
      </w:r>
      <w:r w:rsidRPr="002F02D7" w:rsidR="00CB2C99">
        <w:rPr>
          <w:rFonts w:ascii="Verdana" w:hAnsi="Verdana" w:cs="Arial"/>
          <w:sz w:val="18"/>
          <w:szCs w:val="18"/>
        </w:rPr>
        <w:t xml:space="preserve">de </w:t>
      </w:r>
      <w:r w:rsidRPr="002F02D7">
        <w:rPr>
          <w:rFonts w:ascii="Verdana" w:hAnsi="Verdana" w:cs="Arial"/>
          <w:sz w:val="18"/>
          <w:szCs w:val="18"/>
        </w:rPr>
        <w:t xml:space="preserve">werkzaamheden voor de overheid </w:t>
      </w:r>
      <w:r w:rsidRPr="002F02D7" w:rsidR="00CB2C99">
        <w:rPr>
          <w:rFonts w:ascii="Verdana" w:hAnsi="Verdana" w:cs="Arial"/>
          <w:sz w:val="18"/>
          <w:szCs w:val="18"/>
        </w:rPr>
        <w:t xml:space="preserve">van de andere </w:t>
      </w:r>
      <w:r w:rsidRPr="002F02D7" w:rsidR="00F07853">
        <w:rPr>
          <w:rFonts w:ascii="Verdana" w:hAnsi="Verdana" w:cs="Arial"/>
          <w:sz w:val="18"/>
          <w:szCs w:val="18"/>
        </w:rPr>
        <w:t>S</w:t>
      </w:r>
      <w:r w:rsidRPr="002F02D7" w:rsidR="00CB2C99">
        <w:rPr>
          <w:rFonts w:ascii="Verdana" w:hAnsi="Verdana" w:cs="Arial"/>
          <w:sz w:val="18"/>
          <w:szCs w:val="18"/>
        </w:rPr>
        <w:t>taat ontvangt</w:t>
      </w:r>
      <w:r w:rsidRPr="002F02D7">
        <w:rPr>
          <w:rFonts w:ascii="Verdana" w:hAnsi="Verdana" w:cs="Arial"/>
          <w:sz w:val="18"/>
          <w:szCs w:val="18"/>
        </w:rPr>
        <w:t>. De achterg</w:t>
      </w:r>
      <w:r w:rsidRPr="002F02D7" w:rsidR="006573BF">
        <w:rPr>
          <w:rFonts w:ascii="Verdana" w:hAnsi="Verdana" w:cs="Arial"/>
          <w:sz w:val="18"/>
          <w:szCs w:val="18"/>
        </w:rPr>
        <w:t>rond van deze wijziging is dat </w:t>
      </w:r>
      <w:r w:rsidRPr="002F02D7">
        <w:rPr>
          <w:rFonts w:ascii="Verdana" w:hAnsi="Verdana" w:cs="Arial"/>
          <w:sz w:val="18"/>
          <w:szCs w:val="18"/>
        </w:rPr>
        <w:t>het Verenigd Koninkrijk lokale medewerkers die niet de Britse, Ierse of nationaliteit</w:t>
      </w:r>
      <w:r w:rsidRPr="002F02D7" w:rsidR="00265205">
        <w:rPr>
          <w:rFonts w:ascii="Verdana" w:hAnsi="Verdana" w:cs="Arial"/>
          <w:sz w:val="18"/>
          <w:szCs w:val="18"/>
        </w:rPr>
        <w:t xml:space="preserve"> van één van de staten van</w:t>
      </w:r>
      <w:r w:rsidRPr="002F02D7">
        <w:rPr>
          <w:rFonts w:ascii="Verdana" w:hAnsi="Verdana" w:cs="Arial"/>
          <w:sz w:val="18"/>
          <w:szCs w:val="18"/>
        </w:rPr>
        <w:t xml:space="preserve"> het Gemenebest van Naties hebben</w:t>
      </w:r>
      <w:r w:rsidRPr="002F02D7" w:rsidR="00265205">
        <w:rPr>
          <w:rFonts w:ascii="Verdana" w:hAnsi="Verdana" w:cs="Arial"/>
          <w:sz w:val="18"/>
          <w:szCs w:val="18"/>
        </w:rPr>
        <w:t xml:space="preserve"> en</w:t>
      </w:r>
      <w:r w:rsidRPr="002F02D7">
        <w:rPr>
          <w:rFonts w:ascii="Verdana" w:hAnsi="Verdana" w:cs="Arial"/>
          <w:sz w:val="18"/>
          <w:szCs w:val="18"/>
        </w:rPr>
        <w:t xml:space="preserve"> die niet uitsluitend voor het verrichten van hun werkzaamheden voor </w:t>
      </w:r>
      <w:r w:rsidRPr="002F02D7" w:rsidR="00CB2C99">
        <w:rPr>
          <w:rFonts w:ascii="Verdana" w:hAnsi="Verdana" w:cs="Arial"/>
          <w:sz w:val="18"/>
          <w:szCs w:val="18"/>
        </w:rPr>
        <w:t xml:space="preserve">(in dit geval) </w:t>
      </w:r>
      <w:r w:rsidRPr="002F02D7">
        <w:rPr>
          <w:rFonts w:ascii="Verdana" w:hAnsi="Verdana" w:cs="Arial"/>
          <w:sz w:val="18"/>
          <w:szCs w:val="18"/>
        </w:rPr>
        <w:t>de Nederlandse overheid inwoner zijn geworden van het Verenigd Koninkrijk, vrijstelt van belasting over de inkomsten vanwege werkzaamheden voor de andere Staat.</w:t>
      </w:r>
      <w:r w:rsidRPr="002F02D7" w:rsidR="003F4D24">
        <w:rPr>
          <w:rStyle w:val="FootnoteReference"/>
          <w:rFonts w:ascii="Verdana" w:hAnsi="Verdana" w:cs="Arial"/>
          <w:sz w:val="18"/>
          <w:szCs w:val="18"/>
        </w:rPr>
        <w:footnoteReference w:id="4"/>
      </w:r>
      <w:r w:rsidRPr="002F02D7">
        <w:rPr>
          <w:rFonts w:ascii="Verdana" w:hAnsi="Verdana" w:cs="Arial"/>
          <w:sz w:val="18"/>
          <w:szCs w:val="18"/>
        </w:rPr>
        <w:t xml:space="preserve"> </w:t>
      </w:r>
      <w:r w:rsidRPr="002F02D7" w:rsidR="00680416">
        <w:rPr>
          <w:rFonts w:ascii="Verdana" w:hAnsi="Verdana" w:cs="Arial"/>
          <w:sz w:val="18"/>
          <w:szCs w:val="18"/>
        </w:rPr>
        <w:t xml:space="preserve">Hierdoor ontstond onder het Verdrag een situatie waarin </w:t>
      </w:r>
      <w:r w:rsidRPr="002F02D7" w:rsidR="008A4139">
        <w:rPr>
          <w:rFonts w:ascii="Verdana" w:hAnsi="Verdana" w:cs="Arial"/>
          <w:sz w:val="18"/>
          <w:szCs w:val="18"/>
        </w:rPr>
        <w:t>de beloning</w:t>
      </w:r>
      <w:r w:rsidRPr="002F02D7" w:rsidR="00680416">
        <w:rPr>
          <w:rFonts w:ascii="Verdana" w:hAnsi="Verdana" w:cs="Arial"/>
          <w:sz w:val="18"/>
          <w:szCs w:val="18"/>
        </w:rPr>
        <w:t xml:space="preserve"> van een deel van het ambassadepersoneel niet in de belastingheffing werd betrokken. </w:t>
      </w:r>
      <w:r w:rsidRPr="002F02D7" w:rsidR="002E2A04">
        <w:rPr>
          <w:rFonts w:ascii="Verdana" w:hAnsi="Verdana" w:cs="Arial"/>
          <w:sz w:val="18"/>
          <w:szCs w:val="18"/>
        </w:rPr>
        <w:t>De voorgestelde wijzig</w:t>
      </w:r>
      <w:r w:rsidRPr="002F02D7">
        <w:rPr>
          <w:rFonts w:ascii="Verdana" w:hAnsi="Verdana" w:cs="Arial"/>
          <w:sz w:val="18"/>
          <w:szCs w:val="18"/>
        </w:rPr>
        <w:t xml:space="preserve">ing herstelt </w:t>
      </w:r>
      <w:r w:rsidRPr="002F02D7" w:rsidR="00680416">
        <w:rPr>
          <w:rFonts w:ascii="Verdana" w:hAnsi="Verdana" w:cs="Arial"/>
          <w:sz w:val="18"/>
          <w:szCs w:val="18"/>
        </w:rPr>
        <w:t>deze onbedoelde situatie.</w:t>
      </w:r>
      <w:r w:rsidRPr="002F02D7" w:rsidR="00265205">
        <w:rPr>
          <w:rFonts w:ascii="Verdana" w:hAnsi="Verdana" w:cs="Arial"/>
          <w:sz w:val="18"/>
          <w:szCs w:val="18"/>
        </w:rPr>
        <w:t xml:space="preserve"> Materieel werkt het zo dat in di</w:t>
      </w:r>
      <w:r w:rsidRPr="002F02D7" w:rsidR="00ED7723">
        <w:rPr>
          <w:rFonts w:ascii="Verdana" w:hAnsi="Verdana" w:cs="Arial"/>
          <w:sz w:val="18"/>
          <w:szCs w:val="18"/>
        </w:rPr>
        <w:t xml:space="preserve">e gevallen waarin </w:t>
      </w:r>
      <w:r w:rsidRPr="002F02D7" w:rsidR="00265205">
        <w:rPr>
          <w:rFonts w:ascii="Verdana" w:hAnsi="Verdana" w:cs="Arial"/>
          <w:sz w:val="18"/>
          <w:szCs w:val="18"/>
        </w:rPr>
        <w:t xml:space="preserve">het Verenigd Koninkrijk het salaris van de lokaal aangetrokken medewerkers niet belast, Nederland </w:t>
      </w:r>
      <w:r w:rsidRPr="002F02D7" w:rsidR="008A4139">
        <w:rPr>
          <w:rFonts w:ascii="Verdana" w:hAnsi="Verdana" w:cs="Arial"/>
          <w:sz w:val="18"/>
          <w:szCs w:val="18"/>
        </w:rPr>
        <w:t>het in de belastingheffing mag en zal betrekken</w:t>
      </w:r>
      <w:r w:rsidRPr="002F02D7" w:rsidR="00265205">
        <w:rPr>
          <w:rFonts w:ascii="Verdana" w:hAnsi="Verdana" w:cs="Arial"/>
          <w:sz w:val="18"/>
          <w:szCs w:val="18"/>
        </w:rPr>
        <w:t>.</w:t>
      </w:r>
    </w:p>
    <w:p w:rsidRPr="002F02D7" w:rsidR="00D758EA" w:rsidP="00B0245E" w:rsidRDefault="00D758EA">
      <w:pPr>
        <w:spacing w:line="360" w:lineRule="auto"/>
        <w:rPr>
          <w:rFonts w:ascii="Verdana" w:hAnsi="Verdana" w:cs="Arial"/>
          <w:sz w:val="18"/>
          <w:szCs w:val="18"/>
        </w:rPr>
      </w:pPr>
    </w:p>
    <w:p w:rsidRPr="002F02D7" w:rsidR="00D758EA" w:rsidP="00B0245E" w:rsidRDefault="008A4139">
      <w:pPr>
        <w:spacing w:line="360" w:lineRule="auto"/>
        <w:rPr>
          <w:rFonts w:ascii="Verdana" w:hAnsi="Verdana" w:cs="Arial"/>
          <w:sz w:val="18"/>
          <w:szCs w:val="18"/>
        </w:rPr>
      </w:pPr>
      <w:r w:rsidRPr="002F02D7">
        <w:rPr>
          <w:rFonts w:ascii="Verdana" w:hAnsi="Verdana" w:cs="Arial"/>
          <w:sz w:val="18"/>
          <w:szCs w:val="18"/>
          <w:u w:val="single"/>
        </w:rPr>
        <w:t>Artikel III (</w:t>
      </w:r>
      <w:r w:rsidRPr="002F02D7" w:rsidR="00D758EA">
        <w:rPr>
          <w:rFonts w:ascii="Verdana" w:hAnsi="Verdana" w:cs="Arial"/>
          <w:sz w:val="18"/>
          <w:szCs w:val="18"/>
          <w:u w:val="single"/>
        </w:rPr>
        <w:t>Inwerkingtreding</w:t>
      </w:r>
      <w:r w:rsidRPr="002F02D7">
        <w:rPr>
          <w:rFonts w:ascii="Verdana" w:hAnsi="Verdana" w:cs="Arial"/>
          <w:sz w:val="18"/>
          <w:szCs w:val="18"/>
          <w:u w:val="single"/>
        </w:rPr>
        <w:t>)</w:t>
      </w:r>
    </w:p>
    <w:p w:rsidRPr="002F02D7" w:rsidR="00C80282" w:rsidP="00B0245E" w:rsidRDefault="00D149C6">
      <w:pPr>
        <w:spacing w:line="360" w:lineRule="auto"/>
        <w:rPr>
          <w:rFonts w:ascii="Verdana" w:hAnsi="Verdana" w:cs="Arial"/>
          <w:sz w:val="18"/>
          <w:szCs w:val="18"/>
        </w:rPr>
      </w:pPr>
      <w:r w:rsidRPr="002F02D7">
        <w:rPr>
          <w:rFonts w:ascii="Verdana" w:hAnsi="Verdana" w:cs="Arial"/>
          <w:sz w:val="18"/>
          <w:szCs w:val="18"/>
        </w:rPr>
        <w:t xml:space="preserve">Het </w:t>
      </w:r>
      <w:r w:rsidRPr="002F02D7" w:rsidR="00AC7718">
        <w:rPr>
          <w:rFonts w:ascii="Verdana" w:hAnsi="Verdana" w:cs="Arial"/>
          <w:sz w:val="18"/>
          <w:szCs w:val="18"/>
        </w:rPr>
        <w:t>Protocol</w:t>
      </w:r>
      <w:r w:rsidRPr="002F02D7">
        <w:rPr>
          <w:rFonts w:ascii="Verdana" w:hAnsi="Verdana" w:cs="Arial"/>
          <w:sz w:val="18"/>
          <w:szCs w:val="18"/>
        </w:rPr>
        <w:t xml:space="preserve"> treedt in werking op de laatste dag van de maand </w:t>
      </w:r>
      <w:r w:rsidRPr="002F02D7" w:rsidR="00B64D62">
        <w:rPr>
          <w:rFonts w:ascii="Verdana" w:hAnsi="Verdana" w:cs="Arial"/>
          <w:sz w:val="18"/>
          <w:szCs w:val="18"/>
        </w:rPr>
        <w:t xml:space="preserve">volgend op de maand </w:t>
      </w:r>
      <w:r w:rsidRPr="002F02D7">
        <w:rPr>
          <w:rFonts w:ascii="Verdana" w:hAnsi="Verdana" w:cs="Arial"/>
          <w:sz w:val="18"/>
          <w:szCs w:val="18"/>
        </w:rPr>
        <w:t xml:space="preserve">waarin de Nederlandse </w:t>
      </w:r>
      <w:r w:rsidRPr="002F02D7" w:rsidR="00395D1F">
        <w:rPr>
          <w:rFonts w:ascii="Verdana" w:hAnsi="Verdana" w:cs="Arial"/>
          <w:sz w:val="18"/>
          <w:szCs w:val="18"/>
        </w:rPr>
        <w:t xml:space="preserve">regering </w:t>
      </w:r>
      <w:r w:rsidRPr="002F02D7">
        <w:rPr>
          <w:rFonts w:ascii="Verdana" w:hAnsi="Verdana" w:cs="Arial"/>
          <w:sz w:val="18"/>
          <w:szCs w:val="18"/>
        </w:rPr>
        <w:t xml:space="preserve">en </w:t>
      </w:r>
      <w:r w:rsidRPr="002F02D7" w:rsidR="00395D1F">
        <w:rPr>
          <w:rFonts w:ascii="Verdana" w:hAnsi="Verdana" w:cs="Arial"/>
          <w:sz w:val="18"/>
          <w:szCs w:val="18"/>
        </w:rPr>
        <w:t xml:space="preserve">de </w:t>
      </w:r>
      <w:r w:rsidRPr="002F02D7">
        <w:rPr>
          <w:rFonts w:ascii="Verdana" w:hAnsi="Verdana" w:cs="Arial"/>
          <w:sz w:val="18"/>
          <w:szCs w:val="18"/>
        </w:rPr>
        <w:t xml:space="preserve">regering </w:t>
      </w:r>
      <w:r w:rsidRPr="002F02D7" w:rsidR="00395D1F">
        <w:rPr>
          <w:rFonts w:ascii="Verdana" w:hAnsi="Verdana" w:cs="Arial"/>
          <w:sz w:val="18"/>
          <w:szCs w:val="18"/>
        </w:rPr>
        <w:t xml:space="preserve">van het Verenigd Koninkrijk </w:t>
      </w:r>
      <w:r w:rsidRPr="002F02D7">
        <w:rPr>
          <w:rFonts w:ascii="Verdana" w:hAnsi="Verdana" w:cs="Arial"/>
          <w:sz w:val="18"/>
          <w:szCs w:val="18"/>
        </w:rPr>
        <w:t xml:space="preserve">elkaar schriftelijk hebben medegedeeld dat de in hun onderscheiden staten (grond)wettelijk vereiste formaliteiten zijn vervuld. </w:t>
      </w:r>
    </w:p>
    <w:p w:rsidRPr="002F02D7" w:rsidR="00C80282" w:rsidP="00B0245E" w:rsidRDefault="00D149C6">
      <w:pPr>
        <w:spacing w:line="360" w:lineRule="auto"/>
        <w:rPr>
          <w:rFonts w:ascii="Verdana" w:hAnsi="Verdana" w:cs="Arial"/>
          <w:sz w:val="18"/>
          <w:szCs w:val="18"/>
        </w:rPr>
      </w:pPr>
      <w:r w:rsidRPr="002F02D7">
        <w:rPr>
          <w:rFonts w:ascii="Verdana" w:hAnsi="Verdana" w:cs="Arial"/>
          <w:sz w:val="18"/>
          <w:szCs w:val="18"/>
        </w:rPr>
        <w:t xml:space="preserve">De bepalingen van het </w:t>
      </w:r>
      <w:r w:rsidRPr="002F02D7" w:rsidR="00AC7718">
        <w:rPr>
          <w:rFonts w:ascii="Verdana" w:hAnsi="Verdana" w:cs="Arial"/>
          <w:sz w:val="18"/>
          <w:szCs w:val="18"/>
        </w:rPr>
        <w:t>Protocol</w:t>
      </w:r>
      <w:r w:rsidRPr="002F02D7">
        <w:rPr>
          <w:rFonts w:ascii="Verdana" w:hAnsi="Verdana" w:cs="Arial"/>
          <w:sz w:val="18"/>
          <w:szCs w:val="18"/>
        </w:rPr>
        <w:t xml:space="preserve"> zullen </w:t>
      </w:r>
      <w:r w:rsidRPr="002F02D7" w:rsidR="00C80282">
        <w:rPr>
          <w:rFonts w:ascii="Verdana" w:hAnsi="Verdana" w:cs="Arial"/>
          <w:sz w:val="18"/>
          <w:szCs w:val="18"/>
        </w:rPr>
        <w:t>voor</w:t>
      </w:r>
      <w:r w:rsidRPr="002F02D7" w:rsidR="00395D1F">
        <w:rPr>
          <w:rFonts w:ascii="Verdana" w:hAnsi="Verdana" w:cs="Arial"/>
          <w:sz w:val="18"/>
          <w:szCs w:val="18"/>
        </w:rPr>
        <w:t xml:space="preserve"> Nederland </w:t>
      </w:r>
      <w:r w:rsidRPr="002F02D7" w:rsidR="006B137F">
        <w:rPr>
          <w:rFonts w:ascii="Verdana" w:hAnsi="Verdana" w:cs="Arial"/>
          <w:sz w:val="18"/>
          <w:szCs w:val="18"/>
        </w:rPr>
        <w:t xml:space="preserve">toepassing </w:t>
      </w:r>
      <w:r w:rsidR="006D130B">
        <w:rPr>
          <w:rFonts w:ascii="Verdana" w:hAnsi="Verdana" w:cs="Arial"/>
          <w:sz w:val="18"/>
          <w:szCs w:val="18"/>
        </w:rPr>
        <w:t xml:space="preserve">vinden op </w:t>
      </w:r>
      <w:r w:rsidR="00810136">
        <w:rPr>
          <w:rFonts w:ascii="Verdana" w:hAnsi="Verdana" w:cs="Arial"/>
          <w:sz w:val="18"/>
          <w:szCs w:val="18"/>
        </w:rPr>
        <w:t>belastin</w:t>
      </w:r>
      <w:r w:rsidRPr="00810136" w:rsidR="00810136">
        <w:rPr>
          <w:rFonts w:ascii="Verdana" w:hAnsi="Verdana" w:cs="Arial"/>
          <w:sz w:val="18"/>
          <w:szCs w:val="18"/>
        </w:rPr>
        <w:t>g</w:t>
      </w:r>
      <w:r w:rsidRPr="00810136">
        <w:rPr>
          <w:rFonts w:ascii="Verdana" w:hAnsi="Verdana" w:cs="Arial"/>
          <w:sz w:val="18"/>
          <w:szCs w:val="18"/>
        </w:rPr>
        <w:t>jaren</w:t>
      </w:r>
      <w:r w:rsidRPr="002F02D7">
        <w:rPr>
          <w:rFonts w:ascii="Verdana" w:hAnsi="Verdana" w:cs="Arial"/>
          <w:sz w:val="18"/>
          <w:szCs w:val="18"/>
        </w:rPr>
        <w:t xml:space="preserve"> en tijdvakken die beginnen op of na 1 januari </w:t>
      </w:r>
      <w:r w:rsidRPr="002F02D7" w:rsidR="00395D1F">
        <w:rPr>
          <w:rFonts w:ascii="Verdana" w:hAnsi="Verdana" w:cs="Arial"/>
          <w:sz w:val="18"/>
          <w:szCs w:val="18"/>
        </w:rPr>
        <w:t xml:space="preserve">volgend </w:t>
      </w:r>
      <w:r w:rsidRPr="002F02D7" w:rsidR="006B137F">
        <w:rPr>
          <w:rFonts w:ascii="Verdana" w:hAnsi="Verdana" w:cs="Arial"/>
          <w:sz w:val="18"/>
          <w:szCs w:val="18"/>
        </w:rPr>
        <w:t xml:space="preserve">op </w:t>
      </w:r>
      <w:r w:rsidRPr="002F02D7" w:rsidR="008A4139">
        <w:rPr>
          <w:rFonts w:ascii="Verdana" w:hAnsi="Verdana" w:cs="Arial"/>
          <w:sz w:val="18"/>
          <w:szCs w:val="18"/>
        </w:rPr>
        <w:t xml:space="preserve">de datum van </w:t>
      </w:r>
      <w:r w:rsidRPr="002F02D7" w:rsidR="006B137F">
        <w:rPr>
          <w:rFonts w:ascii="Verdana" w:hAnsi="Verdana" w:cs="Arial"/>
          <w:sz w:val="18"/>
          <w:szCs w:val="18"/>
        </w:rPr>
        <w:t xml:space="preserve">inwerkingtreding van het </w:t>
      </w:r>
      <w:r w:rsidRPr="002F02D7" w:rsidR="00AC7718">
        <w:rPr>
          <w:rFonts w:ascii="Verdana" w:hAnsi="Verdana" w:cs="Arial"/>
          <w:sz w:val="18"/>
          <w:szCs w:val="18"/>
        </w:rPr>
        <w:t>Protocol</w:t>
      </w:r>
      <w:r w:rsidRPr="002F02D7" w:rsidR="006B137F">
        <w:rPr>
          <w:rFonts w:ascii="Verdana" w:hAnsi="Verdana" w:cs="Arial"/>
          <w:sz w:val="18"/>
          <w:szCs w:val="18"/>
        </w:rPr>
        <w:t xml:space="preserve">. </w:t>
      </w:r>
    </w:p>
    <w:p w:rsidRPr="002F02D7" w:rsidR="00C80282" w:rsidP="00B0245E" w:rsidRDefault="00F040CD">
      <w:pPr>
        <w:spacing w:line="360" w:lineRule="auto"/>
        <w:rPr>
          <w:rFonts w:ascii="Verdana" w:hAnsi="Verdana" w:cs="Arial"/>
          <w:sz w:val="18"/>
          <w:szCs w:val="18"/>
        </w:rPr>
      </w:pPr>
      <w:r w:rsidRPr="002F02D7">
        <w:rPr>
          <w:rFonts w:ascii="Verdana" w:hAnsi="Verdana" w:cs="Arial"/>
          <w:sz w:val="18"/>
          <w:szCs w:val="18"/>
        </w:rPr>
        <w:t>Voor het Verenigd Koninkrijk</w:t>
      </w:r>
      <w:r w:rsidRPr="002F02D7" w:rsidR="00C80282">
        <w:rPr>
          <w:rFonts w:ascii="Verdana" w:hAnsi="Verdana" w:cs="Arial"/>
          <w:sz w:val="18"/>
          <w:szCs w:val="18"/>
        </w:rPr>
        <w:t xml:space="preserve"> vindt het </w:t>
      </w:r>
      <w:r w:rsidRPr="002F02D7" w:rsidR="00AC7718">
        <w:rPr>
          <w:rFonts w:ascii="Verdana" w:hAnsi="Verdana" w:cs="Arial"/>
          <w:sz w:val="18"/>
          <w:szCs w:val="18"/>
        </w:rPr>
        <w:t>Protocol</w:t>
      </w:r>
      <w:r w:rsidRPr="002F02D7" w:rsidR="00C80282">
        <w:rPr>
          <w:rFonts w:ascii="Verdana" w:hAnsi="Verdana" w:cs="Arial"/>
          <w:sz w:val="18"/>
          <w:szCs w:val="18"/>
        </w:rPr>
        <w:t>, voor de inkomstenbelasting en de vermogenswi</w:t>
      </w:r>
      <w:r w:rsidR="006D130B">
        <w:rPr>
          <w:rFonts w:ascii="Verdana" w:hAnsi="Verdana" w:cs="Arial"/>
          <w:sz w:val="18"/>
          <w:szCs w:val="18"/>
        </w:rPr>
        <w:t xml:space="preserve">nstbelasting, toepassing op </w:t>
      </w:r>
      <w:r w:rsidR="002179E0">
        <w:rPr>
          <w:rFonts w:ascii="Verdana" w:hAnsi="Verdana" w:cs="Arial"/>
          <w:sz w:val="18"/>
          <w:szCs w:val="18"/>
        </w:rPr>
        <w:t>belastingjaren</w:t>
      </w:r>
      <w:r w:rsidRPr="002F02D7" w:rsidR="00C80282">
        <w:rPr>
          <w:rFonts w:ascii="Verdana" w:hAnsi="Verdana" w:cs="Arial"/>
          <w:sz w:val="18"/>
          <w:szCs w:val="18"/>
        </w:rPr>
        <w:t xml:space="preserve"> die aanvangen op of na 6 april </w:t>
      </w:r>
      <w:r w:rsidRPr="002F02D7" w:rsidR="006B137F">
        <w:rPr>
          <w:rFonts w:ascii="Verdana" w:hAnsi="Verdana" w:cs="Arial"/>
          <w:sz w:val="18"/>
          <w:szCs w:val="18"/>
        </w:rPr>
        <w:t>volgend op</w:t>
      </w:r>
      <w:r w:rsidRPr="002F02D7" w:rsidR="008A4139">
        <w:rPr>
          <w:rFonts w:ascii="Verdana" w:hAnsi="Verdana" w:cs="Arial"/>
          <w:sz w:val="18"/>
          <w:szCs w:val="18"/>
        </w:rPr>
        <w:t xml:space="preserve"> de datum van </w:t>
      </w:r>
      <w:r w:rsidRPr="002F02D7" w:rsidR="006B137F">
        <w:rPr>
          <w:rFonts w:ascii="Verdana" w:hAnsi="Verdana" w:cs="Arial"/>
          <w:sz w:val="18"/>
          <w:szCs w:val="18"/>
        </w:rPr>
        <w:t xml:space="preserve">inwerkingtreding van het </w:t>
      </w:r>
      <w:r w:rsidRPr="002F02D7" w:rsidR="00AC7718">
        <w:rPr>
          <w:rFonts w:ascii="Verdana" w:hAnsi="Verdana" w:cs="Arial"/>
          <w:sz w:val="18"/>
          <w:szCs w:val="18"/>
        </w:rPr>
        <w:t>Protocol</w:t>
      </w:r>
      <w:r w:rsidRPr="002F02D7" w:rsidR="00C80282">
        <w:rPr>
          <w:rFonts w:ascii="Verdana" w:hAnsi="Verdana" w:cs="Arial"/>
          <w:sz w:val="18"/>
          <w:szCs w:val="18"/>
        </w:rPr>
        <w:t>.</w:t>
      </w:r>
      <w:r w:rsidRPr="002F02D7" w:rsidR="006B137F">
        <w:rPr>
          <w:rFonts w:ascii="Verdana" w:hAnsi="Verdana" w:cs="Arial"/>
          <w:sz w:val="18"/>
          <w:szCs w:val="18"/>
        </w:rPr>
        <w:t xml:space="preserve"> </w:t>
      </w:r>
      <w:r w:rsidRPr="002F02D7" w:rsidR="00C80282">
        <w:rPr>
          <w:rFonts w:ascii="Verdana" w:hAnsi="Verdana" w:cs="Arial"/>
          <w:sz w:val="18"/>
          <w:szCs w:val="18"/>
        </w:rPr>
        <w:t xml:space="preserve">Voor de vennootschapsbelasting vindt het </w:t>
      </w:r>
      <w:r w:rsidRPr="002F02D7" w:rsidR="00AC7718">
        <w:rPr>
          <w:rFonts w:ascii="Verdana" w:hAnsi="Verdana" w:cs="Arial"/>
          <w:sz w:val="18"/>
          <w:szCs w:val="18"/>
        </w:rPr>
        <w:t>Protocol</w:t>
      </w:r>
      <w:r w:rsidRPr="002F02D7" w:rsidR="00C80282">
        <w:rPr>
          <w:rFonts w:ascii="Verdana" w:hAnsi="Verdana" w:cs="Arial"/>
          <w:sz w:val="18"/>
          <w:szCs w:val="18"/>
        </w:rPr>
        <w:t xml:space="preserve"> voor het </w:t>
      </w:r>
      <w:r w:rsidRPr="002F02D7">
        <w:rPr>
          <w:rFonts w:ascii="Verdana" w:hAnsi="Verdana" w:cs="Arial"/>
          <w:sz w:val="18"/>
          <w:szCs w:val="18"/>
        </w:rPr>
        <w:t>Verenigd Koninkrijk</w:t>
      </w:r>
      <w:r w:rsidR="00810136">
        <w:rPr>
          <w:rFonts w:ascii="Verdana" w:hAnsi="Verdana" w:cs="Arial"/>
          <w:sz w:val="18"/>
          <w:szCs w:val="18"/>
        </w:rPr>
        <w:t xml:space="preserve"> toepassing </w:t>
      </w:r>
      <w:r w:rsidRPr="00F57E65" w:rsidR="00810136">
        <w:rPr>
          <w:rFonts w:ascii="Verdana" w:hAnsi="Verdana" w:cs="Arial"/>
          <w:sz w:val="18"/>
          <w:szCs w:val="18"/>
        </w:rPr>
        <w:t>op boek</w:t>
      </w:r>
      <w:r w:rsidRPr="00F57E65" w:rsidR="00C80282">
        <w:rPr>
          <w:rFonts w:ascii="Verdana" w:hAnsi="Verdana" w:cs="Arial"/>
          <w:sz w:val="18"/>
          <w:szCs w:val="18"/>
        </w:rPr>
        <w:t>jaren beginnend</w:t>
      </w:r>
      <w:r w:rsidRPr="002F02D7" w:rsidR="00C80282">
        <w:rPr>
          <w:rFonts w:ascii="Verdana" w:hAnsi="Verdana" w:cs="Arial"/>
          <w:sz w:val="18"/>
          <w:szCs w:val="18"/>
        </w:rPr>
        <w:t xml:space="preserve"> op of na 1 april </w:t>
      </w:r>
      <w:r w:rsidRPr="002F02D7" w:rsidR="006B137F">
        <w:rPr>
          <w:rFonts w:ascii="Verdana" w:hAnsi="Verdana" w:cs="Arial"/>
          <w:sz w:val="18"/>
          <w:szCs w:val="18"/>
        </w:rPr>
        <w:t xml:space="preserve">volgend op </w:t>
      </w:r>
      <w:r w:rsidRPr="002F02D7" w:rsidR="008A4139">
        <w:rPr>
          <w:rFonts w:ascii="Verdana" w:hAnsi="Verdana" w:cs="Arial"/>
          <w:sz w:val="18"/>
          <w:szCs w:val="18"/>
        </w:rPr>
        <w:t xml:space="preserve">de datum van </w:t>
      </w:r>
      <w:r w:rsidRPr="002F02D7" w:rsidR="006B137F">
        <w:rPr>
          <w:rFonts w:ascii="Verdana" w:hAnsi="Verdana" w:cs="Arial"/>
          <w:sz w:val="18"/>
          <w:szCs w:val="18"/>
        </w:rPr>
        <w:t xml:space="preserve">inwerkingtreding van het </w:t>
      </w:r>
      <w:r w:rsidRPr="002F02D7" w:rsidR="00AC7718">
        <w:rPr>
          <w:rFonts w:ascii="Verdana" w:hAnsi="Verdana" w:cs="Arial"/>
          <w:sz w:val="18"/>
          <w:szCs w:val="18"/>
        </w:rPr>
        <w:t>Protocol</w:t>
      </w:r>
      <w:r w:rsidRPr="002F02D7" w:rsidR="006B137F">
        <w:rPr>
          <w:rFonts w:ascii="Verdana" w:hAnsi="Verdana" w:cs="Arial"/>
          <w:sz w:val="18"/>
          <w:szCs w:val="18"/>
        </w:rPr>
        <w:t xml:space="preserve">. </w:t>
      </w:r>
    </w:p>
    <w:p w:rsidRPr="002F02D7" w:rsidR="007A228F" w:rsidRDefault="007A228F">
      <w:pPr>
        <w:rPr>
          <w:rFonts w:ascii="Verdana" w:hAnsi="Verdana"/>
          <w:sz w:val="18"/>
          <w:szCs w:val="18"/>
        </w:rPr>
      </w:pPr>
    </w:p>
    <w:p w:rsidRPr="002F02D7" w:rsidR="00B0245E" w:rsidRDefault="00B0245E">
      <w:pPr>
        <w:rPr>
          <w:rFonts w:ascii="Verdana" w:hAnsi="Verdana"/>
          <w:b/>
          <w:sz w:val="18"/>
          <w:szCs w:val="18"/>
        </w:rPr>
      </w:pPr>
      <w:r w:rsidRPr="002F02D7">
        <w:rPr>
          <w:rFonts w:ascii="Verdana" w:hAnsi="Verdana"/>
          <w:b/>
          <w:sz w:val="18"/>
          <w:szCs w:val="18"/>
        </w:rPr>
        <w:t>6. Koninkrijkspositie</w:t>
      </w:r>
    </w:p>
    <w:p w:rsidRPr="002F02D7" w:rsidR="004D1B61" w:rsidRDefault="004D1B61">
      <w:pPr>
        <w:rPr>
          <w:rFonts w:ascii="Verdana" w:hAnsi="Verdana"/>
          <w:b/>
          <w:sz w:val="18"/>
          <w:szCs w:val="18"/>
        </w:rPr>
      </w:pPr>
    </w:p>
    <w:p w:rsidRPr="002F02D7" w:rsidR="004D1B61" w:rsidRDefault="004D1B61">
      <w:pPr>
        <w:rPr>
          <w:rFonts w:ascii="Verdana" w:hAnsi="Verdana"/>
          <w:sz w:val="18"/>
          <w:szCs w:val="18"/>
        </w:rPr>
      </w:pPr>
      <w:r w:rsidRPr="002F02D7">
        <w:rPr>
          <w:rFonts w:ascii="Verdana" w:hAnsi="Verdana"/>
          <w:sz w:val="18"/>
          <w:szCs w:val="18"/>
        </w:rPr>
        <w:t xml:space="preserve">Het </w:t>
      </w:r>
      <w:r w:rsidRPr="002F02D7" w:rsidR="00AC7718">
        <w:rPr>
          <w:rFonts w:ascii="Verdana" w:hAnsi="Verdana"/>
          <w:sz w:val="18"/>
          <w:szCs w:val="18"/>
        </w:rPr>
        <w:t>Protocol</w:t>
      </w:r>
      <w:r w:rsidRPr="002F02D7">
        <w:rPr>
          <w:rFonts w:ascii="Verdana" w:hAnsi="Verdana"/>
          <w:sz w:val="18"/>
          <w:szCs w:val="18"/>
        </w:rPr>
        <w:t xml:space="preserve"> zal, gelijk het Verdrag, alleen voor het Europese deel van Nederland gelden.</w:t>
      </w:r>
    </w:p>
    <w:p w:rsidRPr="002F02D7" w:rsidR="004D1B61" w:rsidRDefault="004D1B61">
      <w:pPr>
        <w:rPr>
          <w:rFonts w:ascii="Verdana" w:hAnsi="Verdana"/>
          <w:sz w:val="18"/>
          <w:szCs w:val="18"/>
        </w:rPr>
      </w:pPr>
    </w:p>
    <w:p w:rsidRPr="002F02D7" w:rsidR="002435D8" w:rsidP="002435D8" w:rsidRDefault="002435D8">
      <w:pPr>
        <w:spacing w:before="100" w:beforeAutospacing="1" w:after="100" w:afterAutospacing="1"/>
        <w:rPr>
          <w:rFonts w:ascii="Verdana" w:hAnsi="Verdana" w:cs="Arial"/>
          <w:iCs/>
          <w:sz w:val="18"/>
          <w:szCs w:val="18"/>
        </w:rPr>
      </w:pPr>
      <w:r w:rsidRPr="002F02D7">
        <w:rPr>
          <w:rFonts w:ascii="Verdana" w:hAnsi="Verdana" w:cs="Arial"/>
          <w:iCs/>
          <w:sz w:val="18"/>
          <w:szCs w:val="18"/>
        </w:rPr>
        <w:t>De staatssecretaris van Financiën,</w:t>
      </w:r>
    </w:p>
    <w:p w:rsidRPr="002F02D7" w:rsidR="002435D8" w:rsidP="002435D8" w:rsidRDefault="002435D8">
      <w:pPr>
        <w:spacing w:before="100" w:beforeAutospacing="1" w:after="100" w:afterAutospacing="1"/>
        <w:rPr>
          <w:rFonts w:ascii="Verdana" w:hAnsi="Verdana" w:cs="Arial"/>
          <w:i/>
          <w:iCs/>
          <w:sz w:val="18"/>
          <w:szCs w:val="18"/>
        </w:rPr>
      </w:pPr>
    </w:p>
    <w:p w:rsidRPr="006D130B" w:rsidR="00C52ACC" w:rsidP="006D130B" w:rsidRDefault="002435D8">
      <w:pPr>
        <w:spacing w:before="100" w:beforeAutospacing="1" w:after="100" w:afterAutospacing="1"/>
        <w:rPr>
          <w:rFonts w:ascii="Verdana" w:hAnsi="Verdana" w:cs="Arial"/>
          <w:iCs/>
          <w:sz w:val="18"/>
          <w:szCs w:val="18"/>
        </w:rPr>
      </w:pPr>
      <w:r w:rsidRPr="002F02D7">
        <w:rPr>
          <w:rFonts w:ascii="Verdana" w:hAnsi="Verdana" w:cs="Arial"/>
          <w:iCs/>
          <w:sz w:val="18"/>
          <w:szCs w:val="18"/>
        </w:rPr>
        <w:t>De minister van Buitenlandse Zaken,</w:t>
      </w:r>
    </w:p>
    <w:sectPr w:rsidRPr="006D130B" w:rsidR="00C52ACC" w:rsidSect="00EF7676">
      <w:footerReference w:type="default" r:id="rId9"/>
      <w:footerReference w:type="first" r:id="rId10"/>
      <w:pgSz w:w="11906" w:h="16838" w:code="9"/>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06" w:rsidRDefault="00DA7006" w:rsidP="003F4D24">
      <w:r>
        <w:separator/>
      </w:r>
    </w:p>
  </w:endnote>
  <w:endnote w:type="continuationSeparator" w:id="0">
    <w:p w:rsidR="00DA7006" w:rsidRDefault="00DA7006" w:rsidP="003F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37143"/>
      <w:docPartObj>
        <w:docPartGallery w:val="Page Numbers (Bottom of Page)"/>
        <w:docPartUnique/>
      </w:docPartObj>
    </w:sdtPr>
    <w:sdtEndPr>
      <w:rPr>
        <w:rFonts w:ascii="Verdana" w:hAnsi="Verdana"/>
        <w:noProof/>
        <w:sz w:val="18"/>
        <w:szCs w:val="18"/>
      </w:rPr>
    </w:sdtEndPr>
    <w:sdtContent>
      <w:p w:rsidR="00B049E9" w:rsidRPr="002F02D7" w:rsidRDefault="00B63E3F">
        <w:pPr>
          <w:pStyle w:val="Footer"/>
          <w:jc w:val="right"/>
          <w:rPr>
            <w:rFonts w:ascii="Verdana" w:hAnsi="Verdana"/>
            <w:sz w:val="18"/>
            <w:szCs w:val="18"/>
          </w:rPr>
        </w:pPr>
        <w:r w:rsidRPr="002F02D7">
          <w:rPr>
            <w:rFonts w:ascii="Verdana" w:hAnsi="Verdana"/>
            <w:sz w:val="18"/>
            <w:szCs w:val="18"/>
          </w:rPr>
          <w:fldChar w:fldCharType="begin"/>
        </w:r>
        <w:r w:rsidR="00B049E9" w:rsidRPr="002F02D7">
          <w:rPr>
            <w:rFonts w:ascii="Verdana" w:hAnsi="Verdana"/>
            <w:sz w:val="18"/>
            <w:szCs w:val="18"/>
          </w:rPr>
          <w:instrText xml:space="preserve"> PAGE   \* MERGEFORMAT </w:instrText>
        </w:r>
        <w:r w:rsidRPr="002F02D7">
          <w:rPr>
            <w:rFonts w:ascii="Verdana" w:hAnsi="Verdana"/>
            <w:sz w:val="18"/>
            <w:szCs w:val="18"/>
          </w:rPr>
          <w:fldChar w:fldCharType="separate"/>
        </w:r>
        <w:r w:rsidR="00AE316D">
          <w:rPr>
            <w:rFonts w:ascii="Verdana" w:hAnsi="Verdana"/>
            <w:noProof/>
            <w:sz w:val="18"/>
            <w:szCs w:val="18"/>
          </w:rPr>
          <w:t>6</w:t>
        </w:r>
        <w:r w:rsidRPr="002F02D7">
          <w:rPr>
            <w:rFonts w:ascii="Verdana" w:hAnsi="Verdana"/>
            <w:noProof/>
            <w:sz w:val="18"/>
            <w:szCs w:val="18"/>
          </w:rPr>
          <w:fldChar w:fldCharType="end"/>
        </w:r>
      </w:p>
    </w:sdtContent>
  </w:sdt>
  <w:p w:rsidR="00B049E9" w:rsidRDefault="00B04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76" w:rsidRDefault="00EF7676">
    <w:pPr>
      <w:pStyle w:val="Footer"/>
      <w:pBdr>
        <w:bottom w:val="single" w:sz="6" w:space="1" w:color="auto"/>
      </w:pBdr>
    </w:pPr>
  </w:p>
  <w:p w:rsidR="00EF7676" w:rsidRPr="00EF7676" w:rsidRDefault="00EF7676">
    <w:pPr>
      <w:pStyle w:val="Footer"/>
      <w:rPr>
        <w:sz w:val="18"/>
        <w:szCs w:val="18"/>
      </w:rPr>
    </w:pPr>
    <w:r>
      <w:rPr>
        <w:sz w:val="18"/>
        <w:szCs w:val="18"/>
      </w:rPr>
      <w:t>Het advies van de Afdeling advisering van de Raad van State wordt niet openbaar gemaakt, omdat het zonder meer instemmend luidt (artikel 26, zesde lid jo vijfde lid, van de Wet op de Raad van State).</w:t>
    </w:r>
  </w:p>
  <w:p w:rsidR="00EF7676" w:rsidRDefault="00EF7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06" w:rsidRDefault="00DA7006" w:rsidP="003F4D24">
      <w:r>
        <w:separator/>
      </w:r>
    </w:p>
  </w:footnote>
  <w:footnote w:type="continuationSeparator" w:id="0">
    <w:p w:rsidR="00DA7006" w:rsidRDefault="00DA7006" w:rsidP="003F4D24">
      <w:r>
        <w:continuationSeparator/>
      </w:r>
    </w:p>
  </w:footnote>
  <w:footnote w:id="1">
    <w:p w:rsidR="00B049E9" w:rsidRPr="00E41A8D" w:rsidRDefault="00B049E9" w:rsidP="0002646A">
      <w:pPr>
        <w:pStyle w:val="FootnoteText"/>
        <w:rPr>
          <w:sz w:val="16"/>
          <w:szCs w:val="16"/>
        </w:rPr>
      </w:pPr>
      <w:r w:rsidRPr="00E41A8D">
        <w:rPr>
          <w:rStyle w:val="FootnoteReference"/>
          <w:sz w:val="16"/>
          <w:szCs w:val="16"/>
        </w:rPr>
        <w:footnoteRef/>
      </w:r>
      <w:r w:rsidRPr="00E41A8D">
        <w:rPr>
          <w:sz w:val="16"/>
          <w:szCs w:val="16"/>
        </w:rPr>
        <w:t xml:space="preserve"> Kamerstukken II 2010/11, 25 087</w:t>
      </w:r>
      <w:r w:rsidRPr="00F57E65">
        <w:rPr>
          <w:sz w:val="16"/>
          <w:szCs w:val="16"/>
        </w:rPr>
        <w:t>, nr. 13.</w:t>
      </w:r>
    </w:p>
    <w:p w:rsidR="00B049E9" w:rsidRDefault="00B049E9" w:rsidP="0002646A">
      <w:pPr>
        <w:pStyle w:val="FootnoteText"/>
      </w:pPr>
    </w:p>
  </w:footnote>
  <w:footnote w:id="2">
    <w:p w:rsidR="00B049E9" w:rsidRPr="00F57E65" w:rsidRDefault="00B049E9" w:rsidP="0002646A">
      <w:pPr>
        <w:pStyle w:val="FootnoteText"/>
        <w:rPr>
          <w:sz w:val="12"/>
          <w:szCs w:val="12"/>
        </w:rPr>
      </w:pPr>
      <w:r>
        <w:rPr>
          <w:rStyle w:val="FootnoteReference"/>
        </w:rPr>
        <w:footnoteRef/>
      </w:r>
      <w:r>
        <w:t xml:space="preserve"> </w:t>
      </w:r>
      <w:r w:rsidRPr="00E41A8D">
        <w:rPr>
          <w:sz w:val="16"/>
          <w:szCs w:val="16"/>
        </w:rPr>
        <w:t>Bijlage bij Kamerstukken II 2010/11, 25 087, n</w:t>
      </w:r>
      <w:r>
        <w:rPr>
          <w:sz w:val="16"/>
          <w:szCs w:val="16"/>
        </w:rPr>
        <w:t xml:space="preserve">r. </w:t>
      </w:r>
      <w:r w:rsidRPr="00F57E65">
        <w:rPr>
          <w:sz w:val="16"/>
          <w:szCs w:val="16"/>
        </w:rPr>
        <w:t>7.</w:t>
      </w:r>
    </w:p>
  </w:footnote>
  <w:footnote w:id="3">
    <w:p w:rsidR="00B049E9" w:rsidRDefault="00B049E9" w:rsidP="0002646A">
      <w:pPr>
        <w:pStyle w:val="FootnoteText"/>
      </w:pPr>
      <w:r w:rsidRPr="00F57E65">
        <w:rPr>
          <w:rStyle w:val="FootnoteReference"/>
        </w:rPr>
        <w:footnoteRef/>
      </w:r>
      <w:r w:rsidRPr="00F57E65">
        <w:t xml:space="preserve"> </w:t>
      </w:r>
      <w:r w:rsidRPr="00F57E65">
        <w:rPr>
          <w:sz w:val="16"/>
          <w:szCs w:val="16"/>
        </w:rPr>
        <w:t>Kamerstukken II 2010/11, 25 087, nr. 8 (Van Vliet, PVV).</w:t>
      </w:r>
    </w:p>
  </w:footnote>
  <w:footnote w:id="4">
    <w:p w:rsidR="00B049E9" w:rsidRPr="00530921" w:rsidRDefault="00B049E9">
      <w:pPr>
        <w:pStyle w:val="FootnoteText"/>
        <w:rPr>
          <w:rFonts w:ascii="Verdana" w:hAnsi="Verdana"/>
          <w:sz w:val="16"/>
          <w:szCs w:val="16"/>
          <w:lang w:val="en-US"/>
        </w:rPr>
      </w:pPr>
      <w:r w:rsidRPr="00530921">
        <w:rPr>
          <w:rStyle w:val="FootnoteReference"/>
          <w:rFonts w:ascii="Verdana" w:hAnsi="Verdana"/>
          <w:sz w:val="16"/>
          <w:szCs w:val="18"/>
        </w:rPr>
        <w:footnoteRef/>
      </w:r>
      <w:r w:rsidRPr="00530921">
        <w:rPr>
          <w:rFonts w:ascii="Verdana" w:hAnsi="Verdana"/>
          <w:sz w:val="16"/>
          <w:szCs w:val="18"/>
          <w:lang w:val="en-US"/>
        </w:rPr>
        <w:t xml:space="preserve"> </w:t>
      </w:r>
      <w:r w:rsidRPr="00530921">
        <w:rPr>
          <w:rFonts w:ascii="Verdana" w:hAnsi="Verdana"/>
          <w:sz w:val="16"/>
          <w:szCs w:val="16"/>
          <w:lang w:val="en-US"/>
        </w:rPr>
        <w:t>Section 301, Income Tax (Earnings and Pensions) Act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54F44"/>
    <w:multiLevelType w:val="multilevel"/>
    <w:tmpl w:val="452AB8E6"/>
    <w:lvl w:ilvl="0">
      <w:start w:val="1"/>
      <w:numFmt w:val="upperRoman"/>
      <w:pStyle w:val="Heading1"/>
      <w:lvlText w:val="%1."/>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numFmt w:val="decimal"/>
      <w:pStyle w:val="Heading2"/>
      <w:lvlText w:val="%1.%2."/>
      <w:lvlJc w:val="left"/>
      <w:pPr>
        <w:ind w:left="1080" w:firstLine="0"/>
      </w:pPr>
    </w:lvl>
    <w:lvl w:ilvl="2">
      <w:start w:val="1"/>
      <w:numFmt w:val="decimal"/>
      <w:pStyle w:val="Heading3"/>
      <w:lvlText w:val="%1.%2.%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C8"/>
    <w:rsid w:val="0002646A"/>
    <w:rsid w:val="00067C90"/>
    <w:rsid w:val="000E62DC"/>
    <w:rsid w:val="001200EE"/>
    <w:rsid w:val="00123C2C"/>
    <w:rsid w:val="00125779"/>
    <w:rsid w:val="00130736"/>
    <w:rsid w:val="001375FB"/>
    <w:rsid w:val="00145EE5"/>
    <w:rsid w:val="00172064"/>
    <w:rsid w:val="001E0D42"/>
    <w:rsid w:val="001F5C7F"/>
    <w:rsid w:val="002179E0"/>
    <w:rsid w:val="0023457D"/>
    <w:rsid w:val="002435D8"/>
    <w:rsid w:val="00265205"/>
    <w:rsid w:val="002722F2"/>
    <w:rsid w:val="002D2BB7"/>
    <w:rsid w:val="002E2A04"/>
    <w:rsid w:val="002F02D7"/>
    <w:rsid w:val="00321A9B"/>
    <w:rsid w:val="003354CA"/>
    <w:rsid w:val="00347C65"/>
    <w:rsid w:val="00381217"/>
    <w:rsid w:val="00395D1F"/>
    <w:rsid w:val="003962C8"/>
    <w:rsid w:val="003A043E"/>
    <w:rsid w:val="003C4ED0"/>
    <w:rsid w:val="003F4D24"/>
    <w:rsid w:val="00410BD0"/>
    <w:rsid w:val="004176B1"/>
    <w:rsid w:val="00446827"/>
    <w:rsid w:val="00464AF8"/>
    <w:rsid w:val="004B301A"/>
    <w:rsid w:val="004C4DD0"/>
    <w:rsid w:val="004C70BF"/>
    <w:rsid w:val="004D1B61"/>
    <w:rsid w:val="004D3381"/>
    <w:rsid w:val="0051749A"/>
    <w:rsid w:val="00530921"/>
    <w:rsid w:val="00531571"/>
    <w:rsid w:val="0054281E"/>
    <w:rsid w:val="00557A8B"/>
    <w:rsid w:val="00585A35"/>
    <w:rsid w:val="005B1B8B"/>
    <w:rsid w:val="00622213"/>
    <w:rsid w:val="006573BF"/>
    <w:rsid w:val="00661435"/>
    <w:rsid w:val="00664BED"/>
    <w:rsid w:val="00676BCD"/>
    <w:rsid w:val="00680416"/>
    <w:rsid w:val="006924A2"/>
    <w:rsid w:val="006A0D10"/>
    <w:rsid w:val="006B137F"/>
    <w:rsid w:val="006B6748"/>
    <w:rsid w:val="006C10B8"/>
    <w:rsid w:val="006D130B"/>
    <w:rsid w:val="007022D8"/>
    <w:rsid w:val="00753BBA"/>
    <w:rsid w:val="007A228F"/>
    <w:rsid w:val="007C5CC2"/>
    <w:rsid w:val="007F0E63"/>
    <w:rsid w:val="00803594"/>
    <w:rsid w:val="00810136"/>
    <w:rsid w:val="008765EB"/>
    <w:rsid w:val="00897C02"/>
    <w:rsid w:val="008A4139"/>
    <w:rsid w:val="008C24DA"/>
    <w:rsid w:val="00914E3B"/>
    <w:rsid w:val="0095525D"/>
    <w:rsid w:val="009B115C"/>
    <w:rsid w:val="009B537D"/>
    <w:rsid w:val="009C42B4"/>
    <w:rsid w:val="009D21AF"/>
    <w:rsid w:val="009D353B"/>
    <w:rsid w:val="009D4FAD"/>
    <w:rsid w:val="009F4087"/>
    <w:rsid w:val="00A1551F"/>
    <w:rsid w:val="00A82CDD"/>
    <w:rsid w:val="00AC7718"/>
    <w:rsid w:val="00AE316D"/>
    <w:rsid w:val="00B0245E"/>
    <w:rsid w:val="00B049E9"/>
    <w:rsid w:val="00B152E2"/>
    <w:rsid w:val="00B56149"/>
    <w:rsid w:val="00B63E3F"/>
    <w:rsid w:val="00B64D62"/>
    <w:rsid w:val="00B6717B"/>
    <w:rsid w:val="00B73943"/>
    <w:rsid w:val="00B86943"/>
    <w:rsid w:val="00BB17CB"/>
    <w:rsid w:val="00C06878"/>
    <w:rsid w:val="00C52ACC"/>
    <w:rsid w:val="00C80282"/>
    <w:rsid w:val="00C86650"/>
    <w:rsid w:val="00CB2C99"/>
    <w:rsid w:val="00CC2696"/>
    <w:rsid w:val="00D01B06"/>
    <w:rsid w:val="00D149C6"/>
    <w:rsid w:val="00D22100"/>
    <w:rsid w:val="00D46354"/>
    <w:rsid w:val="00D644B6"/>
    <w:rsid w:val="00D65C18"/>
    <w:rsid w:val="00D74B23"/>
    <w:rsid w:val="00D758EA"/>
    <w:rsid w:val="00D81C42"/>
    <w:rsid w:val="00DA2359"/>
    <w:rsid w:val="00DA5603"/>
    <w:rsid w:val="00DA7006"/>
    <w:rsid w:val="00DB4BF5"/>
    <w:rsid w:val="00DD18E9"/>
    <w:rsid w:val="00DD4D96"/>
    <w:rsid w:val="00E17162"/>
    <w:rsid w:val="00E710B4"/>
    <w:rsid w:val="00E8611D"/>
    <w:rsid w:val="00ED317F"/>
    <w:rsid w:val="00ED7723"/>
    <w:rsid w:val="00EE6531"/>
    <w:rsid w:val="00EF7676"/>
    <w:rsid w:val="00F040CD"/>
    <w:rsid w:val="00F07853"/>
    <w:rsid w:val="00F57E65"/>
    <w:rsid w:val="00FF4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F2"/>
    <w:pPr>
      <w:spacing w:line="240" w:lineRule="auto"/>
    </w:pPr>
    <w:rPr>
      <w:rFonts w:ascii="Arial" w:eastAsia="Times New Roman" w:hAnsi="Arial" w:cs="Times New Roman"/>
      <w:sz w:val="20"/>
      <w:szCs w:val="20"/>
      <w:lang w:val="nl" w:eastAsia="nl-NL"/>
    </w:rPr>
  </w:style>
  <w:style w:type="paragraph" w:styleId="Heading1">
    <w:name w:val="heading 1"/>
    <w:basedOn w:val="Normal"/>
    <w:link w:val="Heading1Char"/>
    <w:uiPriority w:val="9"/>
    <w:qFormat/>
    <w:rsid w:val="002722F2"/>
    <w:pPr>
      <w:numPr>
        <w:numId w:val="1"/>
      </w:numPr>
      <w:spacing w:line="360" w:lineRule="auto"/>
      <w:outlineLvl w:val="0"/>
    </w:pPr>
    <w:rPr>
      <w:rFonts w:eastAsiaTheme="minorHAnsi" w:cs="Arial"/>
      <w:b/>
      <w:bCs/>
      <w:kern w:val="36"/>
      <w:lang w:val="nl-NL"/>
    </w:rPr>
  </w:style>
  <w:style w:type="paragraph" w:styleId="Heading2">
    <w:name w:val="heading 2"/>
    <w:basedOn w:val="Normal"/>
    <w:link w:val="Heading2Char"/>
    <w:uiPriority w:val="9"/>
    <w:semiHidden/>
    <w:unhideWhenUsed/>
    <w:qFormat/>
    <w:rsid w:val="002722F2"/>
    <w:pPr>
      <w:keepNext/>
      <w:numPr>
        <w:ilvl w:val="1"/>
        <w:numId w:val="1"/>
      </w:numPr>
      <w:spacing w:before="240" w:after="60" w:line="360" w:lineRule="auto"/>
      <w:ind w:left="0"/>
      <w:outlineLvl w:val="1"/>
    </w:pPr>
    <w:rPr>
      <w:rFonts w:eastAsiaTheme="minorHAnsi" w:cs="Arial"/>
      <w:b/>
      <w:bCs/>
      <w:lang w:val="nl-NL"/>
    </w:rPr>
  </w:style>
  <w:style w:type="paragraph" w:styleId="Heading3">
    <w:name w:val="heading 3"/>
    <w:basedOn w:val="Normal"/>
    <w:link w:val="Heading3Char"/>
    <w:uiPriority w:val="9"/>
    <w:semiHidden/>
    <w:unhideWhenUsed/>
    <w:qFormat/>
    <w:rsid w:val="002722F2"/>
    <w:pPr>
      <w:keepNext/>
      <w:numPr>
        <w:ilvl w:val="2"/>
        <w:numId w:val="1"/>
      </w:numPr>
      <w:spacing w:before="240" w:after="60" w:line="360" w:lineRule="auto"/>
      <w:outlineLvl w:val="2"/>
    </w:pPr>
    <w:rPr>
      <w:rFonts w:eastAsiaTheme="minorHAnsi" w:cs="Arial"/>
      <w:b/>
      <w:bCs/>
      <w:lang w:val="nl-NL"/>
    </w:rPr>
  </w:style>
  <w:style w:type="paragraph" w:styleId="Heading4">
    <w:name w:val="heading 4"/>
    <w:basedOn w:val="Normal"/>
    <w:link w:val="Heading4Char"/>
    <w:uiPriority w:val="9"/>
    <w:semiHidden/>
    <w:unhideWhenUsed/>
    <w:qFormat/>
    <w:rsid w:val="002722F2"/>
    <w:pPr>
      <w:keepNext/>
      <w:numPr>
        <w:ilvl w:val="3"/>
        <w:numId w:val="1"/>
      </w:numPr>
      <w:spacing w:before="240" w:after="60" w:line="360" w:lineRule="auto"/>
      <w:outlineLvl w:val="3"/>
    </w:pPr>
    <w:rPr>
      <w:rFonts w:ascii="Calibri" w:eastAsiaTheme="minorHAnsi" w:hAnsi="Calibri"/>
      <w:b/>
      <w:bCs/>
      <w:sz w:val="28"/>
      <w:szCs w:val="28"/>
      <w:lang w:val="nl-NL"/>
    </w:rPr>
  </w:style>
  <w:style w:type="paragraph" w:styleId="Heading5">
    <w:name w:val="heading 5"/>
    <w:basedOn w:val="Normal"/>
    <w:link w:val="Heading5Char"/>
    <w:uiPriority w:val="9"/>
    <w:semiHidden/>
    <w:unhideWhenUsed/>
    <w:qFormat/>
    <w:rsid w:val="002722F2"/>
    <w:pPr>
      <w:numPr>
        <w:ilvl w:val="4"/>
        <w:numId w:val="1"/>
      </w:numPr>
      <w:spacing w:before="240" w:after="60" w:line="360" w:lineRule="auto"/>
      <w:outlineLvl w:val="4"/>
    </w:pPr>
    <w:rPr>
      <w:rFonts w:ascii="Calibri" w:eastAsiaTheme="minorHAnsi" w:hAnsi="Calibri"/>
      <w:b/>
      <w:bCs/>
      <w:i/>
      <w:iCs/>
      <w:sz w:val="26"/>
      <w:szCs w:val="26"/>
      <w:lang w:val="nl-NL"/>
    </w:rPr>
  </w:style>
  <w:style w:type="paragraph" w:styleId="Heading6">
    <w:name w:val="heading 6"/>
    <w:basedOn w:val="Normal"/>
    <w:link w:val="Heading6Char"/>
    <w:uiPriority w:val="9"/>
    <w:semiHidden/>
    <w:unhideWhenUsed/>
    <w:qFormat/>
    <w:rsid w:val="002722F2"/>
    <w:pPr>
      <w:numPr>
        <w:ilvl w:val="5"/>
        <w:numId w:val="1"/>
      </w:numPr>
      <w:spacing w:before="240" w:after="60" w:line="360" w:lineRule="auto"/>
      <w:outlineLvl w:val="5"/>
    </w:pPr>
    <w:rPr>
      <w:rFonts w:ascii="Calibri" w:eastAsiaTheme="minorHAnsi" w:hAnsi="Calibri"/>
      <w:b/>
      <w:bCs/>
      <w:sz w:val="22"/>
      <w:szCs w:val="22"/>
      <w:lang w:val="nl-NL"/>
    </w:rPr>
  </w:style>
  <w:style w:type="paragraph" w:styleId="Heading7">
    <w:name w:val="heading 7"/>
    <w:basedOn w:val="Normal"/>
    <w:link w:val="Heading7Char"/>
    <w:uiPriority w:val="99"/>
    <w:semiHidden/>
    <w:unhideWhenUsed/>
    <w:qFormat/>
    <w:rsid w:val="002722F2"/>
    <w:pPr>
      <w:numPr>
        <w:ilvl w:val="6"/>
        <w:numId w:val="1"/>
      </w:numPr>
      <w:spacing w:before="240" w:after="60" w:line="360" w:lineRule="auto"/>
      <w:outlineLvl w:val="6"/>
    </w:pPr>
    <w:rPr>
      <w:rFonts w:ascii="Calibri" w:eastAsiaTheme="minorHAnsi" w:hAnsi="Calibri"/>
      <w:sz w:val="24"/>
      <w:szCs w:val="24"/>
      <w:lang w:val="nl-NL"/>
    </w:rPr>
  </w:style>
  <w:style w:type="paragraph" w:styleId="Heading8">
    <w:name w:val="heading 8"/>
    <w:basedOn w:val="Normal"/>
    <w:link w:val="Heading8Char"/>
    <w:uiPriority w:val="99"/>
    <w:semiHidden/>
    <w:unhideWhenUsed/>
    <w:qFormat/>
    <w:rsid w:val="002722F2"/>
    <w:pPr>
      <w:numPr>
        <w:ilvl w:val="7"/>
        <w:numId w:val="1"/>
      </w:numPr>
      <w:spacing w:before="240" w:after="60" w:line="360" w:lineRule="auto"/>
      <w:outlineLvl w:val="7"/>
    </w:pPr>
    <w:rPr>
      <w:rFonts w:ascii="Calibri" w:eastAsiaTheme="minorHAnsi" w:hAnsi="Calibri"/>
      <w:i/>
      <w:iCs/>
      <w:sz w:val="24"/>
      <w:szCs w:val="24"/>
      <w:lang w:val="nl-NL"/>
    </w:rPr>
  </w:style>
  <w:style w:type="paragraph" w:styleId="Heading9">
    <w:name w:val="heading 9"/>
    <w:basedOn w:val="Normal"/>
    <w:link w:val="Heading9Char"/>
    <w:uiPriority w:val="99"/>
    <w:semiHidden/>
    <w:unhideWhenUsed/>
    <w:qFormat/>
    <w:rsid w:val="002722F2"/>
    <w:pPr>
      <w:numPr>
        <w:ilvl w:val="8"/>
        <w:numId w:val="1"/>
      </w:numPr>
      <w:spacing w:before="240" w:after="60" w:line="360" w:lineRule="auto"/>
      <w:outlineLvl w:val="8"/>
    </w:pPr>
    <w:rPr>
      <w:rFonts w:ascii="Cambria" w:eastAsiaTheme="minorHAnsi" w:hAnsi="Cambria"/>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2F2"/>
    <w:rPr>
      <w:rFonts w:ascii="Arial" w:hAnsi="Arial" w:cs="Arial"/>
      <w:b/>
      <w:bCs/>
      <w:kern w:val="36"/>
      <w:sz w:val="20"/>
      <w:szCs w:val="20"/>
      <w:lang w:eastAsia="nl-NL"/>
    </w:rPr>
  </w:style>
  <w:style w:type="character" w:customStyle="1" w:styleId="Heading2Char">
    <w:name w:val="Heading 2 Char"/>
    <w:basedOn w:val="DefaultParagraphFont"/>
    <w:link w:val="Heading2"/>
    <w:uiPriority w:val="9"/>
    <w:semiHidden/>
    <w:rsid w:val="002722F2"/>
    <w:rPr>
      <w:rFonts w:ascii="Arial" w:hAnsi="Arial" w:cs="Arial"/>
      <w:b/>
      <w:bCs/>
      <w:sz w:val="20"/>
      <w:szCs w:val="20"/>
      <w:lang w:eastAsia="nl-NL"/>
    </w:rPr>
  </w:style>
  <w:style w:type="character" w:customStyle="1" w:styleId="Heading3Char">
    <w:name w:val="Heading 3 Char"/>
    <w:basedOn w:val="DefaultParagraphFont"/>
    <w:link w:val="Heading3"/>
    <w:uiPriority w:val="9"/>
    <w:semiHidden/>
    <w:rsid w:val="002722F2"/>
    <w:rPr>
      <w:rFonts w:ascii="Arial" w:hAnsi="Arial" w:cs="Arial"/>
      <w:b/>
      <w:bCs/>
      <w:sz w:val="20"/>
      <w:szCs w:val="20"/>
      <w:lang w:eastAsia="nl-NL"/>
    </w:rPr>
  </w:style>
  <w:style w:type="character" w:customStyle="1" w:styleId="Heading4Char">
    <w:name w:val="Heading 4 Char"/>
    <w:basedOn w:val="DefaultParagraphFont"/>
    <w:link w:val="Heading4"/>
    <w:uiPriority w:val="9"/>
    <w:semiHidden/>
    <w:rsid w:val="002722F2"/>
    <w:rPr>
      <w:rFonts w:ascii="Calibri" w:hAnsi="Calibri" w:cs="Times New Roman"/>
      <w:b/>
      <w:bCs/>
      <w:sz w:val="28"/>
      <w:szCs w:val="28"/>
      <w:lang w:eastAsia="nl-NL"/>
    </w:rPr>
  </w:style>
  <w:style w:type="character" w:customStyle="1" w:styleId="Heading5Char">
    <w:name w:val="Heading 5 Char"/>
    <w:basedOn w:val="DefaultParagraphFont"/>
    <w:link w:val="Heading5"/>
    <w:uiPriority w:val="9"/>
    <w:semiHidden/>
    <w:rsid w:val="002722F2"/>
    <w:rPr>
      <w:rFonts w:ascii="Calibri" w:hAnsi="Calibri" w:cs="Times New Roman"/>
      <w:b/>
      <w:bCs/>
      <w:i/>
      <w:iCs/>
      <w:sz w:val="26"/>
      <w:szCs w:val="26"/>
      <w:lang w:eastAsia="nl-NL"/>
    </w:rPr>
  </w:style>
  <w:style w:type="character" w:customStyle="1" w:styleId="Heading6Char">
    <w:name w:val="Heading 6 Char"/>
    <w:basedOn w:val="DefaultParagraphFont"/>
    <w:link w:val="Heading6"/>
    <w:uiPriority w:val="9"/>
    <w:semiHidden/>
    <w:rsid w:val="002722F2"/>
    <w:rPr>
      <w:rFonts w:ascii="Calibri" w:hAnsi="Calibri" w:cs="Times New Roman"/>
      <w:b/>
      <w:bCs/>
      <w:lang w:eastAsia="nl-NL"/>
    </w:rPr>
  </w:style>
  <w:style w:type="character" w:customStyle="1" w:styleId="Heading7Char">
    <w:name w:val="Heading 7 Char"/>
    <w:basedOn w:val="DefaultParagraphFont"/>
    <w:link w:val="Heading7"/>
    <w:uiPriority w:val="99"/>
    <w:semiHidden/>
    <w:rsid w:val="002722F2"/>
    <w:rPr>
      <w:rFonts w:ascii="Calibri" w:hAnsi="Calibri" w:cs="Times New Roman"/>
      <w:sz w:val="24"/>
      <w:szCs w:val="24"/>
      <w:lang w:eastAsia="nl-NL"/>
    </w:rPr>
  </w:style>
  <w:style w:type="character" w:customStyle="1" w:styleId="Heading8Char">
    <w:name w:val="Heading 8 Char"/>
    <w:basedOn w:val="DefaultParagraphFont"/>
    <w:link w:val="Heading8"/>
    <w:uiPriority w:val="99"/>
    <w:semiHidden/>
    <w:rsid w:val="002722F2"/>
    <w:rPr>
      <w:rFonts w:ascii="Calibri" w:hAnsi="Calibri" w:cs="Times New Roman"/>
      <w:i/>
      <w:iCs/>
      <w:sz w:val="24"/>
      <w:szCs w:val="24"/>
      <w:lang w:eastAsia="nl-NL"/>
    </w:rPr>
  </w:style>
  <w:style w:type="character" w:customStyle="1" w:styleId="Heading9Char">
    <w:name w:val="Heading 9 Char"/>
    <w:basedOn w:val="DefaultParagraphFont"/>
    <w:link w:val="Heading9"/>
    <w:uiPriority w:val="99"/>
    <w:semiHidden/>
    <w:rsid w:val="002722F2"/>
    <w:rPr>
      <w:rFonts w:ascii="Cambria" w:hAnsi="Cambria" w:cs="Times New Roman"/>
      <w:lang w:eastAsia="nl-NL"/>
    </w:rPr>
  </w:style>
  <w:style w:type="paragraph" w:styleId="BodyText">
    <w:name w:val="Body Text"/>
    <w:basedOn w:val="Normal"/>
    <w:link w:val="BodyTextChar"/>
    <w:rsid w:val="002722F2"/>
    <w:pPr>
      <w:tabs>
        <w:tab w:val="left" w:pos="1418"/>
        <w:tab w:val="left" w:pos="2835"/>
        <w:tab w:val="left" w:pos="4253"/>
        <w:tab w:val="left" w:pos="5670"/>
      </w:tabs>
      <w:suppressAutoHyphens/>
      <w:spacing w:line="360" w:lineRule="auto"/>
    </w:pPr>
    <w:rPr>
      <w:lang w:val="nl-NL"/>
    </w:rPr>
  </w:style>
  <w:style w:type="character" w:customStyle="1" w:styleId="BodyTextChar">
    <w:name w:val="Body Text Char"/>
    <w:basedOn w:val="DefaultParagraphFont"/>
    <w:link w:val="BodyText"/>
    <w:rsid w:val="002722F2"/>
    <w:rPr>
      <w:rFonts w:ascii="Arial" w:eastAsia="Times New Roman" w:hAnsi="Arial" w:cs="Times New Roman"/>
      <w:sz w:val="20"/>
      <w:szCs w:val="20"/>
      <w:lang w:eastAsia="nl-NL"/>
    </w:rPr>
  </w:style>
  <w:style w:type="character" w:styleId="Strong">
    <w:name w:val="Strong"/>
    <w:basedOn w:val="DefaultParagraphFont"/>
    <w:uiPriority w:val="22"/>
    <w:qFormat/>
    <w:rsid w:val="002722F2"/>
    <w:rPr>
      <w:b/>
      <w:bCs/>
    </w:rPr>
  </w:style>
  <w:style w:type="paragraph" w:styleId="ListParagraph">
    <w:name w:val="List Paragraph"/>
    <w:basedOn w:val="Normal"/>
    <w:uiPriority w:val="34"/>
    <w:qFormat/>
    <w:rsid w:val="002722F2"/>
    <w:pPr>
      <w:ind w:left="720"/>
      <w:contextualSpacing/>
    </w:pPr>
  </w:style>
  <w:style w:type="paragraph" w:styleId="FootnoteText">
    <w:name w:val="footnote text"/>
    <w:basedOn w:val="Normal"/>
    <w:link w:val="FootnoteTextChar"/>
    <w:uiPriority w:val="99"/>
    <w:unhideWhenUsed/>
    <w:rsid w:val="003F4D24"/>
  </w:style>
  <w:style w:type="character" w:customStyle="1" w:styleId="FootnoteTextChar">
    <w:name w:val="Footnote Text Char"/>
    <w:basedOn w:val="DefaultParagraphFont"/>
    <w:link w:val="FootnoteText"/>
    <w:uiPriority w:val="99"/>
    <w:rsid w:val="003F4D24"/>
    <w:rPr>
      <w:rFonts w:ascii="Arial" w:eastAsia="Times New Roman" w:hAnsi="Arial" w:cs="Times New Roman"/>
      <w:sz w:val="20"/>
      <w:szCs w:val="20"/>
      <w:lang w:val="nl" w:eastAsia="nl-NL"/>
    </w:rPr>
  </w:style>
  <w:style w:type="character" w:styleId="FootnoteReference">
    <w:name w:val="footnote reference"/>
    <w:basedOn w:val="DefaultParagraphFont"/>
    <w:uiPriority w:val="99"/>
    <w:semiHidden/>
    <w:unhideWhenUsed/>
    <w:rsid w:val="003F4D24"/>
    <w:rPr>
      <w:vertAlign w:val="superscript"/>
    </w:rPr>
  </w:style>
  <w:style w:type="character" w:styleId="CommentReference">
    <w:name w:val="annotation reference"/>
    <w:basedOn w:val="DefaultParagraphFont"/>
    <w:uiPriority w:val="99"/>
    <w:semiHidden/>
    <w:unhideWhenUsed/>
    <w:rsid w:val="006C10B8"/>
    <w:rPr>
      <w:sz w:val="16"/>
      <w:szCs w:val="16"/>
    </w:rPr>
  </w:style>
  <w:style w:type="paragraph" w:styleId="CommentText">
    <w:name w:val="annotation text"/>
    <w:basedOn w:val="Normal"/>
    <w:link w:val="CommentTextChar"/>
    <w:uiPriority w:val="99"/>
    <w:semiHidden/>
    <w:unhideWhenUsed/>
    <w:rsid w:val="006C10B8"/>
  </w:style>
  <w:style w:type="character" w:customStyle="1" w:styleId="CommentTextChar">
    <w:name w:val="Comment Text Char"/>
    <w:basedOn w:val="DefaultParagraphFont"/>
    <w:link w:val="CommentText"/>
    <w:uiPriority w:val="99"/>
    <w:semiHidden/>
    <w:rsid w:val="006C10B8"/>
    <w:rPr>
      <w:rFonts w:ascii="Arial" w:eastAsia="Times New Roman" w:hAnsi="Arial" w:cs="Times New Roman"/>
      <w:sz w:val="20"/>
      <w:szCs w:val="20"/>
      <w:lang w:val="nl" w:eastAsia="nl-NL"/>
    </w:rPr>
  </w:style>
  <w:style w:type="paragraph" w:styleId="CommentSubject">
    <w:name w:val="annotation subject"/>
    <w:basedOn w:val="CommentText"/>
    <w:next w:val="CommentText"/>
    <w:link w:val="CommentSubjectChar"/>
    <w:uiPriority w:val="99"/>
    <w:semiHidden/>
    <w:unhideWhenUsed/>
    <w:rsid w:val="006C10B8"/>
    <w:rPr>
      <w:b/>
      <w:bCs/>
    </w:rPr>
  </w:style>
  <w:style w:type="character" w:customStyle="1" w:styleId="CommentSubjectChar">
    <w:name w:val="Comment Subject Char"/>
    <w:basedOn w:val="CommentTextChar"/>
    <w:link w:val="CommentSubject"/>
    <w:uiPriority w:val="99"/>
    <w:semiHidden/>
    <w:rsid w:val="006C10B8"/>
    <w:rPr>
      <w:rFonts w:ascii="Arial" w:eastAsia="Times New Roman" w:hAnsi="Arial" w:cs="Times New Roman"/>
      <w:b/>
      <w:bCs/>
      <w:sz w:val="20"/>
      <w:szCs w:val="20"/>
      <w:lang w:val="nl" w:eastAsia="nl-NL"/>
    </w:rPr>
  </w:style>
  <w:style w:type="paragraph" w:styleId="BalloonText">
    <w:name w:val="Balloon Text"/>
    <w:basedOn w:val="Normal"/>
    <w:link w:val="BalloonTextChar"/>
    <w:uiPriority w:val="99"/>
    <w:semiHidden/>
    <w:unhideWhenUsed/>
    <w:rsid w:val="006C10B8"/>
    <w:rPr>
      <w:rFonts w:ascii="Tahoma" w:hAnsi="Tahoma" w:cs="Tahoma"/>
      <w:sz w:val="16"/>
      <w:szCs w:val="16"/>
    </w:rPr>
  </w:style>
  <w:style w:type="character" w:customStyle="1" w:styleId="BalloonTextChar">
    <w:name w:val="Balloon Text Char"/>
    <w:basedOn w:val="DefaultParagraphFont"/>
    <w:link w:val="BalloonText"/>
    <w:uiPriority w:val="99"/>
    <w:semiHidden/>
    <w:rsid w:val="006C10B8"/>
    <w:rPr>
      <w:rFonts w:ascii="Tahoma" w:eastAsia="Times New Roman" w:hAnsi="Tahoma" w:cs="Tahoma"/>
      <w:sz w:val="16"/>
      <w:szCs w:val="16"/>
      <w:lang w:val="nl" w:eastAsia="nl-NL"/>
    </w:rPr>
  </w:style>
  <w:style w:type="paragraph" w:styleId="Header">
    <w:name w:val="header"/>
    <w:basedOn w:val="Normal"/>
    <w:link w:val="HeaderChar"/>
    <w:uiPriority w:val="99"/>
    <w:unhideWhenUsed/>
    <w:rsid w:val="00ED317F"/>
    <w:pPr>
      <w:tabs>
        <w:tab w:val="center" w:pos="4513"/>
        <w:tab w:val="right" w:pos="9026"/>
      </w:tabs>
    </w:pPr>
  </w:style>
  <w:style w:type="character" w:customStyle="1" w:styleId="HeaderChar">
    <w:name w:val="Header Char"/>
    <w:basedOn w:val="DefaultParagraphFont"/>
    <w:link w:val="Header"/>
    <w:uiPriority w:val="99"/>
    <w:rsid w:val="00ED317F"/>
    <w:rPr>
      <w:rFonts w:ascii="Arial" w:eastAsia="Times New Roman" w:hAnsi="Arial" w:cs="Times New Roman"/>
      <w:sz w:val="20"/>
      <w:szCs w:val="20"/>
      <w:lang w:val="nl" w:eastAsia="nl-NL"/>
    </w:rPr>
  </w:style>
  <w:style w:type="paragraph" w:styleId="Footer">
    <w:name w:val="footer"/>
    <w:basedOn w:val="Normal"/>
    <w:link w:val="FooterChar"/>
    <w:uiPriority w:val="99"/>
    <w:unhideWhenUsed/>
    <w:rsid w:val="00ED317F"/>
    <w:pPr>
      <w:tabs>
        <w:tab w:val="center" w:pos="4513"/>
        <w:tab w:val="right" w:pos="9026"/>
      </w:tabs>
    </w:pPr>
  </w:style>
  <w:style w:type="character" w:customStyle="1" w:styleId="FooterChar">
    <w:name w:val="Footer Char"/>
    <w:basedOn w:val="DefaultParagraphFont"/>
    <w:link w:val="Footer"/>
    <w:uiPriority w:val="99"/>
    <w:rsid w:val="00ED317F"/>
    <w:rPr>
      <w:rFonts w:ascii="Arial" w:eastAsia="Times New Roman" w:hAnsi="Arial" w:cs="Times New Roman"/>
      <w:sz w:val="20"/>
      <w:szCs w:val="20"/>
      <w:lang w:va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F2"/>
    <w:pPr>
      <w:spacing w:line="240" w:lineRule="auto"/>
    </w:pPr>
    <w:rPr>
      <w:rFonts w:ascii="Arial" w:eastAsia="Times New Roman" w:hAnsi="Arial" w:cs="Times New Roman"/>
      <w:sz w:val="20"/>
      <w:szCs w:val="20"/>
      <w:lang w:val="nl" w:eastAsia="nl-NL"/>
    </w:rPr>
  </w:style>
  <w:style w:type="paragraph" w:styleId="Heading1">
    <w:name w:val="heading 1"/>
    <w:basedOn w:val="Normal"/>
    <w:link w:val="Heading1Char"/>
    <w:uiPriority w:val="9"/>
    <w:qFormat/>
    <w:rsid w:val="002722F2"/>
    <w:pPr>
      <w:numPr>
        <w:numId w:val="1"/>
      </w:numPr>
      <w:spacing w:line="360" w:lineRule="auto"/>
      <w:outlineLvl w:val="0"/>
    </w:pPr>
    <w:rPr>
      <w:rFonts w:eastAsiaTheme="minorHAnsi" w:cs="Arial"/>
      <w:b/>
      <w:bCs/>
      <w:kern w:val="36"/>
      <w:lang w:val="nl-NL"/>
    </w:rPr>
  </w:style>
  <w:style w:type="paragraph" w:styleId="Heading2">
    <w:name w:val="heading 2"/>
    <w:basedOn w:val="Normal"/>
    <w:link w:val="Heading2Char"/>
    <w:uiPriority w:val="9"/>
    <w:semiHidden/>
    <w:unhideWhenUsed/>
    <w:qFormat/>
    <w:rsid w:val="002722F2"/>
    <w:pPr>
      <w:keepNext/>
      <w:numPr>
        <w:ilvl w:val="1"/>
        <w:numId w:val="1"/>
      </w:numPr>
      <w:spacing w:before="240" w:after="60" w:line="360" w:lineRule="auto"/>
      <w:ind w:left="0"/>
      <w:outlineLvl w:val="1"/>
    </w:pPr>
    <w:rPr>
      <w:rFonts w:eastAsiaTheme="minorHAnsi" w:cs="Arial"/>
      <w:b/>
      <w:bCs/>
      <w:lang w:val="nl-NL"/>
    </w:rPr>
  </w:style>
  <w:style w:type="paragraph" w:styleId="Heading3">
    <w:name w:val="heading 3"/>
    <w:basedOn w:val="Normal"/>
    <w:link w:val="Heading3Char"/>
    <w:uiPriority w:val="9"/>
    <w:semiHidden/>
    <w:unhideWhenUsed/>
    <w:qFormat/>
    <w:rsid w:val="002722F2"/>
    <w:pPr>
      <w:keepNext/>
      <w:numPr>
        <w:ilvl w:val="2"/>
        <w:numId w:val="1"/>
      </w:numPr>
      <w:spacing w:before="240" w:after="60" w:line="360" w:lineRule="auto"/>
      <w:outlineLvl w:val="2"/>
    </w:pPr>
    <w:rPr>
      <w:rFonts w:eastAsiaTheme="minorHAnsi" w:cs="Arial"/>
      <w:b/>
      <w:bCs/>
      <w:lang w:val="nl-NL"/>
    </w:rPr>
  </w:style>
  <w:style w:type="paragraph" w:styleId="Heading4">
    <w:name w:val="heading 4"/>
    <w:basedOn w:val="Normal"/>
    <w:link w:val="Heading4Char"/>
    <w:uiPriority w:val="9"/>
    <w:semiHidden/>
    <w:unhideWhenUsed/>
    <w:qFormat/>
    <w:rsid w:val="002722F2"/>
    <w:pPr>
      <w:keepNext/>
      <w:numPr>
        <w:ilvl w:val="3"/>
        <w:numId w:val="1"/>
      </w:numPr>
      <w:spacing w:before="240" w:after="60" w:line="360" w:lineRule="auto"/>
      <w:outlineLvl w:val="3"/>
    </w:pPr>
    <w:rPr>
      <w:rFonts w:ascii="Calibri" w:eastAsiaTheme="minorHAnsi" w:hAnsi="Calibri"/>
      <w:b/>
      <w:bCs/>
      <w:sz w:val="28"/>
      <w:szCs w:val="28"/>
      <w:lang w:val="nl-NL"/>
    </w:rPr>
  </w:style>
  <w:style w:type="paragraph" w:styleId="Heading5">
    <w:name w:val="heading 5"/>
    <w:basedOn w:val="Normal"/>
    <w:link w:val="Heading5Char"/>
    <w:uiPriority w:val="9"/>
    <w:semiHidden/>
    <w:unhideWhenUsed/>
    <w:qFormat/>
    <w:rsid w:val="002722F2"/>
    <w:pPr>
      <w:numPr>
        <w:ilvl w:val="4"/>
        <w:numId w:val="1"/>
      </w:numPr>
      <w:spacing w:before="240" w:after="60" w:line="360" w:lineRule="auto"/>
      <w:outlineLvl w:val="4"/>
    </w:pPr>
    <w:rPr>
      <w:rFonts w:ascii="Calibri" w:eastAsiaTheme="minorHAnsi" w:hAnsi="Calibri"/>
      <w:b/>
      <w:bCs/>
      <w:i/>
      <w:iCs/>
      <w:sz w:val="26"/>
      <w:szCs w:val="26"/>
      <w:lang w:val="nl-NL"/>
    </w:rPr>
  </w:style>
  <w:style w:type="paragraph" w:styleId="Heading6">
    <w:name w:val="heading 6"/>
    <w:basedOn w:val="Normal"/>
    <w:link w:val="Heading6Char"/>
    <w:uiPriority w:val="9"/>
    <w:semiHidden/>
    <w:unhideWhenUsed/>
    <w:qFormat/>
    <w:rsid w:val="002722F2"/>
    <w:pPr>
      <w:numPr>
        <w:ilvl w:val="5"/>
        <w:numId w:val="1"/>
      </w:numPr>
      <w:spacing w:before="240" w:after="60" w:line="360" w:lineRule="auto"/>
      <w:outlineLvl w:val="5"/>
    </w:pPr>
    <w:rPr>
      <w:rFonts w:ascii="Calibri" w:eastAsiaTheme="minorHAnsi" w:hAnsi="Calibri"/>
      <w:b/>
      <w:bCs/>
      <w:sz w:val="22"/>
      <w:szCs w:val="22"/>
      <w:lang w:val="nl-NL"/>
    </w:rPr>
  </w:style>
  <w:style w:type="paragraph" w:styleId="Heading7">
    <w:name w:val="heading 7"/>
    <w:basedOn w:val="Normal"/>
    <w:link w:val="Heading7Char"/>
    <w:uiPriority w:val="99"/>
    <w:semiHidden/>
    <w:unhideWhenUsed/>
    <w:qFormat/>
    <w:rsid w:val="002722F2"/>
    <w:pPr>
      <w:numPr>
        <w:ilvl w:val="6"/>
        <w:numId w:val="1"/>
      </w:numPr>
      <w:spacing w:before="240" w:after="60" w:line="360" w:lineRule="auto"/>
      <w:outlineLvl w:val="6"/>
    </w:pPr>
    <w:rPr>
      <w:rFonts w:ascii="Calibri" w:eastAsiaTheme="minorHAnsi" w:hAnsi="Calibri"/>
      <w:sz w:val="24"/>
      <w:szCs w:val="24"/>
      <w:lang w:val="nl-NL"/>
    </w:rPr>
  </w:style>
  <w:style w:type="paragraph" w:styleId="Heading8">
    <w:name w:val="heading 8"/>
    <w:basedOn w:val="Normal"/>
    <w:link w:val="Heading8Char"/>
    <w:uiPriority w:val="99"/>
    <w:semiHidden/>
    <w:unhideWhenUsed/>
    <w:qFormat/>
    <w:rsid w:val="002722F2"/>
    <w:pPr>
      <w:numPr>
        <w:ilvl w:val="7"/>
        <w:numId w:val="1"/>
      </w:numPr>
      <w:spacing w:before="240" w:after="60" w:line="360" w:lineRule="auto"/>
      <w:outlineLvl w:val="7"/>
    </w:pPr>
    <w:rPr>
      <w:rFonts w:ascii="Calibri" w:eastAsiaTheme="minorHAnsi" w:hAnsi="Calibri"/>
      <w:i/>
      <w:iCs/>
      <w:sz w:val="24"/>
      <w:szCs w:val="24"/>
      <w:lang w:val="nl-NL"/>
    </w:rPr>
  </w:style>
  <w:style w:type="paragraph" w:styleId="Heading9">
    <w:name w:val="heading 9"/>
    <w:basedOn w:val="Normal"/>
    <w:link w:val="Heading9Char"/>
    <w:uiPriority w:val="99"/>
    <w:semiHidden/>
    <w:unhideWhenUsed/>
    <w:qFormat/>
    <w:rsid w:val="002722F2"/>
    <w:pPr>
      <w:numPr>
        <w:ilvl w:val="8"/>
        <w:numId w:val="1"/>
      </w:numPr>
      <w:spacing w:before="240" w:after="60" w:line="360" w:lineRule="auto"/>
      <w:outlineLvl w:val="8"/>
    </w:pPr>
    <w:rPr>
      <w:rFonts w:ascii="Cambria" w:eastAsiaTheme="minorHAnsi" w:hAnsi="Cambria"/>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2F2"/>
    <w:rPr>
      <w:rFonts w:ascii="Arial" w:hAnsi="Arial" w:cs="Arial"/>
      <w:b/>
      <w:bCs/>
      <w:kern w:val="36"/>
      <w:sz w:val="20"/>
      <w:szCs w:val="20"/>
      <w:lang w:eastAsia="nl-NL"/>
    </w:rPr>
  </w:style>
  <w:style w:type="character" w:customStyle="1" w:styleId="Heading2Char">
    <w:name w:val="Heading 2 Char"/>
    <w:basedOn w:val="DefaultParagraphFont"/>
    <w:link w:val="Heading2"/>
    <w:uiPriority w:val="9"/>
    <w:semiHidden/>
    <w:rsid w:val="002722F2"/>
    <w:rPr>
      <w:rFonts w:ascii="Arial" w:hAnsi="Arial" w:cs="Arial"/>
      <w:b/>
      <w:bCs/>
      <w:sz w:val="20"/>
      <w:szCs w:val="20"/>
      <w:lang w:eastAsia="nl-NL"/>
    </w:rPr>
  </w:style>
  <w:style w:type="character" w:customStyle="1" w:styleId="Heading3Char">
    <w:name w:val="Heading 3 Char"/>
    <w:basedOn w:val="DefaultParagraphFont"/>
    <w:link w:val="Heading3"/>
    <w:uiPriority w:val="9"/>
    <w:semiHidden/>
    <w:rsid w:val="002722F2"/>
    <w:rPr>
      <w:rFonts w:ascii="Arial" w:hAnsi="Arial" w:cs="Arial"/>
      <w:b/>
      <w:bCs/>
      <w:sz w:val="20"/>
      <w:szCs w:val="20"/>
      <w:lang w:eastAsia="nl-NL"/>
    </w:rPr>
  </w:style>
  <w:style w:type="character" w:customStyle="1" w:styleId="Heading4Char">
    <w:name w:val="Heading 4 Char"/>
    <w:basedOn w:val="DefaultParagraphFont"/>
    <w:link w:val="Heading4"/>
    <w:uiPriority w:val="9"/>
    <w:semiHidden/>
    <w:rsid w:val="002722F2"/>
    <w:rPr>
      <w:rFonts w:ascii="Calibri" w:hAnsi="Calibri" w:cs="Times New Roman"/>
      <w:b/>
      <w:bCs/>
      <w:sz w:val="28"/>
      <w:szCs w:val="28"/>
      <w:lang w:eastAsia="nl-NL"/>
    </w:rPr>
  </w:style>
  <w:style w:type="character" w:customStyle="1" w:styleId="Heading5Char">
    <w:name w:val="Heading 5 Char"/>
    <w:basedOn w:val="DefaultParagraphFont"/>
    <w:link w:val="Heading5"/>
    <w:uiPriority w:val="9"/>
    <w:semiHidden/>
    <w:rsid w:val="002722F2"/>
    <w:rPr>
      <w:rFonts w:ascii="Calibri" w:hAnsi="Calibri" w:cs="Times New Roman"/>
      <w:b/>
      <w:bCs/>
      <w:i/>
      <w:iCs/>
      <w:sz w:val="26"/>
      <w:szCs w:val="26"/>
      <w:lang w:eastAsia="nl-NL"/>
    </w:rPr>
  </w:style>
  <w:style w:type="character" w:customStyle="1" w:styleId="Heading6Char">
    <w:name w:val="Heading 6 Char"/>
    <w:basedOn w:val="DefaultParagraphFont"/>
    <w:link w:val="Heading6"/>
    <w:uiPriority w:val="9"/>
    <w:semiHidden/>
    <w:rsid w:val="002722F2"/>
    <w:rPr>
      <w:rFonts w:ascii="Calibri" w:hAnsi="Calibri" w:cs="Times New Roman"/>
      <w:b/>
      <w:bCs/>
      <w:lang w:eastAsia="nl-NL"/>
    </w:rPr>
  </w:style>
  <w:style w:type="character" w:customStyle="1" w:styleId="Heading7Char">
    <w:name w:val="Heading 7 Char"/>
    <w:basedOn w:val="DefaultParagraphFont"/>
    <w:link w:val="Heading7"/>
    <w:uiPriority w:val="99"/>
    <w:semiHidden/>
    <w:rsid w:val="002722F2"/>
    <w:rPr>
      <w:rFonts w:ascii="Calibri" w:hAnsi="Calibri" w:cs="Times New Roman"/>
      <w:sz w:val="24"/>
      <w:szCs w:val="24"/>
      <w:lang w:eastAsia="nl-NL"/>
    </w:rPr>
  </w:style>
  <w:style w:type="character" w:customStyle="1" w:styleId="Heading8Char">
    <w:name w:val="Heading 8 Char"/>
    <w:basedOn w:val="DefaultParagraphFont"/>
    <w:link w:val="Heading8"/>
    <w:uiPriority w:val="99"/>
    <w:semiHidden/>
    <w:rsid w:val="002722F2"/>
    <w:rPr>
      <w:rFonts w:ascii="Calibri" w:hAnsi="Calibri" w:cs="Times New Roman"/>
      <w:i/>
      <w:iCs/>
      <w:sz w:val="24"/>
      <w:szCs w:val="24"/>
      <w:lang w:eastAsia="nl-NL"/>
    </w:rPr>
  </w:style>
  <w:style w:type="character" w:customStyle="1" w:styleId="Heading9Char">
    <w:name w:val="Heading 9 Char"/>
    <w:basedOn w:val="DefaultParagraphFont"/>
    <w:link w:val="Heading9"/>
    <w:uiPriority w:val="99"/>
    <w:semiHidden/>
    <w:rsid w:val="002722F2"/>
    <w:rPr>
      <w:rFonts w:ascii="Cambria" w:hAnsi="Cambria" w:cs="Times New Roman"/>
      <w:lang w:eastAsia="nl-NL"/>
    </w:rPr>
  </w:style>
  <w:style w:type="paragraph" w:styleId="BodyText">
    <w:name w:val="Body Text"/>
    <w:basedOn w:val="Normal"/>
    <w:link w:val="BodyTextChar"/>
    <w:rsid w:val="002722F2"/>
    <w:pPr>
      <w:tabs>
        <w:tab w:val="left" w:pos="1418"/>
        <w:tab w:val="left" w:pos="2835"/>
        <w:tab w:val="left" w:pos="4253"/>
        <w:tab w:val="left" w:pos="5670"/>
      </w:tabs>
      <w:suppressAutoHyphens/>
      <w:spacing w:line="360" w:lineRule="auto"/>
    </w:pPr>
    <w:rPr>
      <w:lang w:val="nl-NL"/>
    </w:rPr>
  </w:style>
  <w:style w:type="character" w:customStyle="1" w:styleId="BodyTextChar">
    <w:name w:val="Body Text Char"/>
    <w:basedOn w:val="DefaultParagraphFont"/>
    <w:link w:val="BodyText"/>
    <w:rsid w:val="002722F2"/>
    <w:rPr>
      <w:rFonts w:ascii="Arial" w:eastAsia="Times New Roman" w:hAnsi="Arial" w:cs="Times New Roman"/>
      <w:sz w:val="20"/>
      <w:szCs w:val="20"/>
      <w:lang w:eastAsia="nl-NL"/>
    </w:rPr>
  </w:style>
  <w:style w:type="character" w:styleId="Strong">
    <w:name w:val="Strong"/>
    <w:basedOn w:val="DefaultParagraphFont"/>
    <w:uiPriority w:val="22"/>
    <w:qFormat/>
    <w:rsid w:val="002722F2"/>
    <w:rPr>
      <w:b/>
      <w:bCs/>
    </w:rPr>
  </w:style>
  <w:style w:type="paragraph" w:styleId="ListParagraph">
    <w:name w:val="List Paragraph"/>
    <w:basedOn w:val="Normal"/>
    <w:uiPriority w:val="34"/>
    <w:qFormat/>
    <w:rsid w:val="002722F2"/>
    <w:pPr>
      <w:ind w:left="720"/>
      <w:contextualSpacing/>
    </w:pPr>
  </w:style>
  <w:style w:type="paragraph" w:styleId="FootnoteText">
    <w:name w:val="footnote text"/>
    <w:basedOn w:val="Normal"/>
    <w:link w:val="FootnoteTextChar"/>
    <w:uiPriority w:val="99"/>
    <w:unhideWhenUsed/>
    <w:rsid w:val="003F4D24"/>
  </w:style>
  <w:style w:type="character" w:customStyle="1" w:styleId="FootnoteTextChar">
    <w:name w:val="Footnote Text Char"/>
    <w:basedOn w:val="DefaultParagraphFont"/>
    <w:link w:val="FootnoteText"/>
    <w:uiPriority w:val="99"/>
    <w:rsid w:val="003F4D24"/>
    <w:rPr>
      <w:rFonts w:ascii="Arial" w:eastAsia="Times New Roman" w:hAnsi="Arial" w:cs="Times New Roman"/>
      <w:sz w:val="20"/>
      <w:szCs w:val="20"/>
      <w:lang w:val="nl" w:eastAsia="nl-NL"/>
    </w:rPr>
  </w:style>
  <w:style w:type="character" w:styleId="FootnoteReference">
    <w:name w:val="footnote reference"/>
    <w:basedOn w:val="DefaultParagraphFont"/>
    <w:uiPriority w:val="99"/>
    <w:semiHidden/>
    <w:unhideWhenUsed/>
    <w:rsid w:val="003F4D24"/>
    <w:rPr>
      <w:vertAlign w:val="superscript"/>
    </w:rPr>
  </w:style>
  <w:style w:type="character" w:styleId="CommentReference">
    <w:name w:val="annotation reference"/>
    <w:basedOn w:val="DefaultParagraphFont"/>
    <w:uiPriority w:val="99"/>
    <w:semiHidden/>
    <w:unhideWhenUsed/>
    <w:rsid w:val="006C10B8"/>
    <w:rPr>
      <w:sz w:val="16"/>
      <w:szCs w:val="16"/>
    </w:rPr>
  </w:style>
  <w:style w:type="paragraph" w:styleId="CommentText">
    <w:name w:val="annotation text"/>
    <w:basedOn w:val="Normal"/>
    <w:link w:val="CommentTextChar"/>
    <w:uiPriority w:val="99"/>
    <w:semiHidden/>
    <w:unhideWhenUsed/>
    <w:rsid w:val="006C10B8"/>
  </w:style>
  <w:style w:type="character" w:customStyle="1" w:styleId="CommentTextChar">
    <w:name w:val="Comment Text Char"/>
    <w:basedOn w:val="DefaultParagraphFont"/>
    <w:link w:val="CommentText"/>
    <w:uiPriority w:val="99"/>
    <w:semiHidden/>
    <w:rsid w:val="006C10B8"/>
    <w:rPr>
      <w:rFonts w:ascii="Arial" w:eastAsia="Times New Roman" w:hAnsi="Arial" w:cs="Times New Roman"/>
      <w:sz w:val="20"/>
      <w:szCs w:val="20"/>
      <w:lang w:val="nl" w:eastAsia="nl-NL"/>
    </w:rPr>
  </w:style>
  <w:style w:type="paragraph" w:styleId="CommentSubject">
    <w:name w:val="annotation subject"/>
    <w:basedOn w:val="CommentText"/>
    <w:next w:val="CommentText"/>
    <w:link w:val="CommentSubjectChar"/>
    <w:uiPriority w:val="99"/>
    <w:semiHidden/>
    <w:unhideWhenUsed/>
    <w:rsid w:val="006C10B8"/>
    <w:rPr>
      <w:b/>
      <w:bCs/>
    </w:rPr>
  </w:style>
  <w:style w:type="character" w:customStyle="1" w:styleId="CommentSubjectChar">
    <w:name w:val="Comment Subject Char"/>
    <w:basedOn w:val="CommentTextChar"/>
    <w:link w:val="CommentSubject"/>
    <w:uiPriority w:val="99"/>
    <w:semiHidden/>
    <w:rsid w:val="006C10B8"/>
    <w:rPr>
      <w:rFonts w:ascii="Arial" w:eastAsia="Times New Roman" w:hAnsi="Arial" w:cs="Times New Roman"/>
      <w:b/>
      <w:bCs/>
      <w:sz w:val="20"/>
      <w:szCs w:val="20"/>
      <w:lang w:val="nl" w:eastAsia="nl-NL"/>
    </w:rPr>
  </w:style>
  <w:style w:type="paragraph" w:styleId="BalloonText">
    <w:name w:val="Balloon Text"/>
    <w:basedOn w:val="Normal"/>
    <w:link w:val="BalloonTextChar"/>
    <w:uiPriority w:val="99"/>
    <w:semiHidden/>
    <w:unhideWhenUsed/>
    <w:rsid w:val="006C10B8"/>
    <w:rPr>
      <w:rFonts w:ascii="Tahoma" w:hAnsi="Tahoma" w:cs="Tahoma"/>
      <w:sz w:val="16"/>
      <w:szCs w:val="16"/>
    </w:rPr>
  </w:style>
  <w:style w:type="character" w:customStyle="1" w:styleId="BalloonTextChar">
    <w:name w:val="Balloon Text Char"/>
    <w:basedOn w:val="DefaultParagraphFont"/>
    <w:link w:val="BalloonText"/>
    <w:uiPriority w:val="99"/>
    <w:semiHidden/>
    <w:rsid w:val="006C10B8"/>
    <w:rPr>
      <w:rFonts w:ascii="Tahoma" w:eastAsia="Times New Roman" w:hAnsi="Tahoma" w:cs="Tahoma"/>
      <w:sz w:val="16"/>
      <w:szCs w:val="16"/>
      <w:lang w:val="nl" w:eastAsia="nl-NL"/>
    </w:rPr>
  </w:style>
  <w:style w:type="paragraph" w:styleId="Header">
    <w:name w:val="header"/>
    <w:basedOn w:val="Normal"/>
    <w:link w:val="HeaderChar"/>
    <w:uiPriority w:val="99"/>
    <w:unhideWhenUsed/>
    <w:rsid w:val="00ED317F"/>
    <w:pPr>
      <w:tabs>
        <w:tab w:val="center" w:pos="4513"/>
        <w:tab w:val="right" w:pos="9026"/>
      </w:tabs>
    </w:pPr>
  </w:style>
  <w:style w:type="character" w:customStyle="1" w:styleId="HeaderChar">
    <w:name w:val="Header Char"/>
    <w:basedOn w:val="DefaultParagraphFont"/>
    <w:link w:val="Header"/>
    <w:uiPriority w:val="99"/>
    <w:rsid w:val="00ED317F"/>
    <w:rPr>
      <w:rFonts w:ascii="Arial" w:eastAsia="Times New Roman" w:hAnsi="Arial" w:cs="Times New Roman"/>
      <w:sz w:val="20"/>
      <w:szCs w:val="20"/>
      <w:lang w:val="nl" w:eastAsia="nl-NL"/>
    </w:rPr>
  </w:style>
  <w:style w:type="paragraph" w:styleId="Footer">
    <w:name w:val="footer"/>
    <w:basedOn w:val="Normal"/>
    <w:link w:val="FooterChar"/>
    <w:uiPriority w:val="99"/>
    <w:unhideWhenUsed/>
    <w:rsid w:val="00ED317F"/>
    <w:pPr>
      <w:tabs>
        <w:tab w:val="center" w:pos="4513"/>
        <w:tab w:val="right" w:pos="9026"/>
      </w:tabs>
    </w:pPr>
  </w:style>
  <w:style w:type="character" w:customStyle="1" w:styleId="FooterChar">
    <w:name w:val="Footer Char"/>
    <w:basedOn w:val="DefaultParagraphFont"/>
    <w:link w:val="Footer"/>
    <w:uiPriority w:val="99"/>
    <w:rsid w:val="00ED317F"/>
    <w:rPr>
      <w:rFonts w:ascii="Arial" w:eastAsia="Times New Roman" w:hAnsi="Arial"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59902">
      <w:bodyDiv w:val="1"/>
      <w:marLeft w:val="0"/>
      <w:marRight w:val="0"/>
      <w:marTop w:val="0"/>
      <w:marBottom w:val="0"/>
      <w:divBdr>
        <w:top w:val="none" w:sz="0" w:space="0" w:color="auto"/>
        <w:left w:val="none" w:sz="0" w:space="0" w:color="auto"/>
        <w:bottom w:val="none" w:sz="0" w:space="0" w:color="auto"/>
        <w:right w:val="none" w:sz="0" w:space="0" w:color="auto"/>
      </w:divBdr>
      <w:divsChild>
        <w:div w:id="916786686">
          <w:marLeft w:val="0"/>
          <w:marRight w:val="0"/>
          <w:marTop w:val="0"/>
          <w:marBottom w:val="0"/>
          <w:divBdr>
            <w:top w:val="none" w:sz="0" w:space="0" w:color="auto"/>
            <w:left w:val="none" w:sz="0" w:space="0" w:color="auto"/>
            <w:bottom w:val="none" w:sz="0" w:space="0" w:color="auto"/>
            <w:right w:val="none" w:sz="0" w:space="0" w:color="auto"/>
          </w:divBdr>
          <w:divsChild>
            <w:div w:id="455027676">
              <w:marLeft w:val="0"/>
              <w:marRight w:val="0"/>
              <w:marTop w:val="0"/>
              <w:marBottom w:val="0"/>
              <w:divBdr>
                <w:top w:val="none" w:sz="0" w:space="0" w:color="auto"/>
                <w:left w:val="none" w:sz="0" w:space="0" w:color="auto"/>
                <w:bottom w:val="none" w:sz="0" w:space="0" w:color="auto"/>
                <w:right w:val="none" w:sz="0" w:space="0" w:color="auto"/>
              </w:divBdr>
              <w:divsChild>
                <w:div w:id="810485181">
                  <w:marLeft w:val="0"/>
                  <w:marRight w:val="0"/>
                  <w:marTop w:val="0"/>
                  <w:marBottom w:val="0"/>
                  <w:divBdr>
                    <w:top w:val="none" w:sz="0" w:space="0" w:color="auto"/>
                    <w:left w:val="none" w:sz="0" w:space="0" w:color="auto"/>
                    <w:bottom w:val="none" w:sz="0" w:space="0" w:color="auto"/>
                    <w:right w:val="none" w:sz="0" w:space="0" w:color="auto"/>
                  </w:divBdr>
                  <w:divsChild>
                    <w:div w:id="35931312">
                      <w:marLeft w:val="0"/>
                      <w:marRight w:val="0"/>
                      <w:marTop w:val="0"/>
                      <w:marBottom w:val="0"/>
                      <w:divBdr>
                        <w:top w:val="none" w:sz="0" w:space="0" w:color="auto"/>
                        <w:left w:val="none" w:sz="0" w:space="0" w:color="auto"/>
                        <w:bottom w:val="none" w:sz="0" w:space="0" w:color="auto"/>
                        <w:right w:val="none" w:sz="0" w:space="0" w:color="auto"/>
                      </w:divBdr>
                      <w:divsChild>
                        <w:div w:id="2060745286">
                          <w:marLeft w:val="0"/>
                          <w:marRight w:val="0"/>
                          <w:marTop w:val="0"/>
                          <w:marBottom w:val="0"/>
                          <w:divBdr>
                            <w:top w:val="none" w:sz="0" w:space="0" w:color="auto"/>
                            <w:left w:val="none" w:sz="0" w:space="0" w:color="auto"/>
                            <w:bottom w:val="none" w:sz="0" w:space="0" w:color="auto"/>
                            <w:right w:val="none" w:sz="0" w:space="0" w:color="auto"/>
                          </w:divBdr>
                          <w:divsChild>
                            <w:div w:id="10803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2812</ap:Words>
  <ap:Characters>15472</ap:Characters>
  <ap:DocSecurity>0</ap:DocSecurity>
  <ap:Lines>128</ap:Lines>
  <ap:Paragraphs>36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18248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2013-08-20T15:28:00.0000000Z</lastPrinted>
  <dcterms:created xsi:type="dcterms:W3CDTF">2013-09-06T08:01:00.0000000Z</dcterms:created>
  <dcterms:modified xsi:type="dcterms:W3CDTF">2013-09-06T08:01:00.0000000Z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0x01010053F3FA45846C904FAFA0CFE04CD87850</vt:lpwstr>
  </property>
</Properties>
</file>