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Pr="007B4B2D" w:rsidR="001F622B">
      <w:pPr>
        <w:rPr>
          <w:rFonts w:ascii="Verdana" w:hAnsi="Verdana" w:cs="Verdana"/>
          <w:b/>
          <w:bCs/>
          <w:sz w:val="22"/>
          <w:szCs w:val="22"/>
        </w:rPr>
      </w:pPr>
      <w:r w:rsidRPr="002E7DF7">
        <w:rPr>
          <w:rFonts w:ascii="Verdana" w:hAnsi="Verdana" w:cs="Verdana"/>
          <w:b/>
          <w:bCs/>
          <w:sz w:val="22"/>
          <w:szCs w:val="22"/>
        </w:rPr>
        <w:t xml:space="preserve">Invulling </w:t>
      </w:r>
      <w:r w:rsidRPr="007B4B2D">
        <w:rPr>
          <w:rFonts w:ascii="Verdana" w:hAnsi="Verdana" w:cs="Verdana"/>
          <w:b/>
          <w:bCs/>
          <w:sz w:val="22"/>
          <w:szCs w:val="22"/>
        </w:rPr>
        <w:t>adoptienazorg 2013-2014</w:t>
      </w:r>
    </w:p>
    <w:p w:rsidRPr="0021053C" w:rsidR="001F622B">
      <w:pPr>
        <w:rPr>
          <w:rFonts w:ascii="Verdana" w:hAnsi="Verdana" w:cs="Verdana"/>
          <w:sz w:val="18"/>
          <w:szCs w:val="18"/>
        </w:rPr>
      </w:pPr>
    </w:p>
    <w:p w:rsidRPr="0021053C" w:rsidR="001F622B">
      <w:pPr>
        <w:rPr>
          <w:rFonts w:ascii="Verdana" w:hAnsi="Verdana" w:cs="Verdana"/>
          <w:b/>
          <w:bCs/>
          <w:sz w:val="18"/>
          <w:szCs w:val="18"/>
        </w:rPr>
      </w:pPr>
      <w:r w:rsidRPr="0021053C">
        <w:rPr>
          <w:rFonts w:ascii="Verdana" w:hAnsi="Verdana" w:cs="Verdana"/>
          <w:b/>
          <w:bCs/>
          <w:sz w:val="18"/>
          <w:szCs w:val="18"/>
        </w:rPr>
        <w:t>Aanleiding</w:t>
      </w:r>
    </w:p>
    <w:p w:rsidR="00843112">
      <w:pPr>
        <w:rPr>
          <w:rFonts w:ascii="Verdana" w:hAnsi="Verdana" w:cs="Verdana"/>
          <w:sz w:val="18"/>
          <w:szCs w:val="18"/>
        </w:rPr>
      </w:pPr>
    </w:p>
    <w:p w:rsidR="001F622B">
      <w:pPr>
        <w:rPr>
          <w:rFonts w:ascii="Verdana" w:hAnsi="Verdana" w:cs="Verdana"/>
          <w:sz w:val="18"/>
          <w:szCs w:val="18"/>
        </w:rPr>
      </w:pPr>
      <w:r w:rsidRPr="0021053C">
        <w:rPr>
          <w:rFonts w:ascii="Verdana" w:hAnsi="Verdana" w:cs="Verdana"/>
          <w:sz w:val="18"/>
          <w:szCs w:val="18"/>
        </w:rPr>
        <w:t>De Inspectie Jeugdzorg (IJZ) heeft in haar brief van 3 november 2011 aanbevelingen gedaan ten aanzien van de invulling van de adoptienazorg. De IJZ constateert dat er sprake is van onevenwichtigheid in de fase voorafgaand aan de adoptie en de fase na de plaatsing van het adoptiekind. Voorafgaand aan de plaatsing van het adoptiekin</w:t>
      </w:r>
      <w:r>
        <w:rPr>
          <w:rFonts w:ascii="Verdana" w:hAnsi="Verdana" w:cs="Verdana"/>
          <w:sz w:val="18"/>
          <w:szCs w:val="18"/>
        </w:rPr>
        <w:t>d doorlopen de aspirant adoptie</w:t>
      </w:r>
      <w:r w:rsidRPr="0021053C">
        <w:rPr>
          <w:rFonts w:ascii="Verdana" w:hAnsi="Verdana" w:cs="Verdana"/>
          <w:sz w:val="18"/>
          <w:szCs w:val="18"/>
        </w:rPr>
        <w:t xml:space="preserve">ouders een verplicht traject van onderzoek door de Raad voor de Kinderbescherming, voorlichting verzorgd door de Stichting Adoptievoorzieningen (SAV) en </w:t>
      </w:r>
      <w:r w:rsidRPr="0021053C">
        <w:rPr>
          <w:rFonts w:ascii="Verdana" w:hAnsi="Verdana" w:cs="Verdana"/>
          <w:sz w:val="18"/>
          <w:szCs w:val="18"/>
        </w:rPr>
        <w:t>matching</w:t>
      </w:r>
      <w:r w:rsidRPr="0021053C">
        <w:rPr>
          <w:rFonts w:ascii="Verdana" w:hAnsi="Verdana" w:cs="Verdana"/>
          <w:sz w:val="18"/>
          <w:szCs w:val="18"/>
        </w:rPr>
        <w:t xml:space="preserve"> en bemiddeling door vergunninghouders. Na de plaatsing van de adoptiekind in het gezin is er nauwelijks meer bemoeienis met de adoptieouders, tenzij ouders hier zelf om vragen. De IJZ is van mening dat het zicht op het adoptiekind na de plaatsing in het gezin onvoldoende is gewaarborgd, waardoor een mogelijke stagnerende ontwikkeling of toenemende problematiek niet tijdig worden gesignaleerd. </w:t>
      </w:r>
      <w:r w:rsidRPr="00F15BC8" w:rsidR="0080565A">
        <w:rPr>
          <w:rFonts w:ascii="Verdana" w:hAnsi="Verdana" w:cs="Verdana"/>
          <w:sz w:val="18"/>
          <w:szCs w:val="18"/>
        </w:rPr>
        <w:t xml:space="preserve">Daarnaast doet de IJZ ook de aanbeveling om een medische en/of psychosociale </w:t>
      </w:r>
      <w:r w:rsidRPr="00F15BC8" w:rsidR="0080565A">
        <w:rPr>
          <w:rFonts w:ascii="Verdana" w:hAnsi="Verdana" w:cs="Verdana"/>
          <w:sz w:val="18"/>
          <w:szCs w:val="18"/>
        </w:rPr>
        <w:t>screening</w:t>
      </w:r>
      <w:r w:rsidRPr="00F15BC8" w:rsidR="0080565A">
        <w:rPr>
          <w:rFonts w:ascii="Verdana" w:hAnsi="Verdana" w:cs="Verdana"/>
          <w:sz w:val="18"/>
          <w:szCs w:val="18"/>
        </w:rPr>
        <w:t xml:space="preserve"> voorafgaand en na de plaatsing van het adoptiekind standaard op te nemen in de adoptieprocedure.</w:t>
      </w:r>
    </w:p>
    <w:p w:rsidRPr="0021053C" w:rsidR="001F622B">
      <w:pPr>
        <w:rPr>
          <w:rFonts w:ascii="Verdana" w:hAnsi="Verdana" w:cs="Verdana"/>
          <w:sz w:val="18"/>
          <w:szCs w:val="18"/>
        </w:rPr>
      </w:pPr>
    </w:p>
    <w:p w:rsidRPr="0021053C" w:rsidR="001F622B" w:rsidP="00697853">
      <w:pPr>
        <w:rPr>
          <w:rFonts w:ascii="Verdana" w:hAnsi="Verdana" w:cs="Verdana"/>
          <w:b/>
          <w:bCs/>
          <w:sz w:val="18"/>
          <w:szCs w:val="18"/>
        </w:rPr>
      </w:pPr>
      <w:r w:rsidRPr="0021053C">
        <w:rPr>
          <w:rFonts w:ascii="Verdana" w:hAnsi="Verdana" w:cs="Verdana"/>
          <w:sz w:val="18"/>
          <w:szCs w:val="18"/>
        </w:rPr>
        <w:t>In deze notitie wordt ingegaan op de vraag hoe deze aanbeveling</w:t>
      </w:r>
      <w:r w:rsidR="00843112">
        <w:rPr>
          <w:rFonts w:ascii="Verdana" w:hAnsi="Verdana" w:cs="Verdana"/>
          <w:sz w:val="18"/>
          <w:szCs w:val="18"/>
        </w:rPr>
        <w:t>en</w:t>
      </w:r>
      <w:r w:rsidRPr="0021053C">
        <w:rPr>
          <w:rFonts w:ascii="Verdana" w:hAnsi="Verdana" w:cs="Verdana"/>
          <w:sz w:val="18"/>
          <w:szCs w:val="18"/>
        </w:rPr>
        <w:t xml:space="preserve"> adequaat ingevuld k</w:t>
      </w:r>
      <w:r w:rsidR="00843112">
        <w:rPr>
          <w:rFonts w:ascii="Verdana" w:hAnsi="Verdana" w:cs="Verdana"/>
          <w:sz w:val="18"/>
          <w:szCs w:val="18"/>
        </w:rPr>
        <w:t>unnen</w:t>
      </w:r>
      <w:r w:rsidRPr="0021053C">
        <w:rPr>
          <w:rFonts w:ascii="Verdana" w:hAnsi="Verdana" w:cs="Verdana"/>
          <w:sz w:val="18"/>
          <w:szCs w:val="18"/>
        </w:rPr>
        <w:t xml:space="preserve"> worden in </w:t>
      </w:r>
      <w:r w:rsidR="00E760C1">
        <w:rPr>
          <w:rFonts w:ascii="Verdana" w:hAnsi="Verdana" w:cs="Verdana"/>
          <w:sz w:val="18"/>
          <w:szCs w:val="18"/>
        </w:rPr>
        <w:t xml:space="preserve">(in ieder geval) </w:t>
      </w:r>
      <w:r w:rsidRPr="0021053C">
        <w:rPr>
          <w:rFonts w:ascii="Verdana" w:hAnsi="Verdana" w:cs="Verdana"/>
          <w:sz w:val="18"/>
          <w:szCs w:val="18"/>
        </w:rPr>
        <w:t>de periode tot 1 januari 2015. Hierbij is advies gevraagd aan Stichting Adoptievoorzieningen (SAV), Artsen Jeugdgezondheidszorg Nederland (AJN) en Nederlandse Vereniging voor Kindergeneeskunde (NVK).</w:t>
      </w:r>
    </w:p>
    <w:p w:rsidRPr="0021053C" w:rsidR="001F622B">
      <w:pPr>
        <w:rPr>
          <w:rFonts w:ascii="Verdana" w:hAnsi="Verdana" w:cs="Verdana"/>
          <w:sz w:val="18"/>
          <w:szCs w:val="18"/>
        </w:rPr>
      </w:pPr>
      <w:r w:rsidRPr="0021053C">
        <w:rPr>
          <w:rFonts w:ascii="Verdana" w:hAnsi="Verdana" w:cs="Verdana"/>
          <w:sz w:val="18"/>
          <w:szCs w:val="18"/>
        </w:rPr>
        <w:t>Vanaf 1 januari 2015 zal er veel veranderen: de zorg voor jeugd wordt dan gedecentraliseerd naar gemeenten. Deze notitie besteed</w:t>
      </w:r>
      <w:r>
        <w:rPr>
          <w:rFonts w:ascii="Verdana" w:hAnsi="Verdana" w:cs="Verdana"/>
          <w:sz w:val="18"/>
          <w:szCs w:val="18"/>
        </w:rPr>
        <w:t>t</w:t>
      </w:r>
      <w:r w:rsidRPr="0021053C">
        <w:rPr>
          <w:rFonts w:ascii="Verdana" w:hAnsi="Verdana" w:cs="Verdana"/>
          <w:sz w:val="18"/>
          <w:szCs w:val="18"/>
        </w:rPr>
        <w:t xml:space="preserve"> geen aandacht aan de vraag </w:t>
      </w:r>
      <w:r w:rsidR="00E760C1">
        <w:rPr>
          <w:rFonts w:ascii="Verdana" w:hAnsi="Verdana" w:cs="Verdana"/>
          <w:sz w:val="18"/>
          <w:szCs w:val="18"/>
        </w:rPr>
        <w:t>wat</w:t>
      </w:r>
      <w:r w:rsidRPr="0021053C">
        <w:rPr>
          <w:rFonts w:ascii="Verdana" w:hAnsi="Verdana" w:cs="Verdana"/>
          <w:sz w:val="18"/>
          <w:szCs w:val="18"/>
        </w:rPr>
        <w:t xml:space="preserve"> er na 1 januari 2015 verander</w:t>
      </w:r>
      <w:r w:rsidR="00E760C1">
        <w:rPr>
          <w:rFonts w:ascii="Verdana" w:hAnsi="Verdana" w:cs="Verdana"/>
          <w:sz w:val="18"/>
          <w:szCs w:val="18"/>
        </w:rPr>
        <w:t>t</w:t>
      </w:r>
      <w:r w:rsidRPr="0021053C">
        <w:rPr>
          <w:rFonts w:ascii="Verdana" w:hAnsi="Verdana" w:cs="Verdana"/>
          <w:sz w:val="18"/>
          <w:szCs w:val="18"/>
        </w:rPr>
        <w:t xml:space="preserve"> op het terrein van adoptienazorg: dat wordt duidelijk in het kader van overleg tussen VNG en Rijk over het nieuwe stelsel van zorg voor jeugd. </w:t>
      </w:r>
    </w:p>
    <w:p w:rsidRPr="0021053C" w:rsidR="001F622B">
      <w:pPr>
        <w:rPr>
          <w:rFonts w:ascii="Verdana" w:hAnsi="Verdana" w:cs="Verdana"/>
          <w:sz w:val="18"/>
          <w:szCs w:val="18"/>
        </w:rPr>
      </w:pPr>
    </w:p>
    <w:p w:rsidR="00843112">
      <w:pPr>
        <w:rPr>
          <w:rFonts w:ascii="Verdana" w:hAnsi="Verdana" w:cs="Verdana"/>
          <w:b/>
          <w:bCs/>
          <w:sz w:val="18"/>
          <w:szCs w:val="18"/>
        </w:rPr>
      </w:pPr>
      <w:r>
        <w:rPr>
          <w:rFonts w:ascii="Verdana" w:hAnsi="Verdana" w:cs="Verdana"/>
          <w:b/>
          <w:bCs/>
          <w:sz w:val="18"/>
          <w:szCs w:val="18"/>
        </w:rPr>
        <w:t>Achtergrond</w:t>
      </w:r>
    </w:p>
    <w:p w:rsidR="00843112" w:rsidP="00843112">
      <w:pPr>
        <w:rPr>
          <w:rFonts w:ascii="Verdana" w:hAnsi="Verdana" w:cs="Verdana"/>
          <w:sz w:val="18"/>
          <w:szCs w:val="18"/>
        </w:rPr>
      </w:pPr>
    </w:p>
    <w:p w:rsidRPr="0021053C" w:rsidR="00843112" w:rsidP="00843112">
      <w:pPr>
        <w:rPr>
          <w:rFonts w:ascii="Verdana" w:hAnsi="Verdana" w:cs="Verdana"/>
          <w:sz w:val="18"/>
          <w:szCs w:val="18"/>
        </w:rPr>
      </w:pPr>
      <w:r w:rsidRPr="0021053C">
        <w:rPr>
          <w:rFonts w:ascii="Verdana" w:hAnsi="Verdana" w:cs="Verdana"/>
          <w:sz w:val="18"/>
          <w:szCs w:val="18"/>
        </w:rPr>
        <w:t xml:space="preserve">Jaarlijks worden er in Nederland circa 500 kinderen door middel van </w:t>
      </w:r>
      <w:r w:rsidRPr="0021053C">
        <w:rPr>
          <w:rFonts w:ascii="Verdana" w:hAnsi="Verdana" w:cs="Verdana"/>
          <w:sz w:val="18"/>
          <w:szCs w:val="18"/>
        </w:rPr>
        <w:t>interlandelijke</w:t>
      </w:r>
      <w:r w:rsidRPr="0021053C">
        <w:rPr>
          <w:rFonts w:ascii="Verdana" w:hAnsi="Verdana" w:cs="Verdana"/>
          <w:sz w:val="18"/>
          <w:szCs w:val="18"/>
        </w:rPr>
        <w:t xml:space="preserve"> adoptie in gezinnen geplaatst. Deze kinderen zijn, in tegenstelling tot een aantal jaren geleden,  in meerderheid ouder dan twee jaar. </w:t>
      </w:r>
      <w:r w:rsidR="00152F5E">
        <w:rPr>
          <w:rFonts w:ascii="Verdana" w:hAnsi="Verdana" w:cs="Verdana"/>
          <w:sz w:val="18"/>
          <w:szCs w:val="18"/>
        </w:rPr>
        <w:t>Bij een meerderheid van de kinderen is sprake</w:t>
      </w:r>
      <w:r w:rsidRPr="0021053C">
        <w:rPr>
          <w:rFonts w:ascii="Verdana" w:hAnsi="Verdana" w:cs="Verdana"/>
          <w:sz w:val="18"/>
          <w:szCs w:val="18"/>
        </w:rPr>
        <w:t xml:space="preserve"> van een medische aandoening en/ of een belaste psychosociale achtergrond (special </w:t>
      </w:r>
      <w:r w:rsidRPr="0021053C">
        <w:rPr>
          <w:rFonts w:ascii="Verdana" w:hAnsi="Verdana" w:cs="Verdana"/>
          <w:sz w:val="18"/>
          <w:szCs w:val="18"/>
        </w:rPr>
        <w:t>need</w:t>
      </w:r>
      <w:r w:rsidRPr="0021053C">
        <w:rPr>
          <w:rFonts w:ascii="Verdana" w:hAnsi="Verdana" w:cs="Verdana"/>
          <w:sz w:val="18"/>
          <w:szCs w:val="18"/>
        </w:rPr>
        <w:t>). Onderzoek (Van den Dries, 2009) wijst uit dat adoptiekinderen, die na hun eerste levensjaar worden geadopteerd minder vaak veilig gehecht zijn. Juist onveilige gehechtheid is een voorspeller van latere gedragsproblemen en psychopathologie (</w:t>
      </w:r>
      <w:r w:rsidRPr="0021053C">
        <w:rPr>
          <w:rFonts w:ascii="Verdana" w:hAnsi="Verdana" w:cs="Verdana"/>
          <w:sz w:val="18"/>
          <w:szCs w:val="18"/>
        </w:rPr>
        <w:t>IJzendoorn</w:t>
      </w:r>
      <w:r w:rsidRPr="0021053C">
        <w:rPr>
          <w:rFonts w:ascii="Verdana" w:hAnsi="Verdana" w:cs="Verdana"/>
          <w:sz w:val="18"/>
          <w:szCs w:val="18"/>
        </w:rPr>
        <w:t xml:space="preserve"> e.a., 1999). Herstel van gehechtheid is mogelijk, maar komt niet vanzelf tot stand (Juffer, 2005). Ouders hebben adoptiespecifieke hulp en </w:t>
      </w:r>
      <w:r w:rsidRPr="0021053C">
        <w:rPr>
          <w:rFonts w:ascii="Verdana" w:hAnsi="Verdana" w:cs="Verdana"/>
          <w:sz w:val="18"/>
          <w:szCs w:val="18"/>
        </w:rPr>
        <w:t>psycho-educatie</w:t>
      </w:r>
      <w:r w:rsidRPr="0021053C">
        <w:rPr>
          <w:rFonts w:ascii="Verdana" w:hAnsi="Verdana" w:cs="Verdana"/>
          <w:sz w:val="18"/>
          <w:szCs w:val="18"/>
        </w:rPr>
        <w:t xml:space="preserve"> nodig om het overlevingsgedrag van het kind te herkennen en het kind te helpen zijn basisvertrouwen te herstellen. Datzelfde geldt voor leerkrachten en andere opvoeders in de directe omgeving van het kind.</w:t>
      </w:r>
    </w:p>
    <w:p w:rsidR="00843112">
      <w:pPr>
        <w:rPr>
          <w:rFonts w:ascii="Verdana" w:hAnsi="Verdana" w:cs="Verdana"/>
          <w:b/>
          <w:bCs/>
          <w:sz w:val="18"/>
          <w:szCs w:val="18"/>
        </w:rPr>
      </w:pPr>
    </w:p>
    <w:p w:rsidRPr="0021053C" w:rsidR="001F622B">
      <w:pPr>
        <w:rPr>
          <w:rFonts w:ascii="Verdana" w:hAnsi="Verdana" w:cs="Verdana"/>
          <w:b/>
          <w:bCs/>
          <w:sz w:val="18"/>
          <w:szCs w:val="18"/>
        </w:rPr>
      </w:pPr>
      <w:r w:rsidRPr="0021053C">
        <w:rPr>
          <w:rFonts w:ascii="Verdana" w:hAnsi="Verdana" w:cs="Verdana"/>
          <w:b/>
          <w:bCs/>
          <w:sz w:val="18"/>
          <w:szCs w:val="18"/>
        </w:rPr>
        <w:t>Invulling van de aanbeveling van de IJZ gedurende 2013 en 2014</w:t>
      </w:r>
    </w:p>
    <w:p w:rsidRPr="0021053C" w:rsidR="001F622B" w:rsidP="00166699">
      <w:pPr>
        <w:rPr>
          <w:rFonts w:ascii="Verdana" w:hAnsi="Verdana" w:cs="Verdana"/>
          <w:sz w:val="18"/>
          <w:szCs w:val="18"/>
        </w:rPr>
      </w:pPr>
    </w:p>
    <w:p w:rsidRPr="0021053C" w:rsidR="001F622B" w:rsidP="00166699">
      <w:pPr>
        <w:rPr>
          <w:rFonts w:ascii="Verdana" w:hAnsi="Verdana" w:cs="Verdana"/>
          <w:b/>
          <w:bCs/>
          <w:i/>
          <w:iCs/>
          <w:sz w:val="18"/>
          <w:szCs w:val="18"/>
        </w:rPr>
      </w:pPr>
      <w:r w:rsidRPr="0021053C">
        <w:rPr>
          <w:rFonts w:ascii="Verdana" w:hAnsi="Verdana" w:cs="Verdana"/>
          <w:b/>
          <w:bCs/>
          <w:i/>
          <w:iCs/>
          <w:sz w:val="18"/>
          <w:szCs w:val="18"/>
        </w:rPr>
        <w:t>De S</w:t>
      </w:r>
      <w:r>
        <w:rPr>
          <w:rFonts w:ascii="Verdana" w:hAnsi="Verdana" w:cs="Verdana"/>
          <w:b/>
          <w:bCs/>
          <w:i/>
          <w:iCs/>
          <w:sz w:val="18"/>
          <w:szCs w:val="18"/>
        </w:rPr>
        <w:t xml:space="preserve">tichting </w:t>
      </w:r>
      <w:r w:rsidRPr="0021053C">
        <w:rPr>
          <w:rFonts w:ascii="Verdana" w:hAnsi="Verdana" w:cs="Verdana"/>
          <w:b/>
          <w:bCs/>
          <w:i/>
          <w:iCs/>
          <w:sz w:val="18"/>
          <w:szCs w:val="18"/>
        </w:rPr>
        <w:t>A</w:t>
      </w:r>
      <w:r>
        <w:rPr>
          <w:rFonts w:ascii="Verdana" w:hAnsi="Verdana" w:cs="Verdana"/>
          <w:b/>
          <w:bCs/>
          <w:i/>
          <w:iCs/>
          <w:sz w:val="18"/>
          <w:szCs w:val="18"/>
        </w:rPr>
        <w:t>doptievoorzieningen (SAV)</w:t>
      </w:r>
    </w:p>
    <w:p w:rsidR="001F622B" w:rsidP="0092362E">
      <w:pPr>
        <w:rPr>
          <w:rFonts w:ascii="Verdana" w:hAnsi="Verdana" w:cs="Verdana"/>
          <w:sz w:val="18"/>
          <w:szCs w:val="18"/>
        </w:rPr>
      </w:pPr>
      <w:r w:rsidRPr="0021053C">
        <w:rPr>
          <w:rFonts w:ascii="Verdana" w:hAnsi="Verdana" w:cs="Verdana"/>
          <w:sz w:val="18"/>
          <w:szCs w:val="18"/>
        </w:rPr>
        <w:t xml:space="preserve">De SAV verzorgt in opdracht van het ministerie van Veiligheid en Justitie algemene voorlichting over adoptie, de registratie van de adoptieprocedure en het verplichte voorbereidingstraject voor </w:t>
      </w:r>
      <w:r w:rsidRPr="0021053C">
        <w:rPr>
          <w:rFonts w:ascii="Verdana" w:hAnsi="Verdana" w:cs="Verdana"/>
          <w:sz w:val="18"/>
          <w:szCs w:val="18"/>
        </w:rPr>
        <w:t>aspirant-adoptieouders</w:t>
      </w:r>
      <w:r w:rsidRPr="0021053C">
        <w:rPr>
          <w:rFonts w:ascii="Verdana" w:hAnsi="Verdana" w:cs="Verdana"/>
          <w:sz w:val="18"/>
          <w:szCs w:val="18"/>
        </w:rPr>
        <w:t xml:space="preserve">. </w:t>
      </w:r>
    </w:p>
    <w:p w:rsidRPr="0021053C" w:rsidR="001F622B" w:rsidP="0092362E">
      <w:pPr>
        <w:rPr>
          <w:rFonts w:ascii="Verdana" w:hAnsi="Verdana" w:cs="Verdana"/>
          <w:sz w:val="18"/>
          <w:szCs w:val="18"/>
        </w:rPr>
      </w:pPr>
      <w:r w:rsidRPr="0021053C">
        <w:rPr>
          <w:rFonts w:ascii="Verdana" w:hAnsi="Verdana" w:cs="Verdana"/>
          <w:sz w:val="18"/>
          <w:szCs w:val="18"/>
        </w:rPr>
        <w:t xml:space="preserve">Daarnaast biedt de Stichting met subsidie van het ministerie van VWS nazorg na plaatsing van een </w:t>
      </w:r>
      <w:r>
        <w:rPr>
          <w:rFonts w:ascii="Verdana" w:hAnsi="Verdana" w:cs="Verdana"/>
          <w:sz w:val="18"/>
          <w:szCs w:val="18"/>
        </w:rPr>
        <w:t>ad</w:t>
      </w:r>
      <w:r w:rsidRPr="0021053C">
        <w:rPr>
          <w:rFonts w:ascii="Verdana" w:hAnsi="Verdana" w:cs="Verdana"/>
          <w:sz w:val="18"/>
          <w:szCs w:val="18"/>
        </w:rPr>
        <w:t xml:space="preserve">optiekind in de vorm van informatie, advies en ondersteuning aan adoptiegezinnen. Het aanbod bestaat ondermeer uit een telefonische advieslijn, </w:t>
      </w:r>
      <w:r w:rsidRPr="0021053C">
        <w:rPr>
          <w:rFonts w:ascii="Verdana" w:hAnsi="Verdana" w:cs="Verdana"/>
          <w:sz w:val="18"/>
          <w:szCs w:val="18"/>
        </w:rPr>
        <w:t>video-interactiebegeleiding</w:t>
      </w:r>
      <w:r w:rsidRPr="0021053C">
        <w:rPr>
          <w:rFonts w:ascii="Verdana" w:hAnsi="Verdana" w:cs="Verdana"/>
          <w:sz w:val="18"/>
          <w:szCs w:val="18"/>
        </w:rPr>
        <w:t xml:space="preserve"> aan adoptiegezinnen met kinderen die korter dan drie jaar in Nederland zijn, consultatiegesprekken thuis en op school en de oudercursus Goede Start.</w:t>
      </w:r>
    </w:p>
    <w:p w:rsidRPr="0021053C" w:rsidR="001F622B" w:rsidP="0092362E">
      <w:pPr>
        <w:rPr>
          <w:rFonts w:ascii="Verdana" w:hAnsi="Verdana" w:cs="Verdana"/>
          <w:sz w:val="18"/>
          <w:szCs w:val="18"/>
        </w:rPr>
      </w:pPr>
      <w:r w:rsidRPr="0021053C">
        <w:rPr>
          <w:rFonts w:ascii="Verdana" w:hAnsi="Verdana" w:cs="Verdana"/>
          <w:sz w:val="18"/>
          <w:szCs w:val="18"/>
        </w:rPr>
        <w:t xml:space="preserve">De SAV heeft vooral expertise ontwikkeld op het gebied van het bevorderen van de </w:t>
      </w:r>
      <w:r w:rsidRPr="0021053C">
        <w:rPr>
          <w:rFonts w:ascii="Verdana" w:hAnsi="Verdana" w:cs="Verdana"/>
          <w:sz w:val="18"/>
          <w:szCs w:val="18"/>
        </w:rPr>
        <w:t>hechtings</w:t>
      </w:r>
      <w:r w:rsidRPr="0021053C">
        <w:rPr>
          <w:rFonts w:ascii="Verdana" w:hAnsi="Verdana" w:cs="Verdana"/>
          <w:sz w:val="18"/>
          <w:szCs w:val="18"/>
        </w:rPr>
        <w:t xml:space="preserve"> – en </w:t>
      </w:r>
      <w:r w:rsidRPr="0021053C">
        <w:rPr>
          <w:rFonts w:ascii="Verdana" w:hAnsi="Verdana" w:cs="Verdana"/>
          <w:sz w:val="18"/>
          <w:szCs w:val="18"/>
        </w:rPr>
        <w:t>ingroeiproces</w:t>
      </w:r>
      <w:r w:rsidRPr="0021053C">
        <w:rPr>
          <w:rFonts w:ascii="Verdana" w:hAnsi="Verdana" w:cs="Verdana"/>
          <w:sz w:val="18"/>
          <w:szCs w:val="18"/>
        </w:rPr>
        <w:t xml:space="preserve"> van adoptiekinderen in gezinnen en op emotie en stressregulatie. Daarnaast verwijst de Stichting Adoptievoorzieningen naar adoptiedeskundige hulpverleners op basis van een daartoe samengestelde sociale kaart en draagt zorg voor deskundigheidsbevordering van reguliere (jeugd) hulpverleners. Voor een onderbouwing van de cijfers en percentages wordt verwezen naar de bijlage bij deze notitie.</w:t>
      </w:r>
    </w:p>
    <w:p w:rsidRPr="0021053C" w:rsidR="001F622B" w:rsidP="0092362E">
      <w:pPr>
        <w:rPr>
          <w:rFonts w:ascii="Verdana" w:hAnsi="Verdana" w:cs="Verdana"/>
          <w:sz w:val="18"/>
          <w:szCs w:val="18"/>
        </w:rPr>
      </w:pPr>
    </w:p>
    <w:p w:rsidR="001F622B" w:rsidP="00C535AE">
      <w:pPr>
        <w:rPr>
          <w:rFonts w:ascii="Verdana" w:hAnsi="Verdana" w:cs="Verdana"/>
          <w:sz w:val="18"/>
          <w:szCs w:val="18"/>
        </w:rPr>
      </w:pPr>
      <w:r>
        <w:rPr>
          <w:rFonts w:ascii="Verdana" w:hAnsi="Verdana" w:cs="Verdana"/>
          <w:sz w:val="18"/>
          <w:szCs w:val="18"/>
        </w:rPr>
        <w:t xml:space="preserve">De </w:t>
      </w:r>
      <w:r>
        <w:rPr>
          <w:rFonts w:ascii="Verdana" w:hAnsi="Verdana" w:cs="Verdana"/>
          <w:sz w:val="18"/>
          <w:szCs w:val="18"/>
        </w:rPr>
        <w:t>S</w:t>
      </w:r>
      <w:r w:rsidRPr="0021053C">
        <w:rPr>
          <w:rFonts w:ascii="Verdana" w:hAnsi="Verdana" w:cs="Verdana"/>
          <w:sz w:val="18"/>
          <w:szCs w:val="18"/>
        </w:rPr>
        <w:t xml:space="preserve">AV ontvangt bericht van een nieuwe plaatsing van een adoptiekind </w:t>
      </w:r>
      <w:r>
        <w:rPr>
          <w:rFonts w:ascii="Verdana" w:hAnsi="Verdana" w:cs="Verdana"/>
          <w:sz w:val="18"/>
          <w:szCs w:val="18"/>
        </w:rPr>
        <w:t>i</w:t>
      </w:r>
      <w:r w:rsidRPr="0021053C">
        <w:rPr>
          <w:rFonts w:ascii="Verdana" w:hAnsi="Verdana" w:cs="Verdana"/>
          <w:sz w:val="18"/>
          <w:szCs w:val="18"/>
        </w:rPr>
        <w:t xml:space="preserve">n een gezin en beschikt zodoende over een actueel overzicht. Volgens gegevens van de SAV wordt 20% van de </w:t>
      </w:r>
      <w:r w:rsidRPr="0021053C">
        <w:rPr>
          <w:rFonts w:ascii="Verdana" w:hAnsi="Verdana" w:cs="Verdana"/>
          <w:sz w:val="18"/>
          <w:szCs w:val="18"/>
        </w:rPr>
        <w:t>adoptiekinderen binnen een jaar na de plaatsing in het adoptiegezin</w:t>
      </w:r>
      <w:r>
        <w:rPr>
          <w:rFonts w:ascii="Verdana" w:hAnsi="Verdana" w:cs="Verdana"/>
          <w:sz w:val="18"/>
          <w:szCs w:val="18"/>
        </w:rPr>
        <w:t xml:space="preserve"> </w:t>
      </w:r>
      <w:r w:rsidRPr="0021053C">
        <w:rPr>
          <w:rFonts w:ascii="Verdana" w:hAnsi="Verdana" w:cs="Verdana"/>
          <w:sz w:val="18"/>
          <w:szCs w:val="18"/>
        </w:rPr>
        <w:t>door de SAV gezien</w:t>
      </w:r>
      <w:r>
        <w:rPr>
          <w:rFonts w:ascii="Verdana" w:hAnsi="Verdana" w:cs="Verdana"/>
          <w:sz w:val="18"/>
          <w:szCs w:val="18"/>
        </w:rPr>
        <w:t xml:space="preserve">, door middel van adoptieconsultatie en </w:t>
      </w:r>
      <w:r>
        <w:rPr>
          <w:rFonts w:ascii="Verdana" w:hAnsi="Verdana" w:cs="Verdana"/>
          <w:sz w:val="18"/>
          <w:szCs w:val="18"/>
        </w:rPr>
        <w:t>video-interactiebegeleiding</w:t>
      </w:r>
      <w:r>
        <w:rPr>
          <w:rFonts w:ascii="Verdana" w:hAnsi="Verdana" w:cs="Verdana"/>
          <w:sz w:val="18"/>
          <w:szCs w:val="18"/>
        </w:rPr>
        <w:t xml:space="preserve"> gericht op gehechtheid</w:t>
      </w:r>
      <w:r w:rsidRPr="0021053C">
        <w:rPr>
          <w:rFonts w:ascii="Verdana" w:hAnsi="Verdana" w:cs="Verdana"/>
          <w:sz w:val="18"/>
          <w:szCs w:val="18"/>
        </w:rPr>
        <w:t xml:space="preserve">. Hierbij gaat het om adoptiekinderen waarvan de </w:t>
      </w:r>
      <w:r>
        <w:rPr>
          <w:rFonts w:ascii="Verdana" w:hAnsi="Verdana" w:cs="Verdana"/>
          <w:sz w:val="18"/>
          <w:szCs w:val="18"/>
        </w:rPr>
        <w:t>adoptieouder</w:t>
      </w:r>
      <w:r w:rsidRPr="0021053C">
        <w:rPr>
          <w:rFonts w:ascii="Verdana" w:hAnsi="Verdana" w:cs="Verdana"/>
          <w:sz w:val="18"/>
          <w:szCs w:val="18"/>
        </w:rPr>
        <w:t>s zelf om hulp vragen. De SAV schat op basis van het veranderende kindprofiel in, dat van de kinderen die niet tot de genoemde 20% behoren, 70-80% een verhoogd risico lo</w:t>
      </w:r>
      <w:r w:rsidR="00F16F20">
        <w:rPr>
          <w:rFonts w:ascii="Verdana" w:hAnsi="Verdana" w:cs="Verdana"/>
          <w:sz w:val="18"/>
          <w:szCs w:val="18"/>
        </w:rPr>
        <w:t>o</w:t>
      </w:r>
      <w:r w:rsidRPr="0021053C">
        <w:rPr>
          <w:rFonts w:ascii="Verdana" w:hAnsi="Verdana" w:cs="Verdana"/>
          <w:sz w:val="18"/>
          <w:szCs w:val="18"/>
        </w:rPr>
        <w:t>p</w:t>
      </w:r>
      <w:r w:rsidR="00F16F20">
        <w:rPr>
          <w:rFonts w:ascii="Verdana" w:hAnsi="Verdana" w:cs="Verdana"/>
          <w:sz w:val="18"/>
          <w:szCs w:val="18"/>
        </w:rPr>
        <w:t>t</w:t>
      </w:r>
      <w:r w:rsidRPr="0021053C">
        <w:rPr>
          <w:rFonts w:ascii="Verdana" w:hAnsi="Verdana" w:cs="Verdana"/>
          <w:sz w:val="18"/>
          <w:szCs w:val="18"/>
        </w:rPr>
        <w:t xml:space="preserve"> op een stagnerende ontwikkeling.</w:t>
      </w:r>
    </w:p>
    <w:p w:rsidR="001F622B" w:rsidP="00C535AE">
      <w:pPr>
        <w:rPr>
          <w:rFonts w:ascii="Verdana" w:hAnsi="Verdana" w:cs="Verdana"/>
          <w:b/>
          <w:bCs/>
          <w:i/>
          <w:iCs/>
          <w:sz w:val="18"/>
          <w:szCs w:val="18"/>
        </w:rPr>
      </w:pPr>
    </w:p>
    <w:p w:rsidRPr="005E71B7" w:rsidR="001F622B" w:rsidP="00C535AE">
      <w:pPr>
        <w:rPr>
          <w:rFonts w:ascii="Verdana" w:hAnsi="Verdana" w:cs="Verdana"/>
          <w:b/>
          <w:bCs/>
          <w:i/>
          <w:iCs/>
          <w:sz w:val="18"/>
          <w:szCs w:val="18"/>
        </w:rPr>
      </w:pPr>
      <w:r w:rsidRPr="00044C21">
        <w:rPr>
          <w:rFonts w:ascii="Verdana" w:hAnsi="Verdana" w:cs="Verdana"/>
          <w:b/>
          <w:bCs/>
          <w:i/>
          <w:iCs/>
          <w:sz w:val="18"/>
          <w:szCs w:val="18"/>
        </w:rPr>
        <w:t>D</w:t>
      </w:r>
      <w:r>
        <w:rPr>
          <w:rFonts w:ascii="Verdana" w:hAnsi="Verdana" w:cs="Verdana"/>
          <w:b/>
          <w:bCs/>
          <w:i/>
          <w:iCs/>
          <w:sz w:val="18"/>
          <w:szCs w:val="18"/>
        </w:rPr>
        <w:t>e K</w:t>
      </w:r>
      <w:r w:rsidRPr="005E71B7">
        <w:rPr>
          <w:rFonts w:ascii="Verdana" w:hAnsi="Verdana" w:cs="Verdana"/>
          <w:b/>
          <w:bCs/>
          <w:i/>
          <w:iCs/>
          <w:sz w:val="18"/>
          <w:szCs w:val="18"/>
        </w:rPr>
        <w:t>inderarts</w:t>
      </w:r>
    </w:p>
    <w:p w:rsidR="001F622B" w:rsidP="00C535AE">
      <w:pPr>
        <w:rPr>
          <w:rFonts w:ascii="Verdana" w:hAnsi="Verdana" w:cs="Verdana"/>
          <w:sz w:val="18"/>
          <w:szCs w:val="18"/>
        </w:rPr>
      </w:pPr>
      <w:r>
        <w:rPr>
          <w:rFonts w:ascii="Verdana" w:hAnsi="Verdana" w:cs="Verdana"/>
          <w:sz w:val="18"/>
          <w:szCs w:val="18"/>
        </w:rPr>
        <w:t>C</w:t>
      </w:r>
      <w:r w:rsidR="00750E1C">
        <w:rPr>
          <w:rFonts w:ascii="Verdana" w:hAnsi="Verdana" w:cs="Verdana"/>
          <w:sz w:val="18"/>
          <w:szCs w:val="18"/>
        </w:rPr>
        <w:t>irca</w:t>
      </w:r>
      <w:r>
        <w:rPr>
          <w:rFonts w:ascii="Verdana" w:hAnsi="Verdana" w:cs="Verdana"/>
          <w:sz w:val="18"/>
          <w:szCs w:val="18"/>
        </w:rPr>
        <w:t xml:space="preserve"> 500 adoptiekinderen per jaar in Nederland is voor kinderartsen een relatief klein aantal. Om die reden beschikken de SAV en de werkgroep Adoptie van de NVK sectie Tropische Kindergeneeskunde over een lijst van kinderartsen met expertise in adoptie. </w:t>
      </w:r>
    </w:p>
    <w:p w:rsidR="001F622B" w:rsidP="00C535AE">
      <w:pPr>
        <w:rPr>
          <w:rFonts w:ascii="Verdana" w:hAnsi="Verdana" w:cs="Verdana"/>
          <w:sz w:val="18"/>
          <w:szCs w:val="18"/>
        </w:rPr>
      </w:pPr>
      <w:r>
        <w:rPr>
          <w:rFonts w:ascii="Verdana" w:hAnsi="Verdana" w:cs="Verdana"/>
          <w:sz w:val="18"/>
          <w:szCs w:val="18"/>
        </w:rPr>
        <w:t>Deze kinderartsen hebben in drie situaties te maken met adoptiekinderen.</w:t>
      </w:r>
    </w:p>
    <w:p w:rsidR="001F622B" w:rsidP="00C535AE">
      <w:pPr>
        <w:rPr>
          <w:rFonts w:ascii="Verdana" w:hAnsi="Verdana" w:cs="Verdana"/>
          <w:sz w:val="18"/>
          <w:szCs w:val="18"/>
        </w:rPr>
      </w:pPr>
    </w:p>
    <w:p w:rsidR="001F622B" w:rsidP="00C535AE">
      <w:pPr>
        <w:numPr>
          <w:ilvl w:val="0"/>
          <w:numId w:val="12"/>
        </w:numPr>
        <w:rPr>
          <w:rFonts w:ascii="Verdana" w:hAnsi="Verdana" w:cs="Verdana"/>
          <w:sz w:val="18"/>
          <w:szCs w:val="18"/>
        </w:rPr>
      </w:pPr>
      <w:r w:rsidRPr="002C10AB">
        <w:rPr>
          <w:rFonts w:ascii="Verdana" w:hAnsi="Verdana" w:cs="Verdana"/>
          <w:sz w:val="18"/>
          <w:szCs w:val="18"/>
        </w:rPr>
        <w:t>Consult bij de kinderarts voorafgaand aan adoptie.</w:t>
      </w:r>
      <w:r w:rsidRPr="002C10AB">
        <w:rPr>
          <w:rFonts w:ascii="Verdana" w:hAnsi="Verdana" w:cs="Verdana"/>
          <w:sz w:val="18"/>
          <w:szCs w:val="18"/>
        </w:rPr>
        <w:br/>
        <w:t xml:space="preserve">De kinderarts met expertise in adoptie beoordeelt op papier het medisch deel </w:t>
      </w:r>
      <w:r w:rsidR="00F16F20">
        <w:rPr>
          <w:rFonts w:ascii="Verdana" w:hAnsi="Verdana" w:cs="Verdana"/>
          <w:sz w:val="18"/>
          <w:szCs w:val="18"/>
        </w:rPr>
        <w:t xml:space="preserve">uit het dossier </w:t>
      </w:r>
      <w:r w:rsidRPr="002C10AB">
        <w:rPr>
          <w:rFonts w:ascii="Verdana" w:hAnsi="Verdana" w:cs="Verdana"/>
          <w:sz w:val="18"/>
          <w:szCs w:val="18"/>
        </w:rPr>
        <w:t>van buitenlandse adoptiekinderen. Ouders kunnen deze kinderarts consulteren voordat zij besluiten het kind al dan niet te accepteren. Adoptieouders hebben vaak geen idee van de zwaarte van de (medische) aandoening(-en) en de impact die dit heeft op het opgroeiende kind in hun gezin.</w:t>
      </w:r>
      <w:r>
        <w:rPr>
          <w:rFonts w:ascii="Verdana" w:hAnsi="Verdana" w:cs="Verdana"/>
          <w:sz w:val="18"/>
          <w:szCs w:val="18"/>
        </w:rPr>
        <w:t xml:space="preserve"> Als aspirant-adoptie ouders een voorstel op papier krijgen</w:t>
      </w:r>
      <w:r w:rsidRPr="002C10AB">
        <w:rPr>
          <w:rFonts w:ascii="Verdana" w:hAnsi="Verdana" w:cs="Verdana"/>
          <w:sz w:val="18"/>
          <w:szCs w:val="18"/>
        </w:rPr>
        <w:t>, is er grote schroom om nee te zeggen omdat men b</w:t>
      </w:r>
      <w:r>
        <w:rPr>
          <w:rFonts w:ascii="Verdana" w:hAnsi="Verdana" w:cs="Verdana"/>
          <w:sz w:val="18"/>
          <w:szCs w:val="18"/>
        </w:rPr>
        <w:t xml:space="preserve">ijvoorbeeld </w:t>
      </w:r>
      <w:r w:rsidRPr="002C10AB">
        <w:rPr>
          <w:rFonts w:ascii="Verdana" w:hAnsi="Verdana" w:cs="Verdana"/>
          <w:sz w:val="18"/>
          <w:szCs w:val="18"/>
        </w:rPr>
        <w:t xml:space="preserve">denkt dat een kind met deze afwijking beter af is in een land met goede medische voorzieningen. Ouders kunnen gemakkelijk voorbijgaan aan eigen draagkracht. </w:t>
      </w:r>
      <w:r w:rsidRPr="002C10AB">
        <w:rPr>
          <w:rFonts w:ascii="Verdana" w:hAnsi="Verdana" w:cs="Verdana"/>
          <w:sz w:val="18"/>
          <w:szCs w:val="18"/>
        </w:rPr>
        <w:t>Op dit moment vinden deze consulten incidenteel plaats en worden deze niet vergoed</w:t>
      </w:r>
      <w:r w:rsidR="00E760C1">
        <w:rPr>
          <w:rFonts w:ascii="Verdana" w:hAnsi="Verdana" w:cs="Verdana"/>
          <w:sz w:val="18"/>
          <w:szCs w:val="18"/>
        </w:rPr>
        <w:t xml:space="preserve"> vanuit de basisverzekering</w:t>
      </w:r>
      <w:r w:rsidRPr="002C10AB">
        <w:rPr>
          <w:rFonts w:ascii="Verdana" w:hAnsi="Verdana" w:cs="Verdana"/>
          <w:sz w:val="18"/>
          <w:szCs w:val="18"/>
        </w:rPr>
        <w:t xml:space="preserve">. </w:t>
      </w:r>
    </w:p>
    <w:p w:rsidRPr="00C535AE" w:rsidR="001F622B" w:rsidP="00C535AE">
      <w:pPr>
        <w:numPr>
          <w:ilvl w:val="0"/>
          <w:numId w:val="12"/>
        </w:numPr>
        <w:rPr>
          <w:rFonts w:ascii="Verdana" w:hAnsi="Verdana" w:cs="Verdana"/>
          <w:sz w:val="18"/>
          <w:szCs w:val="18"/>
        </w:rPr>
      </w:pPr>
      <w:r w:rsidRPr="00C535AE">
        <w:rPr>
          <w:rFonts w:ascii="Verdana" w:hAnsi="Verdana" w:cs="Verdana"/>
          <w:sz w:val="18"/>
          <w:szCs w:val="18"/>
        </w:rPr>
        <w:t>Medisch onderzoek van het adoptiekind kort na aankomst in Nederland.</w:t>
      </w:r>
      <w:r w:rsidRPr="00C535AE">
        <w:rPr>
          <w:rFonts w:ascii="Verdana" w:hAnsi="Verdana" w:cs="Verdana"/>
          <w:sz w:val="18"/>
          <w:szCs w:val="18"/>
        </w:rPr>
        <w:br/>
        <w:t>Vrijwel alle adoptiekinderen worden op aanraden van de vergunninghouders kort na aankomst door een kinderarts met expertise in adoptie gezien. Kinderartsen werken volgens de NVK richtlijn ‘Onderzoek bij buitenlandse adoptiekinderen’ (</w:t>
      </w:r>
      <w:r>
        <w:fldChar w:fldCharType="begin"/>
      </w:r>
      <w:r>
        <w:instrText xml:space="preserve"> HYPERLINK "http://www.nvk.nl" </w:instrText>
      </w:r>
      <w:r>
        <w:fldChar w:fldCharType="separate"/>
      </w:r>
      <w:r w:rsidRPr="00C535AE">
        <w:rPr>
          <w:rStyle w:val="Hyperlink"/>
          <w:rFonts w:ascii="Verdana" w:hAnsi="Verdana" w:cs="Verdana"/>
          <w:sz w:val="18"/>
          <w:szCs w:val="18"/>
        </w:rPr>
        <w:t>www.nvk.nl</w:t>
      </w:r>
      <w:r>
        <w:fldChar w:fldCharType="end"/>
      </w:r>
      <w:r w:rsidRPr="00C535AE">
        <w:rPr>
          <w:rFonts w:ascii="Verdana" w:hAnsi="Verdana" w:cs="Verdana"/>
          <w:sz w:val="18"/>
          <w:szCs w:val="18"/>
        </w:rPr>
        <w:t xml:space="preserve">, rubriek kwaliteit, subrubriek richtlijnen). </w:t>
      </w:r>
      <w:r w:rsidRPr="00C535AE">
        <w:rPr>
          <w:rFonts w:ascii="Verdana" w:hAnsi="Verdana" w:cs="Verdana"/>
          <w:sz w:val="18"/>
          <w:szCs w:val="18"/>
        </w:rPr>
        <w:br/>
        <w:t>Recent onderzoek in Nederland toont aan dat 75% va</w:t>
      </w:r>
      <w:r w:rsidR="009E1903">
        <w:rPr>
          <w:rFonts w:ascii="Verdana" w:hAnsi="Verdana" w:cs="Verdana"/>
          <w:sz w:val="18"/>
          <w:szCs w:val="18"/>
        </w:rPr>
        <w:t>n alle kinderen een of meerdere</w:t>
      </w:r>
      <w:r w:rsidRPr="00C535AE">
        <w:rPr>
          <w:rFonts w:ascii="Verdana" w:hAnsi="Verdana" w:cs="Verdana"/>
          <w:sz w:val="18"/>
          <w:szCs w:val="18"/>
        </w:rPr>
        <w:t xml:space="preserve"> aandoeningen heeft, die meestal goed behandelbaar zijn (</w:t>
      </w:r>
      <w:r w:rsidRPr="00C535AE">
        <w:rPr>
          <w:rFonts w:ascii="Verdana" w:hAnsi="Verdana" w:cs="Verdana"/>
          <w:sz w:val="18"/>
          <w:szCs w:val="18"/>
        </w:rPr>
        <w:t>Hoogenboom</w:t>
      </w:r>
      <w:r w:rsidRPr="00C535AE">
        <w:rPr>
          <w:rFonts w:ascii="Verdana" w:hAnsi="Verdana" w:cs="Verdana"/>
          <w:sz w:val="18"/>
          <w:szCs w:val="18"/>
        </w:rPr>
        <w:t xml:space="preserve"> LA, de </w:t>
      </w:r>
      <w:r w:rsidRPr="00C535AE">
        <w:rPr>
          <w:rFonts w:ascii="Verdana" w:hAnsi="Verdana" w:cs="Verdana"/>
          <w:sz w:val="18"/>
          <w:szCs w:val="18"/>
        </w:rPr>
        <w:t>Weerd</w:t>
      </w:r>
      <w:r w:rsidRPr="00C535AE">
        <w:rPr>
          <w:rFonts w:ascii="Verdana" w:hAnsi="Verdana" w:cs="Verdana"/>
          <w:sz w:val="18"/>
          <w:szCs w:val="18"/>
        </w:rPr>
        <w:t xml:space="preserve"> CFMM, Tjon a Ten WE, Mulder JC, Pelleboer RAA</w:t>
      </w:r>
      <w:r w:rsidR="00750E1C">
        <w:rPr>
          <w:rFonts w:ascii="Verdana" w:hAnsi="Verdana" w:cs="Verdana"/>
          <w:sz w:val="18"/>
          <w:szCs w:val="18"/>
        </w:rPr>
        <w:t>;</w:t>
      </w:r>
      <w:r w:rsidRPr="00C535AE">
        <w:rPr>
          <w:rFonts w:ascii="Verdana" w:hAnsi="Verdana" w:cs="Verdana"/>
          <w:sz w:val="18"/>
          <w:szCs w:val="18"/>
        </w:rPr>
        <w:t xml:space="preserve"> Trends bij oriënterend medisch onderzoek van buitenlandse adoptiekinderen; </w:t>
      </w:r>
      <w:r w:rsidRPr="00C535AE">
        <w:rPr>
          <w:rFonts w:ascii="Verdana" w:hAnsi="Verdana" w:cs="Verdana"/>
          <w:sz w:val="18"/>
          <w:szCs w:val="18"/>
        </w:rPr>
        <w:t>Tijdschr</w:t>
      </w:r>
      <w:r w:rsidRPr="00C535AE">
        <w:rPr>
          <w:rFonts w:ascii="Verdana" w:hAnsi="Verdana" w:cs="Verdana"/>
          <w:sz w:val="18"/>
          <w:szCs w:val="18"/>
        </w:rPr>
        <w:t xml:space="preserve"> </w:t>
      </w:r>
      <w:r w:rsidRPr="00C535AE">
        <w:rPr>
          <w:rFonts w:ascii="Verdana" w:hAnsi="Verdana" w:cs="Verdana"/>
          <w:sz w:val="18"/>
          <w:szCs w:val="18"/>
        </w:rPr>
        <w:t>Kindergeneeskd</w:t>
      </w:r>
      <w:r w:rsidRPr="00C535AE">
        <w:rPr>
          <w:rFonts w:ascii="Verdana" w:hAnsi="Verdana" w:cs="Verdana"/>
          <w:sz w:val="18"/>
          <w:szCs w:val="18"/>
        </w:rPr>
        <w:t xml:space="preserve"> 2013; 81 (2); 31-37).</w:t>
      </w:r>
      <w:r w:rsidRPr="00C535AE">
        <w:rPr>
          <w:rFonts w:ascii="Verdana" w:hAnsi="Verdana" w:cs="Verdana"/>
          <w:sz w:val="18"/>
          <w:szCs w:val="18"/>
        </w:rPr>
        <w:br/>
      </w:r>
      <w:r w:rsidR="00750E1C">
        <w:rPr>
          <w:rFonts w:ascii="Verdana" w:hAnsi="Verdana" w:cs="Verdana"/>
          <w:sz w:val="18"/>
          <w:szCs w:val="18"/>
        </w:rPr>
        <w:t xml:space="preserve">Deze </w:t>
      </w:r>
      <w:r w:rsidR="00750E1C">
        <w:rPr>
          <w:rFonts w:ascii="Verdana" w:hAnsi="Verdana" w:cs="Verdana"/>
          <w:sz w:val="18"/>
          <w:szCs w:val="18"/>
        </w:rPr>
        <w:t>screening</w:t>
      </w:r>
      <w:r w:rsidR="00750E1C">
        <w:rPr>
          <w:rFonts w:ascii="Verdana" w:hAnsi="Verdana" w:cs="Verdana"/>
          <w:sz w:val="18"/>
          <w:szCs w:val="18"/>
        </w:rPr>
        <w:t xml:space="preserve"> wordt </w:t>
      </w:r>
      <w:r w:rsidRPr="00C535AE">
        <w:rPr>
          <w:rFonts w:ascii="Verdana" w:hAnsi="Verdana" w:cs="Verdana"/>
          <w:sz w:val="18"/>
          <w:szCs w:val="18"/>
        </w:rPr>
        <w:t xml:space="preserve">niet vergoed vanuit de basisverzekering. Ouders moeten deze </w:t>
      </w:r>
      <w:r w:rsidR="00750E1C">
        <w:rPr>
          <w:rFonts w:ascii="Verdana" w:hAnsi="Verdana" w:cs="Verdana"/>
          <w:sz w:val="18"/>
          <w:szCs w:val="18"/>
        </w:rPr>
        <w:t>screening</w:t>
      </w:r>
      <w:r w:rsidRPr="00C535AE">
        <w:rPr>
          <w:rFonts w:ascii="Verdana" w:hAnsi="Verdana" w:cs="Verdana"/>
          <w:sz w:val="18"/>
          <w:szCs w:val="18"/>
        </w:rPr>
        <w:t xml:space="preserve"> </w:t>
      </w:r>
      <w:r w:rsidR="0020400C">
        <w:rPr>
          <w:rFonts w:ascii="Verdana" w:hAnsi="Verdana" w:cs="Verdana"/>
          <w:sz w:val="18"/>
          <w:szCs w:val="18"/>
        </w:rPr>
        <w:t xml:space="preserve">door een kinderarts, in tegenstelling tot een </w:t>
      </w:r>
      <w:r w:rsidR="0020400C">
        <w:rPr>
          <w:rFonts w:ascii="Verdana" w:hAnsi="Verdana" w:cs="Verdana"/>
          <w:sz w:val="18"/>
          <w:szCs w:val="18"/>
        </w:rPr>
        <w:t>screening</w:t>
      </w:r>
      <w:r w:rsidR="0020400C">
        <w:rPr>
          <w:rFonts w:ascii="Verdana" w:hAnsi="Verdana" w:cs="Verdana"/>
          <w:sz w:val="18"/>
          <w:szCs w:val="18"/>
        </w:rPr>
        <w:t xml:space="preserve"> door huisarts of jeugdarts, </w:t>
      </w:r>
      <w:r w:rsidRPr="00C535AE">
        <w:rPr>
          <w:rFonts w:ascii="Verdana" w:hAnsi="Verdana" w:cs="Verdana"/>
          <w:sz w:val="18"/>
          <w:szCs w:val="18"/>
        </w:rPr>
        <w:t>zelf betalen of ten laste brengen van een eventueel aanvullende verzekering.</w:t>
      </w:r>
    </w:p>
    <w:p w:rsidRPr="00C535AE" w:rsidR="001F622B" w:rsidP="00C535AE">
      <w:pPr>
        <w:numPr>
          <w:ilvl w:val="0"/>
          <w:numId w:val="12"/>
        </w:numPr>
        <w:rPr>
          <w:rFonts w:ascii="Verdana" w:hAnsi="Verdana" w:cs="Verdana"/>
          <w:sz w:val="18"/>
          <w:szCs w:val="18"/>
        </w:rPr>
      </w:pPr>
      <w:r w:rsidRPr="00C535AE">
        <w:rPr>
          <w:rFonts w:ascii="Verdana" w:hAnsi="Verdana" w:cs="Verdana"/>
          <w:sz w:val="18"/>
          <w:szCs w:val="18"/>
        </w:rPr>
        <w:t>Medische begeleiding en behandeling van het adoptiekind bij gevonden aandoeningen.</w:t>
      </w:r>
      <w:r w:rsidR="00750E1C">
        <w:rPr>
          <w:rFonts w:ascii="Verdana" w:hAnsi="Verdana" w:cs="Verdana"/>
          <w:sz w:val="18"/>
          <w:szCs w:val="18"/>
        </w:rPr>
        <w:t xml:space="preserve"> Dit wordt vergoed vanuit de basisverzekering.</w:t>
      </w:r>
      <w:r w:rsidRPr="00C535AE">
        <w:rPr>
          <w:rFonts w:ascii="Verdana" w:hAnsi="Verdana" w:cs="Verdana"/>
          <w:sz w:val="18"/>
          <w:szCs w:val="18"/>
        </w:rPr>
        <w:br/>
        <w:t xml:space="preserve">Kinderartsen zien de laatste jaren steeds complexere special </w:t>
      </w:r>
      <w:r w:rsidRPr="00C535AE">
        <w:rPr>
          <w:rFonts w:ascii="Verdana" w:hAnsi="Verdana" w:cs="Verdana"/>
          <w:sz w:val="18"/>
          <w:szCs w:val="18"/>
        </w:rPr>
        <w:t>needs</w:t>
      </w:r>
      <w:r w:rsidRPr="00C535AE">
        <w:rPr>
          <w:rFonts w:ascii="Verdana" w:hAnsi="Verdana" w:cs="Verdana"/>
          <w:sz w:val="18"/>
          <w:szCs w:val="18"/>
        </w:rPr>
        <w:t xml:space="preserve"> kinderen met soms wel 3 ernstige aandoeningen (</w:t>
      </w:r>
      <w:r w:rsidRPr="00C535AE">
        <w:rPr>
          <w:rFonts w:ascii="Verdana" w:hAnsi="Verdana" w:cs="Verdana"/>
          <w:sz w:val="18"/>
          <w:szCs w:val="18"/>
        </w:rPr>
        <w:t>b.v</w:t>
      </w:r>
      <w:r w:rsidRPr="00C535AE">
        <w:rPr>
          <w:rFonts w:ascii="Verdana" w:hAnsi="Verdana" w:cs="Verdana"/>
          <w:sz w:val="18"/>
          <w:szCs w:val="18"/>
        </w:rPr>
        <w:t xml:space="preserve">. een kind met een aangeboren hartafwijking, een afwezige anus en een aangeboren afwijking van de </w:t>
      </w:r>
      <w:r w:rsidRPr="00C535AE">
        <w:rPr>
          <w:rFonts w:ascii="Verdana" w:hAnsi="Verdana" w:cs="Verdana"/>
          <w:sz w:val="18"/>
          <w:szCs w:val="18"/>
        </w:rPr>
        <w:t>genitalia</w:t>
      </w:r>
      <w:r w:rsidRPr="00C535AE">
        <w:rPr>
          <w:rFonts w:ascii="Verdana" w:hAnsi="Verdana" w:cs="Verdana"/>
          <w:sz w:val="18"/>
          <w:szCs w:val="18"/>
        </w:rPr>
        <w:t>). Ook kinderen waarvan de moeder in de zwangerschap b</w:t>
      </w:r>
      <w:r w:rsidR="00750E1C">
        <w:rPr>
          <w:rFonts w:ascii="Verdana" w:hAnsi="Verdana" w:cs="Verdana"/>
          <w:sz w:val="18"/>
          <w:szCs w:val="18"/>
        </w:rPr>
        <w:t>ijvoorbeeld</w:t>
      </w:r>
      <w:r w:rsidRPr="00C535AE">
        <w:rPr>
          <w:rFonts w:ascii="Verdana" w:hAnsi="Verdana" w:cs="Verdana"/>
          <w:sz w:val="18"/>
          <w:szCs w:val="18"/>
        </w:rPr>
        <w:t xml:space="preserve"> alcohol heeft gedronken zijn at risk (foetaal alcohol syndroom (FAS)). </w:t>
      </w:r>
      <w:r w:rsidRPr="00C535AE">
        <w:rPr>
          <w:rFonts w:ascii="Verdana" w:hAnsi="Verdana" w:cs="Verdana"/>
          <w:sz w:val="18"/>
          <w:szCs w:val="18"/>
        </w:rPr>
        <w:br/>
      </w:r>
      <w:r w:rsidR="00A1308D">
        <w:rPr>
          <w:rFonts w:ascii="Verdana" w:hAnsi="Verdana" w:cs="Verdana"/>
          <w:sz w:val="18"/>
          <w:szCs w:val="18"/>
        </w:rPr>
        <w:t xml:space="preserve">Recent </w:t>
      </w:r>
      <w:r w:rsidRPr="00C535AE">
        <w:rPr>
          <w:rFonts w:ascii="Verdana" w:hAnsi="Verdana" w:cs="Verdana"/>
          <w:sz w:val="18"/>
          <w:szCs w:val="18"/>
        </w:rPr>
        <w:t xml:space="preserve">is hierover een discussie gestart in de werkgroep Adoptie van de NVK. </w:t>
      </w:r>
      <w:r w:rsidR="00A1308D">
        <w:rPr>
          <w:rFonts w:ascii="Verdana" w:hAnsi="Verdana" w:cs="Verdana"/>
          <w:sz w:val="18"/>
          <w:szCs w:val="18"/>
        </w:rPr>
        <w:t xml:space="preserve">De uitkomsten van deze discussie zullen met het ministerie van Veiligheid en Justitie worden besproken. </w:t>
      </w:r>
      <w:r w:rsidRPr="00C535AE">
        <w:rPr>
          <w:rFonts w:ascii="Verdana" w:hAnsi="Verdana" w:cs="Verdana"/>
          <w:sz w:val="18"/>
          <w:szCs w:val="18"/>
        </w:rPr>
        <w:t>In ieder geval is de richtlijn vanuit de Nederlandse wet, namelijk dat een kind goed moet kunnen opgroeien in een gezin en later zelfstandig in de maatschappij moet kunnen functioneren, richtinggevend.</w:t>
      </w:r>
      <w:r>
        <w:rPr>
          <w:rFonts w:ascii="Verdana" w:hAnsi="Verdana" w:cs="Verdana"/>
          <w:sz w:val="18"/>
          <w:szCs w:val="18"/>
        </w:rPr>
        <w:br/>
      </w:r>
    </w:p>
    <w:p w:rsidRPr="0021053C" w:rsidR="001F622B" w:rsidP="00166699">
      <w:pPr>
        <w:rPr>
          <w:rFonts w:ascii="Verdana" w:hAnsi="Verdana" w:cs="Verdana"/>
          <w:sz w:val="18"/>
          <w:szCs w:val="18"/>
        </w:rPr>
      </w:pPr>
    </w:p>
    <w:p w:rsidRPr="0021053C" w:rsidR="001F622B" w:rsidP="0092362E">
      <w:pPr>
        <w:rPr>
          <w:rFonts w:ascii="Verdana" w:hAnsi="Verdana" w:cs="Verdana"/>
          <w:b/>
          <w:bCs/>
          <w:i/>
          <w:iCs/>
          <w:sz w:val="18"/>
          <w:szCs w:val="18"/>
        </w:rPr>
      </w:pPr>
      <w:r w:rsidRPr="0021053C">
        <w:rPr>
          <w:rFonts w:ascii="Verdana" w:hAnsi="Verdana" w:cs="Verdana"/>
          <w:b/>
          <w:bCs/>
          <w:i/>
          <w:iCs/>
          <w:sz w:val="18"/>
          <w:szCs w:val="18"/>
        </w:rPr>
        <w:t>De Jeugdarts</w:t>
      </w:r>
    </w:p>
    <w:p w:rsidRPr="0021053C" w:rsidR="001F622B" w:rsidP="0092362E">
      <w:pPr>
        <w:rPr>
          <w:rFonts w:ascii="Verdana" w:hAnsi="Verdana" w:cs="Verdana"/>
          <w:sz w:val="18"/>
          <w:szCs w:val="18"/>
        </w:rPr>
      </w:pPr>
      <w:r w:rsidRPr="0021053C">
        <w:rPr>
          <w:rFonts w:ascii="Verdana" w:hAnsi="Verdana" w:cs="Verdana"/>
          <w:sz w:val="18"/>
          <w:szCs w:val="18"/>
        </w:rPr>
        <w:t>De jeugdarts werkzaam bij de jeugdgezondheidszorg (JGZ) heeft zicht op alle kinderen (0 tot 19 jaar) op de volgende manieren:</w:t>
      </w:r>
    </w:p>
    <w:p w:rsidRPr="0021053C" w:rsidR="001F622B" w:rsidP="0092362E">
      <w:pPr>
        <w:numPr>
          <w:ilvl w:val="0"/>
          <w:numId w:val="3"/>
        </w:numPr>
        <w:rPr>
          <w:rFonts w:ascii="Verdana" w:hAnsi="Verdana" w:cs="Verdana"/>
          <w:sz w:val="18"/>
          <w:szCs w:val="18"/>
        </w:rPr>
      </w:pPr>
      <w:r w:rsidRPr="0021053C">
        <w:rPr>
          <w:rFonts w:ascii="Verdana" w:hAnsi="Verdana" w:cs="Verdana"/>
          <w:sz w:val="18"/>
          <w:szCs w:val="18"/>
        </w:rPr>
        <w:t xml:space="preserve">Na een mutatie in de gemeentelijke basisadministratie (dus na plaatsing van een adoptiekind) ontvangen de ouders een oproep voor een bezoek aan de jeugdgezondheidszorg. </w:t>
      </w:r>
    </w:p>
    <w:p w:rsidRPr="0021053C" w:rsidR="001F622B" w:rsidP="0092362E">
      <w:pPr>
        <w:numPr>
          <w:ilvl w:val="0"/>
          <w:numId w:val="3"/>
        </w:numPr>
        <w:rPr>
          <w:rFonts w:ascii="Verdana" w:hAnsi="Verdana" w:cs="Verdana"/>
          <w:sz w:val="18"/>
          <w:szCs w:val="18"/>
        </w:rPr>
      </w:pPr>
      <w:r w:rsidRPr="0021053C">
        <w:rPr>
          <w:rFonts w:ascii="Verdana" w:hAnsi="Verdana" w:cs="Verdana"/>
          <w:sz w:val="18"/>
          <w:szCs w:val="18"/>
        </w:rPr>
        <w:t xml:space="preserve">Via de periodieke contactmomenten </w:t>
      </w:r>
      <w:r w:rsidR="00CC476E">
        <w:rPr>
          <w:rFonts w:ascii="Verdana" w:hAnsi="Verdana" w:cs="Verdana"/>
          <w:sz w:val="18"/>
          <w:szCs w:val="18"/>
        </w:rPr>
        <w:t>waarin</w:t>
      </w:r>
      <w:r w:rsidR="008F4427">
        <w:rPr>
          <w:rFonts w:ascii="Verdana" w:hAnsi="Verdana" w:cs="Verdana"/>
          <w:sz w:val="18"/>
          <w:szCs w:val="18"/>
        </w:rPr>
        <w:t xml:space="preserve"> ook de vaccinaties van het Rijksvaccinatieprogramma </w:t>
      </w:r>
      <w:r w:rsidR="00CC476E">
        <w:rPr>
          <w:rFonts w:ascii="Verdana" w:hAnsi="Verdana" w:cs="Verdana"/>
          <w:sz w:val="18"/>
          <w:szCs w:val="18"/>
        </w:rPr>
        <w:t>worden aangeboden</w:t>
      </w:r>
      <w:r w:rsidRPr="0021053C">
        <w:rPr>
          <w:rFonts w:ascii="Verdana" w:hAnsi="Verdana" w:cs="Verdana"/>
          <w:sz w:val="18"/>
          <w:szCs w:val="18"/>
        </w:rPr>
        <w:t xml:space="preserve">. </w:t>
      </w:r>
    </w:p>
    <w:p w:rsidRPr="0021053C" w:rsidR="001F622B" w:rsidP="0092362E">
      <w:pPr>
        <w:numPr>
          <w:ilvl w:val="0"/>
          <w:numId w:val="3"/>
        </w:numPr>
        <w:rPr>
          <w:rFonts w:ascii="Verdana" w:hAnsi="Verdana" w:cs="Verdana"/>
          <w:sz w:val="18"/>
          <w:szCs w:val="18"/>
        </w:rPr>
      </w:pPr>
      <w:r w:rsidRPr="0021053C">
        <w:rPr>
          <w:rFonts w:ascii="Verdana" w:hAnsi="Verdana" w:cs="Verdana"/>
          <w:sz w:val="18"/>
          <w:szCs w:val="18"/>
        </w:rPr>
        <w:t xml:space="preserve">Extra contact met kinderen als de ouder of de jeugdarts daar aanleiding voor ziet. </w:t>
      </w:r>
    </w:p>
    <w:p w:rsidRPr="0021053C" w:rsidR="001F622B" w:rsidP="0092362E">
      <w:pPr>
        <w:numPr>
          <w:ilvl w:val="0"/>
          <w:numId w:val="3"/>
        </w:numPr>
        <w:rPr>
          <w:rFonts w:ascii="Verdana" w:hAnsi="Verdana" w:cs="Verdana"/>
          <w:sz w:val="18"/>
          <w:szCs w:val="18"/>
        </w:rPr>
      </w:pPr>
      <w:r w:rsidRPr="0021053C">
        <w:rPr>
          <w:rFonts w:ascii="Verdana" w:hAnsi="Verdana" w:cs="Verdana"/>
          <w:sz w:val="18"/>
          <w:szCs w:val="18"/>
        </w:rPr>
        <w:t>Naar aanleiding van een signa</w:t>
      </w:r>
      <w:r>
        <w:rPr>
          <w:rFonts w:ascii="Verdana" w:hAnsi="Verdana" w:cs="Verdana"/>
          <w:sz w:val="18"/>
          <w:szCs w:val="18"/>
        </w:rPr>
        <w:t>a</w:t>
      </w:r>
      <w:r w:rsidRPr="0021053C">
        <w:rPr>
          <w:rFonts w:ascii="Verdana" w:hAnsi="Verdana" w:cs="Verdana"/>
          <w:sz w:val="18"/>
          <w:szCs w:val="18"/>
        </w:rPr>
        <w:t xml:space="preserve">l: dit kan de kinderarts zijn. Gezien de special </w:t>
      </w:r>
      <w:r w:rsidRPr="0021053C">
        <w:rPr>
          <w:rFonts w:ascii="Verdana" w:hAnsi="Verdana" w:cs="Verdana"/>
          <w:sz w:val="18"/>
          <w:szCs w:val="18"/>
        </w:rPr>
        <w:t>needs</w:t>
      </w:r>
      <w:r w:rsidRPr="0021053C">
        <w:rPr>
          <w:rFonts w:ascii="Verdana" w:hAnsi="Verdana" w:cs="Verdana"/>
          <w:sz w:val="18"/>
          <w:szCs w:val="18"/>
        </w:rPr>
        <w:t xml:space="preserve"> zijn er vrij veel adoptiekinderen die een kinderarts bezoeken. Kinderartsen informeren de jeugdarts doorgaans schriftelijk over het kind dat zij in behandeling hebben</w:t>
      </w:r>
    </w:p>
    <w:p w:rsidRPr="0021053C" w:rsidR="001F622B" w:rsidP="0092362E">
      <w:pPr>
        <w:numPr>
          <w:ilvl w:val="0"/>
          <w:numId w:val="3"/>
        </w:numPr>
        <w:rPr>
          <w:rFonts w:ascii="Verdana" w:hAnsi="Verdana" w:cs="Verdana"/>
          <w:sz w:val="18"/>
          <w:szCs w:val="18"/>
        </w:rPr>
      </w:pPr>
      <w:r w:rsidRPr="0021053C">
        <w:rPr>
          <w:rFonts w:ascii="Verdana" w:hAnsi="Verdana" w:cs="Verdana"/>
          <w:sz w:val="18"/>
          <w:szCs w:val="18"/>
        </w:rPr>
        <w:t>Via de school:</w:t>
      </w:r>
      <w:r w:rsidR="000E612A">
        <w:rPr>
          <w:rFonts w:ascii="Verdana" w:hAnsi="Verdana" w:cs="Verdana"/>
          <w:sz w:val="18"/>
          <w:szCs w:val="18"/>
        </w:rPr>
        <w:t xml:space="preserve"> </w:t>
      </w:r>
      <w:r w:rsidRPr="0021053C">
        <w:rPr>
          <w:rFonts w:ascii="Verdana" w:hAnsi="Verdana" w:cs="Verdana"/>
          <w:sz w:val="18"/>
          <w:szCs w:val="18"/>
        </w:rPr>
        <w:t>scholen overleggen met en verwijzen door naar de jeugdarts en de JGZ is lid van het zorg advies team (ZAT).</w:t>
      </w:r>
    </w:p>
    <w:p w:rsidRPr="0021053C" w:rsidR="001F622B" w:rsidP="0092362E">
      <w:pPr>
        <w:numPr>
          <w:ilvl w:val="0"/>
          <w:numId w:val="3"/>
        </w:numPr>
        <w:rPr>
          <w:rFonts w:ascii="Verdana" w:hAnsi="Verdana" w:cs="Verdana"/>
          <w:sz w:val="18"/>
          <w:szCs w:val="18"/>
        </w:rPr>
      </w:pPr>
      <w:r w:rsidRPr="0021053C">
        <w:rPr>
          <w:rFonts w:ascii="Verdana" w:hAnsi="Verdana" w:cs="Verdana"/>
          <w:sz w:val="18"/>
          <w:szCs w:val="18"/>
        </w:rPr>
        <w:t xml:space="preserve">De jeugdarts werkt in het CJG. </w:t>
      </w:r>
    </w:p>
    <w:p w:rsidRPr="0021053C" w:rsidR="001F622B" w:rsidP="0092362E">
      <w:pPr>
        <w:rPr>
          <w:rFonts w:ascii="Verdana" w:hAnsi="Verdana" w:cs="Verdana"/>
          <w:sz w:val="18"/>
          <w:szCs w:val="18"/>
        </w:rPr>
      </w:pPr>
    </w:p>
    <w:p w:rsidR="001F622B" w:rsidP="0092362E">
      <w:pPr>
        <w:rPr>
          <w:rFonts w:ascii="Verdana" w:hAnsi="Verdana" w:cs="Verdana"/>
          <w:sz w:val="18"/>
          <w:szCs w:val="18"/>
        </w:rPr>
      </w:pPr>
      <w:r w:rsidRPr="0021053C">
        <w:rPr>
          <w:rFonts w:ascii="Verdana" w:hAnsi="Verdana" w:cs="Verdana"/>
          <w:sz w:val="18"/>
          <w:szCs w:val="18"/>
        </w:rPr>
        <w:t>Sterk punt van de jeugdarts is dat ze zich richt op het gezond en veilig opgroeien van alle kinderen en het normale, positieve opvoeden door ouders. Hierdoor wordt in de volle breedte (‘vanuit het normale’) naar het adoptiekind gekeken. Dit betekent wel dat zo</w:t>
      </w:r>
      <w:r>
        <w:rPr>
          <w:rFonts w:ascii="Verdana" w:hAnsi="Verdana" w:cs="Verdana"/>
          <w:sz w:val="18"/>
          <w:szCs w:val="18"/>
        </w:rPr>
        <w:t xml:space="preserve"> </w:t>
      </w:r>
      <w:r w:rsidRPr="0021053C">
        <w:rPr>
          <w:rFonts w:ascii="Verdana" w:hAnsi="Verdana" w:cs="Verdana"/>
          <w:sz w:val="18"/>
          <w:szCs w:val="18"/>
        </w:rPr>
        <w:t xml:space="preserve">nodig de betreffende jeugdarts te rade moet </w:t>
      </w:r>
      <w:r>
        <w:rPr>
          <w:rFonts w:ascii="Verdana" w:hAnsi="Verdana" w:cs="Verdana"/>
          <w:sz w:val="18"/>
          <w:szCs w:val="18"/>
        </w:rPr>
        <w:t>kunnen gaan bij professionals</w:t>
      </w:r>
      <w:r w:rsidRPr="0021053C">
        <w:rPr>
          <w:rFonts w:ascii="Verdana" w:hAnsi="Verdana" w:cs="Verdana"/>
          <w:sz w:val="18"/>
          <w:szCs w:val="18"/>
        </w:rPr>
        <w:t xml:space="preserve"> die kennis hebben over</w:t>
      </w:r>
      <w:r w:rsidR="008D04BF">
        <w:rPr>
          <w:rFonts w:ascii="Verdana" w:hAnsi="Verdana" w:cs="Verdana"/>
          <w:sz w:val="18"/>
          <w:szCs w:val="18"/>
        </w:rPr>
        <w:t xml:space="preserve"> de </w:t>
      </w:r>
      <w:r w:rsidRPr="0021053C" w:rsidR="008D04BF">
        <w:rPr>
          <w:rFonts w:ascii="Verdana" w:hAnsi="Verdana" w:cs="Verdana"/>
          <w:sz w:val="18"/>
          <w:szCs w:val="18"/>
        </w:rPr>
        <w:t>specifieke</w:t>
      </w:r>
      <w:r w:rsidR="008D04BF">
        <w:rPr>
          <w:rFonts w:ascii="Verdana" w:hAnsi="Verdana" w:cs="Verdana"/>
          <w:sz w:val="18"/>
          <w:szCs w:val="18"/>
        </w:rPr>
        <w:t xml:space="preserve"> problemen die bij</w:t>
      </w:r>
      <w:r w:rsidRPr="0021053C">
        <w:rPr>
          <w:rFonts w:ascii="Verdana" w:hAnsi="Verdana" w:cs="Verdana"/>
          <w:sz w:val="18"/>
          <w:szCs w:val="18"/>
        </w:rPr>
        <w:t xml:space="preserve"> adoptie(nazorg)</w:t>
      </w:r>
      <w:r w:rsidR="008D04BF">
        <w:rPr>
          <w:rFonts w:ascii="Verdana" w:hAnsi="Verdana" w:cs="Verdana"/>
          <w:sz w:val="18"/>
          <w:szCs w:val="18"/>
        </w:rPr>
        <w:t xml:space="preserve"> kunnen spelen</w:t>
      </w:r>
      <w:r w:rsidRPr="0021053C">
        <w:rPr>
          <w:rFonts w:ascii="Verdana" w:hAnsi="Verdana" w:cs="Verdana"/>
          <w:sz w:val="18"/>
          <w:szCs w:val="18"/>
        </w:rPr>
        <w:t>, zoals de SAV</w:t>
      </w:r>
      <w:r w:rsidR="008D04BF">
        <w:rPr>
          <w:rFonts w:ascii="Verdana" w:hAnsi="Verdana" w:cs="Verdana"/>
          <w:sz w:val="18"/>
          <w:szCs w:val="18"/>
        </w:rPr>
        <w:t>,</w:t>
      </w:r>
      <w:r w:rsidRPr="0021053C">
        <w:rPr>
          <w:rFonts w:ascii="Verdana" w:hAnsi="Verdana" w:cs="Verdana"/>
          <w:sz w:val="18"/>
          <w:szCs w:val="18"/>
        </w:rPr>
        <w:t xml:space="preserve"> de behandelend kinderarts</w:t>
      </w:r>
      <w:r w:rsidR="008D04BF">
        <w:rPr>
          <w:rFonts w:ascii="Verdana" w:hAnsi="Verdana" w:cs="Verdana"/>
          <w:sz w:val="18"/>
          <w:szCs w:val="18"/>
        </w:rPr>
        <w:t xml:space="preserve"> en jeugdzorg</w:t>
      </w:r>
      <w:r w:rsidRPr="0021053C">
        <w:rPr>
          <w:rFonts w:ascii="Verdana" w:hAnsi="Verdana" w:cs="Verdana"/>
          <w:sz w:val="18"/>
          <w:szCs w:val="18"/>
        </w:rPr>
        <w:t xml:space="preserve">. </w:t>
      </w:r>
    </w:p>
    <w:p w:rsidR="001F622B" w:rsidP="0092362E">
      <w:pPr>
        <w:rPr>
          <w:rFonts w:ascii="Verdana" w:hAnsi="Verdana" w:cs="Verdana"/>
          <w:sz w:val="18"/>
          <w:szCs w:val="18"/>
        </w:rPr>
      </w:pPr>
    </w:p>
    <w:p w:rsidRPr="0021053C" w:rsidR="001F622B">
      <w:pPr>
        <w:rPr>
          <w:rFonts w:ascii="Verdana" w:hAnsi="Verdana" w:cs="Verdana"/>
          <w:b/>
          <w:bCs/>
          <w:sz w:val="18"/>
          <w:szCs w:val="18"/>
        </w:rPr>
      </w:pPr>
      <w:r>
        <w:rPr>
          <w:rFonts w:ascii="Verdana" w:hAnsi="Verdana" w:cs="Verdana"/>
          <w:b/>
          <w:bCs/>
          <w:sz w:val="18"/>
          <w:szCs w:val="18"/>
        </w:rPr>
        <w:t>A</w:t>
      </w:r>
      <w:r w:rsidR="00EE5A7C">
        <w:rPr>
          <w:rFonts w:ascii="Verdana" w:hAnsi="Verdana" w:cs="Verdana"/>
          <w:b/>
          <w:bCs/>
          <w:sz w:val="18"/>
          <w:szCs w:val="18"/>
        </w:rPr>
        <w:t xml:space="preserve">anbevelingen </w:t>
      </w:r>
      <w:r w:rsidR="009A434F">
        <w:rPr>
          <w:rFonts w:ascii="Verdana" w:hAnsi="Verdana" w:cs="Verdana"/>
          <w:b/>
          <w:bCs/>
          <w:sz w:val="18"/>
          <w:szCs w:val="18"/>
        </w:rPr>
        <w:t>SAV, NVK en AJN</w:t>
      </w:r>
    </w:p>
    <w:p w:rsidR="00843112" w:rsidP="007C7847">
      <w:pPr>
        <w:rPr>
          <w:rFonts w:ascii="Verdana" w:hAnsi="Verdana" w:cs="Verdana"/>
          <w:sz w:val="18"/>
          <w:szCs w:val="18"/>
        </w:rPr>
      </w:pPr>
    </w:p>
    <w:p w:rsidRPr="0021053C" w:rsidR="001F622B" w:rsidP="007C7847">
      <w:pPr>
        <w:rPr>
          <w:rFonts w:ascii="Verdana" w:hAnsi="Verdana" w:cs="Verdana"/>
          <w:sz w:val="18"/>
          <w:szCs w:val="18"/>
        </w:rPr>
      </w:pPr>
      <w:r w:rsidRPr="0021053C">
        <w:rPr>
          <w:rFonts w:ascii="Verdana" w:hAnsi="Verdana" w:cs="Verdana"/>
          <w:sz w:val="18"/>
          <w:szCs w:val="18"/>
        </w:rPr>
        <w:t xml:space="preserve">De SAV, NVK en AJN vinden het belangrijk voor deze groep kinderen en hun ouders dat er naar verschillende aspecten gekeken wordt en </w:t>
      </w:r>
      <w:r w:rsidRPr="0021053C">
        <w:rPr>
          <w:rFonts w:ascii="Verdana" w:hAnsi="Verdana" w:cs="Verdana"/>
          <w:sz w:val="18"/>
          <w:szCs w:val="18"/>
        </w:rPr>
        <w:t>zonodig</w:t>
      </w:r>
      <w:r w:rsidRPr="0021053C">
        <w:rPr>
          <w:rFonts w:ascii="Verdana" w:hAnsi="Verdana" w:cs="Verdana"/>
          <w:sz w:val="18"/>
          <w:szCs w:val="18"/>
        </w:rPr>
        <w:t xml:space="preserve"> gehandeld. Na</w:t>
      </w:r>
      <w:r>
        <w:rPr>
          <w:rFonts w:ascii="Verdana" w:hAnsi="Verdana" w:cs="Verdana"/>
          <w:sz w:val="18"/>
          <w:szCs w:val="18"/>
        </w:rPr>
        <w:t>ast de hechting is de</w:t>
      </w:r>
      <w:r w:rsidRPr="0021053C">
        <w:rPr>
          <w:rFonts w:ascii="Verdana" w:hAnsi="Verdana" w:cs="Verdana"/>
          <w:sz w:val="18"/>
          <w:szCs w:val="18"/>
        </w:rPr>
        <w:t xml:space="preserve"> medische zorg en sociaal-emotionele ontwikkeling gedurende het opgroeien en ontwikkelen tot een volwassene een verantwoordelijkheid van ouders, onderwijs en hulpverleners. Deze zorg </w:t>
      </w:r>
      <w:r>
        <w:rPr>
          <w:rFonts w:ascii="Verdana" w:hAnsi="Verdana" w:cs="Verdana"/>
          <w:sz w:val="18"/>
          <w:szCs w:val="18"/>
        </w:rPr>
        <w:t>begint al vóór de adoptie;</w:t>
      </w:r>
      <w:r w:rsidRPr="0021053C">
        <w:rPr>
          <w:rFonts w:ascii="Verdana" w:hAnsi="Verdana" w:cs="Verdana"/>
          <w:sz w:val="18"/>
          <w:szCs w:val="18"/>
        </w:rPr>
        <w:t xml:space="preserve"> informatie aan de adoptieouders over alle aspecten van opgroeiende </w:t>
      </w:r>
      <w:r>
        <w:rPr>
          <w:rFonts w:ascii="Verdana" w:hAnsi="Verdana" w:cs="Verdana"/>
          <w:sz w:val="18"/>
          <w:szCs w:val="18"/>
        </w:rPr>
        <w:t>(adoptie)</w:t>
      </w:r>
      <w:r w:rsidRPr="0021053C">
        <w:rPr>
          <w:rFonts w:ascii="Verdana" w:hAnsi="Verdana" w:cs="Verdana"/>
          <w:sz w:val="18"/>
          <w:szCs w:val="18"/>
        </w:rPr>
        <w:t>kinderen is belangrijk.</w:t>
      </w:r>
    </w:p>
    <w:p w:rsidRPr="0021053C" w:rsidR="001F622B" w:rsidP="007C7847">
      <w:pPr>
        <w:rPr>
          <w:rFonts w:ascii="Verdana" w:hAnsi="Verdana" w:cs="Verdana"/>
          <w:sz w:val="18"/>
          <w:szCs w:val="18"/>
        </w:rPr>
      </w:pPr>
    </w:p>
    <w:p w:rsidRPr="0021053C" w:rsidR="001F622B" w:rsidP="007C7847">
      <w:pPr>
        <w:rPr>
          <w:rFonts w:ascii="Verdana" w:hAnsi="Verdana" w:cs="Verdana"/>
          <w:i/>
          <w:iCs/>
          <w:sz w:val="18"/>
          <w:szCs w:val="18"/>
        </w:rPr>
      </w:pPr>
      <w:r w:rsidRPr="0021053C">
        <w:rPr>
          <w:rFonts w:ascii="Verdana" w:hAnsi="Verdana" w:cs="Verdana"/>
          <w:i/>
          <w:iCs/>
          <w:sz w:val="18"/>
          <w:szCs w:val="18"/>
        </w:rPr>
        <w:t>Aanbevelingen van de Nederlandse Vereniging voor Kindergeneeskunde</w:t>
      </w:r>
    </w:p>
    <w:p w:rsidRPr="0021053C" w:rsidR="001F622B" w:rsidP="005710EC">
      <w:pPr>
        <w:rPr>
          <w:rFonts w:ascii="Verdana" w:hAnsi="Verdana" w:cs="Verdana"/>
          <w:sz w:val="18"/>
          <w:szCs w:val="18"/>
        </w:rPr>
      </w:pPr>
      <w:r w:rsidRPr="0021053C">
        <w:rPr>
          <w:rFonts w:ascii="Verdana" w:hAnsi="Verdana" w:cs="Verdana"/>
          <w:sz w:val="18"/>
          <w:szCs w:val="18"/>
        </w:rPr>
        <w:t xml:space="preserve">Omdat er een hoog percentage “special </w:t>
      </w:r>
      <w:r w:rsidRPr="0021053C">
        <w:rPr>
          <w:rFonts w:ascii="Verdana" w:hAnsi="Verdana" w:cs="Verdana"/>
          <w:sz w:val="18"/>
          <w:szCs w:val="18"/>
        </w:rPr>
        <w:t>needs</w:t>
      </w:r>
      <w:r w:rsidRPr="0021053C">
        <w:rPr>
          <w:rFonts w:ascii="Verdana" w:hAnsi="Verdana" w:cs="Verdana"/>
          <w:sz w:val="18"/>
          <w:szCs w:val="18"/>
        </w:rPr>
        <w:t xml:space="preserve">” kinderen is beveelt </w:t>
      </w:r>
      <w:r>
        <w:rPr>
          <w:rFonts w:ascii="Verdana" w:hAnsi="Verdana" w:cs="Verdana"/>
          <w:sz w:val="18"/>
          <w:szCs w:val="18"/>
        </w:rPr>
        <w:t xml:space="preserve">de NVK </w:t>
      </w:r>
      <w:r w:rsidRPr="0021053C">
        <w:rPr>
          <w:rFonts w:ascii="Verdana" w:hAnsi="Verdana" w:cs="Verdana"/>
          <w:sz w:val="18"/>
          <w:szCs w:val="18"/>
        </w:rPr>
        <w:t>aan dat de aanstaande adoptieouders voorafgaand aan de adoptie een kinderarts spreken</w:t>
      </w:r>
      <w:r>
        <w:rPr>
          <w:rFonts w:ascii="Verdana" w:hAnsi="Verdana" w:cs="Verdana"/>
          <w:sz w:val="18"/>
          <w:szCs w:val="18"/>
        </w:rPr>
        <w:t>. Dit is</w:t>
      </w:r>
      <w:r w:rsidRPr="0021053C">
        <w:rPr>
          <w:rFonts w:ascii="Verdana" w:hAnsi="Verdana" w:cs="Verdana"/>
          <w:sz w:val="18"/>
          <w:szCs w:val="18"/>
        </w:rPr>
        <w:t xml:space="preserve"> bij voorkeur dezelfde kinderarts die het kind en ouders na de adoptie wederom ziet voor grondig medisch</w:t>
      </w:r>
      <w:r>
        <w:rPr>
          <w:rFonts w:ascii="Verdana" w:hAnsi="Verdana" w:cs="Verdana"/>
          <w:sz w:val="18"/>
          <w:szCs w:val="18"/>
        </w:rPr>
        <w:t xml:space="preserve"> onderzoek</w:t>
      </w:r>
      <w:r w:rsidRPr="0021053C">
        <w:rPr>
          <w:rFonts w:ascii="Verdana" w:hAnsi="Verdana" w:cs="Verdana"/>
          <w:sz w:val="18"/>
          <w:szCs w:val="18"/>
        </w:rPr>
        <w:t>. Relevante medische gegevens worden schriftelijk overgedragen naar ouders, huisarts en jeugdarts.</w:t>
      </w:r>
      <w:r>
        <w:rPr>
          <w:rFonts w:ascii="Verdana" w:hAnsi="Verdana" w:cs="Verdana"/>
          <w:sz w:val="18"/>
          <w:szCs w:val="18"/>
        </w:rPr>
        <w:t xml:space="preserve"> </w:t>
      </w:r>
      <w:r w:rsidRPr="0021053C">
        <w:rPr>
          <w:rFonts w:ascii="Verdana" w:hAnsi="Verdana" w:cs="Verdana"/>
          <w:sz w:val="18"/>
          <w:szCs w:val="18"/>
        </w:rPr>
        <w:t>Op dit moment word</w:t>
      </w:r>
      <w:r>
        <w:rPr>
          <w:rFonts w:ascii="Verdana" w:hAnsi="Verdana" w:cs="Verdana"/>
          <w:sz w:val="18"/>
          <w:szCs w:val="18"/>
        </w:rPr>
        <w:t>t</w:t>
      </w:r>
      <w:r w:rsidR="009A434F">
        <w:rPr>
          <w:rFonts w:ascii="Verdana" w:hAnsi="Verdana" w:cs="Verdana"/>
          <w:sz w:val="18"/>
          <w:szCs w:val="18"/>
        </w:rPr>
        <w:t xml:space="preserve"> dit consult en deze </w:t>
      </w:r>
      <w:r w:rsidR="009A434F">
        <w:rPr>
          <w:rFonts w:ascii="Verdana" w:hAnsi="Verdana" w:cs="Verdana"/>
          <w:sz w:val="18"/>
          <w:szCs w:val="18"/>
        </w:rPr>
        <w:t>screening</w:t>
      </w:r>
      <w:r>
        <w:rPr>
          <w:rFonts w:ascii="Verdana" w:hAnsi="Verdana" w:cs="Verdana"/>
          <w:sz w:val="18"/>
          <w:szCs w:val="18"/>
        </w:rPr>
        <w:t xml:space="preserve"> </w:t>
      </w:r>
      <w:r w:rsidRPr="0021053C">
        <w:rPr>
          <w:rFonts w:ascii="Verdana" w:hAnsi="Verdana" w:cs="Verdana"/>
          <w:sz w:val="18"/>
          <w:szCs w:val="18"/>
        </w:rPr>
        <w:t>niet vergoed</w:t>
      </w:r>
      <w:r w:rsidR="009A434F">
        <w:rPr>
          <w:rFonts w:ascii="Verdana" w:hAnsi="Verdana" w:cs="Verdana"/>
          <w:sz w:val="18"/>
          <w:szCs w:val="18"/>
        </w:rPr>
        <w:t xml:space="preserve"> vanuit de basisverzekering</w:t>
      </w:r>
      <w:r w:rsidRPr="0021053C">
        <w:rPr>
          <w:rFonts w:ascii="Verdana" w:hAnsi="Verdana" w:cs="Verdana"/>
          <w:sz w:val="18"/>
          <w:szCs w:val="18"/>
        </w:rPr>
        <w:t>.</w:t>
      </w:r>
      <w:r>
        <w:rPr>
          <w:rFonts w:ascii="Verdana" w:hAnsi="Verdana" w:cs="Verdana"/>
          <w:sz w:val="18"/>
          <w:szCs w:val="18"/>
        </w:rPr>
        <w:t xml:space="preserve"> Ouders zouden deze zorg niet zelf moeten betalen. </w:t>
      </w:r>
      <w:r w:rsidRPr="0021053C">
        <w:rPr>
          <w:rFonts w:ascii="Verdana" w:hAnsi="Verdana" w:cs="Verdana"/>
          <w:sz w:val="18"/>
          <w:szCs w:val="18"/>
        </w:rPr>
        <w:t xml:space="preserve">Tevens adviseert de </w:t>
      </w:r>
      <w:r>
        <w:rPr>
          <w:rFonts w:ascii="Verdana" w:hAnsi="Verdana" w:cs="Verdana"/>
          <w:sz w:val="18"/>
          <w:szCs w:val="18"/>
        </w:rPr>
        <w:t xml:space="preserve">NVK </w:t>
      </w:r>
      <w:r w:rsidRPr="0021053C">
        <w:rPr>
          <w:rFonts w:ascii="Verdana" w:hAnsi="Verdana" w:cs="Verdana"/>
          <w:sz w:val="18"/>
          <w:szCs w:val="18"/>
        </w:rPr>
        <w:t xml:space="preserve">dat alle vergunninghouders </w:t>
      </w:r>
      <w:r>
        <w:rPr>
          <w:rFonts w:ascii="Verdana" w:hAnsi="Verdana" w:cs="Verdana"/>
          <w:sz w:val="18"/>
          <w:szCs w:val="18"/>
        </w:rPr>
        <w:t xml:space="preserve">een overeenkomst hebben met </w:t>
      </w:r>
      <w:r w:rsidRPr="0021053C">
        <w:rPr>
          <w:rFonts w:ascii="Verdana" w:hAnsi="Verdana" w:cs="Verdana"/>
          <w:sz w:val="18"/>
          <w:szCs w:val="18"/>
        </w:rPr>
        <w:t xml:space="preserve">een kinderarts met expertise voor buitenlandse adoptiekinderen die, voordat het kind ter adoptie aangeboden wordt schriftelijk </w:t>
      </w:r>
      <w:r>
        <w:rPr>
          <w:rFonts w:ascii="Verdana" w:hAnsi="Verdana" w:cs="Verdana"/>
          <w:sz w:val="18"/>
          <w:szCs w:val="18"/>
        </w:rPr>
        <w:t>beoordeelt. De kans dat een kind een andere aandoening blijkt te hebben dan wat de ouders van tevoren dachten, wordt daardoor fors kleiner. Tenslotte adviseert de NVK een actief beleid vanuit de SAV om ieder adoptiekind en het nieuwe gezin ook na plaatsing te volgen ten aanzien van de sociale en emotionele ontwikkeling, met name op het gebied van de hechting. De jeugdgezondheidszorg kan hierin een signalerende rol vervullen.</w:t>
      </w:r>
    </w:p>
    <w:p w:rsidR="001F622B" w:rsidP="007C7847">
      <w:pPr>
        <w:rPr>
          <w:rFonts w:ascii="Verdana" w:hAnsi="Verdana" w:cs="Verdana"/>
          <w:i/>
          <w:iCs/>
          <w:sz w:val="18"/>
          <w:szCs w:val="18"/>
        </w:rPr>
      </w:pPr>
    </w:p>
    <w:p w:rsidRPr="0021053C" w:rsidR="001F622B" w:rsidP="007C7847">
      <w:pPr>
        <w:rPr>
          <w:rFonts w:ascii="Verdana" w:hAnsi="Verdana" w:cs="Verdana"/>
          <w:i/>
          <w:iCs/>
          <w:sz w:val="18"/>
          <w:szCs w:val="18"/>
        </w:rPr>
      </w:pPr>
      <w:r>
        <w:rPr>
          <w:rFonts w:ascii="Verdana" w:hAnsi="Verdana" w:cs="Verdana"/>
          <w:i/>
          <w:iCs/>
          <w:sz w:val="18"/>
          <w:szCs w:val="18"/>
        </w:rPr>
        <w:t>A</w:t>
      </w:r>
      <w:r w:rsidRPr="0021053C">
        <w:rPr>
          <w:rFonts w:ascii="Verdana" w:hAnsi="Verdana" w:cs="Verdana"/>
          <w:i/>
          <w:iCs/>
          <w:sz w:val="18"/>
          <w:szCs w:val="18"/>
        </w:rPr>
        <w:t>anbevelingen van de Stichting Adoptievoorzieningen:</w:t>
      </w:r>
    </w:p>
    <w:p w:rsidR="001F622B" w:rsidP="00044C21">
      <w:pPr>
        <w:rPr>
          <w:rFonts w:ascii="Verdana" w:hAnsi="Verdana" w:cs="Verdana"/>
          <w:sz w:val="18"/>
          <w:szCs w:val="18"/>
        </w:rPr>
      </w:pPr>
      <w:r w:rsidRPr="0021053C">
        <w:rPr>
          <w:rFonts w:ascii="Verdana" w:hAnsi="Verdana" w:cs="Verdana"/>
          <w:sz w:val="18"/>
          <w:szCs w:val="18"/>
        </w:rPr>
        <w:t xml:space="preserve">De Inspectie voor de Jeugdzorg komt tot de conclusie dat het zicht op de ontwikkeling van adoptiekinderen op dit moment onvoldoende is. Het lijkt </w:t>
      </w:r>
      <w:r w:rsidR="008F4427">
        <w:rPr>
          <w:rFonts w:ascii="Verdana" w:hAnsi="Verdana" w:cs="Verdana"/>
          <w:sz w:val="18"/>
          <w:szCs w:val="18"/>
        </w:rPr>
        <w:t>de SAV</w:t>
      </w:r>
      <w:r w:rsidRPr="0021053C">
        <w:rPr>
          <w:rFonts w:ascii="Verdana" w:hAnsi="Verdana" w:cs="Verdana"/>
          <w:sz w:val="18"/>
          <w:szCs w:val="18"/>
        </w:rPr>
        <w:t xml:space="preserve"> dan ook wenselijk dat de JGZ het zicht op </w:t>
      </w:r>
      <w:r>
        <w:rPr>
          <w:rFonts w:ascii="Verdana" w:hAnsi="Verdana" w:cs="Verdana"/>
          <w:sz w:val="18"/>
          <w:szCs w:val="18"/>
        </w:rPr>
        <w:t>adoptiekinderen systematisch gaat</w:t>
      </w:r>
      <w:r w:rsidRPr="0021053C">
        <w:rPr>
          <w:rFonts w:ascii="Verdana" w:hAnsi="Verdana" w:cs="Verdana"/>
          <w:sz w:val="18"/>
          <w:szCs w:val="18"/>
        </w:rPr>
        <w:t xml:space="preserve"> verbeteren door bij het bezoek van adoptieouders aan de jeugdgezondheidszorg bijvoorbeeld een signaleringslijst op het gebied van gehechtheid, emotie en str</w:t>
      </w:r>
      <w:r>
        <w:rPr>
          <w:rFonts w:ascii="Verdana" w:hAnsi="Verdana" w:cs="Verdana"/>
          <w:sz w:val="18"/>
          <w:szCs w:val="18"/>
        </w:rPr>
        <w:t xml:space="preserve">essregulatie </w:t>
      </w:r>
      <w:r w:rsidRPr="0021053C">
        <w:rPr>
          <w:rFonts w:ascii="Verdana" w:hAnsi="Verdana" w:cs="Verdana"/>
          <w:sz w:val="18"/>
          <w:szCs w:val="18"/>
        </w:rPr>
        <w:t>te laten invullen. Indien een kind in het risicogeb</w:t>
      </w:r>
      <w:r>
        <w:rPr>
          <w:rFonts w:ascii="Verdana" w:hAnsi="Verdana" w:cs="Verdana"/>
          <w:sz w:val="18"/>
          <w:szCs w:val="18"/>
        </w:rPr>
        <w:t>ied valt, is doorverwijzing van</w:t>
      </w:r>
      <w:r w:rsidRPr="0021053C">
        <w:rPr>
          <w:rFonts w:ascii="Verdana" w:hAnsi="Verdana" w:cs="Verdana"/>
          <w:sz w:val="18"/>
          <w:szCs w:val="18"/>
        </w:rPr>
        <w:t xml:space="preserve"> de jeugdarts naar de SAV evident. De SAV is graag bereid dit </w:t>
      </w:r>
      <w:r>
        <w:rPr>
          <w:rFonts w:ascii="Verdana" w:hAnsi="Verdana" w:cs="Verdana"/>
          <w:sz w:val="18"/>
          <w:szCs w:val="18"/>
        </w:rPr>
        <w:t xml:space="preserve">op korte termijn </w:t>
      </w:r>
      <w:r w:rsidRPr="0021053C">
        <w:rPr>
          <w:rFonts w:ascii="Verdana" w:hAnsi="Verdana" w:cs="Verdana"/>
          <w:sz w:val="18"/>
          <w:szCs w:val="18"/>
        </w:rPr>
        <w:t xml:space="preserve">met de AJN </w:t>
      </w:r>
      <w:r>
        <w:rPr>
          <w:rFonts w:ascii="Verdana" w:hAnsi="Verdana" w:cs="Verdana"/>
          <w:sz w:val="18"/>
          <w:szCs w:val="18"/>
        </w:rPr>
        <w:t xml:space="preserve">en NVK </w:t>
      </w:r>
      <w:r w:rsidRPr="0021053C">
        <w:rPr>
          <w:rFonts w:ascii="Verdana" w:hAnsi="Verdana" w:cs="Verdana"/>
          <w:sz w:val="18"/>
          <w:szCs w:val="18"/>
        </w:rPr>
        <w:t>nader uit te werken in de vorm van een handreiking of richtlijn.</w:t>
      </w:r>
    </w:p>
    <w:p w:rsidRPr="0021053C" w:rsidR="001F622B" w:rsidP="007C7847">
      <w:pPr>
        <w:rPr>
          <w:rFonts w:ascii="Verdana" w:hAnsi="Verdana" w:cs="Verdana"/>
          <w:sz w:val="18"/>
          <w:szCs w:val="18"/>
        </w:rPr>
      </w:pPr>
      <w:r>
        <w:rPr>
          <w:rFonts w:ascii="Verdana" w:hAnsi="Verdana" w:cs="Verdana"/>
          <w:sz w:val="18"/>
          <w:szCs w:val="18"/>
        </w:rPr>
        <w:t xml:space="preserve">Door het veranderende profiel van de kinderen (ouder dan twee jaar en complexe </w:t>
      </w:r>
      <w:r w:rsidR="0020400C">
        <w:rPr>
          <w:rFonts w:ascii="Verdana" w:hAnsi="Verdana" w:cs="Verdana"/>
          <w:sz w:val="18"/>
          <w:szCs w:val="18"/>
        </w:rPr>
        <w:t xml:space="preserve">special </w:t>
      </w:r>
      <w:r w:rsidR="0020400C">
        <w:rPr>
          <w:rFonts w:ascii="Verdana" w:hAnsi="Verdana" w:cs="Verdana"/>
          <w:sz w:val="18"/>
          <w:szCs w:val="18"/>
        </w:rPr>
        <w:t>needs</w:t>
      </w:r>
      <w:r w:rsidR="0020400C">
        <w:rPr>
          <w:rFonts w:ascii="Verdana" w:hAnsi="Verdana" w:cs="Verdana"/>
          <w:sz w:val="18"/>
          <w:szCs w:val="18"/>
        </w:rPr>
        <w:t xml:space="preserve"> kinderen</w:t>
      </w:r>
      <w:r>
        <w:rPr>
          <w:rFonts w:ascii="Verdana" w:hAnsi="Verdana" w:cs="Verdana"/>
          <w:sz w:val="18"/>
          <w:szCs w:val="18"/>
        </w:rPr>
        <w:t>) is er sprake van een verhoogd risico op</w:t>
      </w:r>
      <w:r w:rsidRPr="0021053C">
        <w:rPr>
          <w:rFonts w:ascii="Verdana" w:hAnsi="Verdana" w:cs="Verdana"/>
          <w:sz w:val="18"/>
          <w:szCs w:val="18"/>
        </w:rPr>
        <w:t xml:space="preserve"> een stagnerende </w:t>
      </w:r>
      <w:r>
        <w:rPr>
          <w:rFonts w:ascii="Verdana" w:hAnsi="Verdana" w:cs="Verdana"/>
          <w:sz w:val="18"/>
          <w:szCs w:val="18"/>
        </w:rPr>
        <w:t xml:space="preserve">sociale- en emotionele </w:t>
      </w:r>
      <w:r w:rsidRPr="0021053C">
        <w:rPr>
          <w:rFonts w:ascii="Verdana" w:hAnsi="Verdana" w:cs="Verdana"/>
          <w:sz w:val="18"/>
          <w:szCs w:val="18"/>
        </w:rPr>
        <w:t>ontwikkeling.</w:t>
      </w:r>
      <w:r>
        <w:rPr>
          <w:rFonts w:ascii="Verdana" w:hAnsi="Verdana" w:cs="Verdana"/>
          <w:sz w:val="18"/>
          <w:szCs w:val="18"/>
        </w:rPr>
        <w:t xml:space="preserve"> Voor deze groep ouders is preventieve versterking van opvoedingsvaardigheden gericht op het proces van wennen en hechten noodzakelijk en urgent. Het zicht op de ontwikkeling van het kind is juist bij deze groep noodzakelijk vanwege de grotere kans op psychisch trauma in de voorgeschiedenis. De Stichting Adoptievoorzieningen pleit voor een vanzelfsprekend, laagdrempelig adoptiespecifiek hulpaanbod aan deze gezinnen op basis van het risicoprofiel bij de </w:t>
      </w:r>
      <w:r>
        <w:rPr>
          <w:rFonts w:ascii="Verdana" w:hAnsi="Verdana" w:cs="Verdana"/>
          <w:sz w:val="18"/>
          <w:szCs w:val="18"/>
        </w:rPr>
        <w:t>matching</w:t>
      </w:r>
      <w:r>
        <w:rPr>
          <w:rFonts w:ascii="Verdana" w:hAnsi="Verdana" w:cs="Verdana"/>
          <w:sz w:val="18"/>
          <w:szCs w:val="18"/>
        </w:rPr>
        <w:t xml:space="preserve"> van het kind.</w:t>
      </w:r>
    </w:p>
    <w:p w:rsidR="001F622B" w:rsidP="00E81B11">
      <w:pPr>
        <w:rPr>
          <w:rFonts w:ascii="Verdana" w:hAnsi="Verdana" w:cs="Verdana"/>
          <w:sz w:val="18"/>
          <w:szCs w:val="18"/>
        </w:rPr>
      </w:pPr>
      <w:r w:rsidRPr="0021053C">
        <w:rPr>
          <w:rFonts w:ascii="Verdana" w:hAnsi="Verdana" w:cs="Verdana"/>
          <w:sz w:val="18"/>
          <w:szCs w:val="18"/>
        </w:rPr>
        <w:t xml:space="preserve">De Inspectie voor de Jeugdzorg wijst ook op de informatie uitwisseling binnen de adoptieketen. De Centrale Autoriteit </w:t>
      </w:r>
      <w:r w:rsidRPr="0021053C">
        <w:rPr>
          <w:rFonts w:ascii="Verdana" w:hAnsi="Verdana" w:cs="Verdana"/>
          <w:sz w:val="18"/>
          <w:szCs w:val="18"/>
        </w:rPr>
        <w:t>Interlandelijke</w:t>
      </w:r>
      <w:r w:rsidRPr="0021053C">
        <w:rPr>
          <w:rFonts w:ascii="Verdana" w:hAnsi="Verdana" w:cs="Verdana"/>
          <w:sz w:val="18"/>
          <w:szCs w:val="18"/>
        </w:rPr>
        <w:t xml:space="preserve"> Adoptie (ministerie van V&amp;J) en de vergunninghouders (bemiddelende adoptiebureaus) beschikken over de dossiers van de adoptiekinderen, op basis waarvan al vooraf een risicoprofiel te schetsen is. De SAV is er voorstander van dat zij ook een proactieve rol krijgen in het actief verwijzen van adoptieouders met een kind (of kinderen) met een verhoogd risicoprofiel naar hulp en consultatie van de SAV. </w:t>
      </w:r>
    </w:p>
    <w:p w:rsidR="00843112" w:rsidP="007C7847">
      <w:pPr>
        <w:rPr>
          <w:rFonts w:ascii="Verdana" w:hAnsi="Verdana" w:cs="Verdana"/>
          <w:i/>
          <w:iCs/>
          <w:sz w:val="18"/>
          <w:szCs w:val="18"/>
        </w:rPr>
      </w:pPr>
      <w:r w:rsidRPr="0021053C">
        <w:rPr>
          <w:rFonts w:ascii="Verdana" w:hAnsi="Verdana" w:cs="Verdana"/>
          <w:sz w:val="18"/>
          <w:szCs w:val="18"/>
        </w:rPr>
        <w:t>Door deze gezinnen te verwijzen, kunnen latere problemen worden voorkomen en dus kosten, die gemaakt worden doordat er een beroep wordt gedaan op tweedelijnszorg, bespaard.</w:t>
      </w:r>
      <w:r w:rsidRPr="00044C21">
        <w:rPr>
          <w:rFonts w:ascii="Verdana" w:hAnsi="Verdana" w:cs="Verdana"/>
          <w:sz w:val="18"/>
          <w:szCs w:val="18"/>
        </w:rPr>
        <w:t xml:space="preserve"> </w:t>
      </w:r>
      <w:r w:rsidRPr="0021053C">
        <w:rPr>
          <w:rFonts w:ascii="Verdana" w:hAnsi="Verdana" w:cs="Verdana"/>
          <w:sz w:val="18"/>
          <w:szCs w:val="18"/>
        </w:rPr>
        <w:t xml:space="preserve">Hiermee wordt ook recht gedaan aan het Haagse Adoptieverdrag, die immers aan ontvangende landen vraagt te zorgen voor voorbereiding </w:t>
      </w:r>
      <w:r w:rsidRPr="0021053C">
        <w:rPr>
          <w:rFonts w:ascii="Verdana" w:hAnsi="Verdana" w:cs="Verdana"/>
          <w:sz w:val="18"/>
          <w:szCs w:val="18"/>
        </w:rPr>
        <w:t>én</w:t>
      </w:r>
      <w:r w:rsidRPr="0021053C">
        <w:rPr>
          <w:rFonts w:ascii="Verdana" w:hAnsi="Verdana" w:cs="Verdana"/>
          <w:sz w:val="18"/>
          <w:szCs w:val="18"/>
        </w:rPr>
        <w:t xml:space="preserve"> nazorg</w:t>
      </w:r>
      <w:r w:rsidRPr="0021053C">
        <w:rPr>
          <w:rFonts w:ascii="Verdana" w:hAnsi="Verdana" w:cs="Verdana"/>
          <w:i/>
          <w:iCs/>
          <w:sz w:val="18"/>
          <w:szCs w:val="18"/>
        </w:rPr>
        <w:t>.</w:t>
      </w:r>
    </w:p>
    <w:p w:rsidRPr="002368DF" w:rsidR="00CC7273" w:rsidP="00CC7273">
      <w:pPr>
        <w:rPr>
          <w:rFonts w:ascii="Verdana" w:hAnsi="Verdana" w:cs="Verdana"/>
          <w:i/>
          <w:iCs/>
          <w:sz w:val="18"/>
          <w:szCs w:val="18"/>
        </w:rPr>
      </w:pPr>
      <w:r w:rsidRPr="00457ECD">
        <w:rPr>
          <w:rFonts w:ascii="Verdana" w:hAnsi="Verdana" w:cs="Verdana"/>
          <w:iCs/>
          <w:sz w:val="18"/>
          <w:szCs w:val="18"/>
        </w:rPr>
        <w:t xml:space="preserve"> </w:t>
      </w:r>
      <w:r w:rsidRPr="002368DF">
        <w:rPr>
          <w:rFonts w:ascii="Verdana" w:hAnsi="Verdana" w:cs="Verdana"/>
          <w:i/>
          <w:iCs/>
          <w:sz w:val="18"/>
          <w:szCs w:val="18"/>
        </w:rPr>
        <w:t>Samengevatte aanbevelingen van de drie partijen</w:t>
      </w:r>
    </w:p>
    <w:p w:rsidR="00CC7273" w:rsidP="00CC7273">
      <w:pPr>
        <w:rPr>
          <w:rFonts w:ascii="Verdana" w:hAnsi="Verdana" w:cs="Verdana"/>
          <w:sz w:val="18"/>
          <w:szCs w:val="18"/>
        </w:rPr>
      </w:pPr>
      <w:r>
        <w:rPr>
          <w:rFonts w:ascii="Verdana" w:hAnsi="Verdana" w:cs="Verdana"/>
          <w:sz w:val="18"/>
          <w:szCs w:val="18"/>
        </w:rPr>
        <w:t xml:space="preserve">Uit de aanbevelingen van de </w:t>
      </w:r>
      <w:r w:rsidRPr="00B41388">
        <w:rPr>
          <w:rFonts w:ascii="Verdana" w:hAnsi="Verdana" w:cs="Verdana"/>
          <w:sz w:val="18"/>
          <w:szCs w:val="18"/>
        </w:rPr>
        <w:t>Nederlandse Vereniging voor Kindergeneeskunde</w:t>
      </w:r>
      <w:r>
        <w:rPr>
          <w:rFonts w:ascii="Verdana" w:hAnsi="Verdana" w:cs="Verdana"/>
          <w:sz w:val="18"/>
          <w:szCs w:val="18"/>
        </w:rPr>
        <w:t xml:space="preserve"> en de Stichting Adoptievoorzieningen blijkt dat een invulling van de adoptienazorg zoals deze door de IJZ is aanbevolen, niet begint op het moment dat het adoptiekind in het gezin is geplaatst. </w:t>
      </w:r>
    </w:p>
    <w:p w:rsidR="00CC7273" w:rsidP="00CC7273">
      <w:pPr>
        <w:rPr>
          <w:rFonts w:ascii="Verdana" w:hAnsi="Verdana" w:cs="Verdana"/>
          <w:sz w:val="18"/>
          <w:szCs w:val="18"/>
        </w:rPr>
      </w:pPr>
      <w:r>
        <w:rPr>
          <w:rFonts w:ascii="Verdana" w:hAnsi="Verdana" w:cs="Verdana"/>
          <w:sz w:val="18"/>
          <w:szCs w:val="18"/>
        </w:rPr>
        <w:t>Voor een adequate invulling van de adoptienazorg is de rol en betrokkenheid van vergunninghouders, kinderarts met expertise op het gebied van adoptie, Stichting Adoptievoorzieningen en de reguliere jeugdgezondheidszorg van belang. Om de zorg rond adoptie(na)zorg soepel te laten verlopen bestaat een gedeelde verantwoordelijkheid voor de ministeries van Veiligheid en Justitie en Volksgezondheid, Welzijn en Sport.</w:t>
      </w:r>
    </w:p>
    <w:p w:rsidR="00CC7273" w:rsidP="00CC7273">
      <w:pPr>
        <w:rPr>
          <w:rFonts w:ascii="Verdana" w:hAnsi="Verdana" w:cs="Verdana"/>
          <w:sz w:val="18"/>
          <w:szCs w:val="18"/>
        </w:rPr>
      </w:pPr>
    </w:p>
    <w:p w:rsidR="00CC7273" w:rsidP="00CC7273">
      <w:pPr>
        <w:rPr>
          <w:rFonts w:ascii="Verdana" w:hAnsi="Verdana" w:cs="Verdana"/>
          <w:sz w:val="18"/>
          <w:szCs w:val="18"/>
        </w:rPr>
      </w:pPr>
      <w:r>
        <w:rPr>
          <w:rFonts w:ascii="Verdana" w:hAnsi="Verdana" w:cs="Verdana"/>
          <w:sz w:val="18"/>
          <w:szCs w:val="18"/>
        </w:rPr>
        <w:t xml:space="preserve">De aanbevelingen op het gebied van de medische en </w:t>
      </w:r>
      <w:r>
        <w:rPr>
          <w:rFonts w:ascii="Verdana" w:hAnsi="Verdana" w:cs="Verdana"/>
          <w:sz w:val="18"/>
          <w:szCs w:val="18"/>
        </w:rPr>
        <w:t>medisch-sociale</w:t>
      </w:r>
      <w:r>
        <w:rPr>
          <w:rFonts w:ascii="Verdana" w:hAnsi="Verdana" w:cs="Verdana"/>
          <w:sz w:val="18"/>
          <w:szCs w:val="18"/>
        </w:rPr>
        <w:t xml:space="preserve"> evaluatie voorafgaand en na de plaatsing van het adoptiekind in het gezin worden niet vergoed vanuit de Zorgverzekeringswet, omdat het medisch onderzoek geduid wordt als </w:t>
      </w:r>
      <w:r>
        <w:rPr>
          <w:rFonts w:ascii="Verdana" w:hAnsi="Verdana" w:cs="Verdana"/>
          <w:sz w:val="18"/>
          <w:szCs w:val="18"/>
        </w:rPr>
        <w:t>screening</w:t>
      </w:r>
      <w:r>
        <w:rPr>
          <w:rFonts w:ascii="Verdana" w:hAnsi="Verdana" w:cs="Verdana"/>
          <w:sz w:val="18"/>
          <w:szCs w:val="18"/>
        </w:rPr>
        <w:t xml:space="preserve"> waarbij geen sprake zou zijn van een individuele zorgbehoefte. Deze interpretatie staat in schril contrast tot het feit dat </w:t>
      </w:r>
      <w:r w:rsidRPr="002C10AB">
        <w:rPr>
          <w:rFonts w:ascii="Verdana" w:hAnsi="Verdana" w:cs="Verdana"/>
          <w:sz w:val="18"/>
          <w:szCs w:val="18"/>
        </w:rPr>
        <w:t xml:space="preserve">75% van alle kinderen </w:t>
      </w:r>
      <w:r>
        <w:rPr>
          <w:rFonts w:ascii="Verdana" w:hAnsi="Verdana" w:cs="Verdana"/>
          <w:sz w:val="18"/>
          <w:szCs w:val="18"/>
        </w:rPr>
        <w:t xml:space="preserve">bij medisch onderzoek kort na aankomst </w:t>
      </w:r>
      <w:r w:rsidRPr="002C10AB">
        <w:rPr>
          <w:rFonts w:ascii="Verdana" w:hAnsi="Verdana" w:cs="Verdana"/>
          <w:sz w:val="18"/>
          <w:szCs w:val="18"/>
        </w:rPr>
        <w:t>een of meerdere aandoeningen heeft</w:t>
      </w:r>
      <w:r>
        <w:rPr>
          <w:rFonts w:ascii="Verdana" w:hAnsi="Verdana" w:cs="Verdana"/>
          <w:sz w:val="18"/>
          <w:szCs w:val="18"/>
        </w:rPr>
        <w:t xml:space="preserve">, die </w:t>
      </w:r>
      <w:r w:rsidRPr="002C10AB">
        <w:rPr>
          <w:rFonts w:ascii="Verdana" w:hAnsi="Verdana" w:cs="Verdana"/>
          <w:sz w:val="18"/>
          <w:szCs w:val="18"/>
        </w:rPr>
        <w:t>meestal goed behandelba</w:t>
      </w:r>
      <w:r>
        <w:rPr>
          <w:rFonts w:ascii="Verdana" w:hAnsi="Verdana" w:cs="Verdana"/>
          <w:sz w:val="18"/>
          <w:szCs w:val="18"/>
        </w:rPr>
        <w:t>a</w:t>
      </w:r>
      <w:r w:rsidRPr="002C10AB">
        <w:rPr>
          <w:rFonts w:ascii="Verdana" w:hAnsi="Verdana" w:cs="Verdana"/>
          <w:sz w:val="18"/>
          <w:szCs w:val="18"/>
        </w:rPr>
        <w:t>r</w:t>
      </w:r>
      <w:r>
        <w:rPr>
          <w:rFonts w:ascii="Verdana" w:hAnsi="Verdana" w:cs="Verdana"/>
          <w:sz w:val="18"/>
          <w:szCs w:val="18"/>
        </w:rPr>
        <w:t xml:space="preserve"> zijn. </w:t>
      </w:r>
    </w:p>
    <w:p w:rsidR="00CC7273" w:rsidP="00CC7273">
      <w:pPr>
        <w:rPr>
          <w:rFonts w:ascii="Verdana" w:hAnsi="Verdana" w:cs="Verdana"/>
          <w:sz w:val="18"/>
          <w:szCs w:val="18"/>
        </w:rPr>
      </w:pPr>
    </w:p>
    <w:p w:rsidR="00CC7273" w:rsidP="00CC7273">
      <w:pPr>
        <w:rPr>
          <w:rFonts w:ascii="Verdana" w:hAnsi="Verdana" w:cs="Verdana"/>
          <w:sz w:val="18"/>
          <w:szCs w:val="18"/>
        </w:rPr>
      </w:pPr>
      <w:r>
        <w:rPr>
          <w:rFonts w:ascii="Verdana" w:hAnsi="Verdana" w:cs="Verdana"/>
          <w:sz w:val="18"/>
          <w:szCs w:val="18"/>
        </w:rPr>
        <w:t xml:space="preserve">Om het zicht op het adoptiekind na de plaatsing in het gezin te bevorderen, </w:t>
      </w:r>
      <w:r w:rsidRPr="0021053C">
        <w:rPr>
          <w:rFonts w:ascii="Verdana" w:hAnsi="Verdana" w:cs="Verdana"/>
          <w:sz w:val="18"/>
          <w:szCs w:val="18"/>
        </w:rPr>
        <w:t xml:space="preserve">is </w:t>
      </w:r>
      <w:r>
        <w:rPr>
          <w:rFonts w:ascii="Verdana" w:hAnsi="Verdana" w:cs="Verdana"/>
          <w:sz w:val="18"/>
          <w:szCs w:val="18"/>
        </w:rPr>
        <w:t xml:space="preserve">het </w:t>
      </w:r>
      <w:r w:rsidRPr="0021053C">
        <w:rPr>
          <w:rFonts w:ascii="Verdana" w:hAnsi="Verdana" w:cs="Verdana"/>
          <w:sz w:val="18"/>
          <w:szCs w:val="18"/>
        </w:rPr>
        <w:t>verantwoord om ervan uit te gaan dat de beschreven bestaand</w:t>
      </w:r>
      <w:r>
        <w:rPr>
          <w:rFonts w:ascii="Verdana" w:hAnsi="Verdana" w:cs="Verdana"/>
          <w:sz w:val="18"/>
          <w:szCs w:val="18"/>
        </w:rPr>
        <w:t>e werkwijze van de JGZ een</w:t>
      </w:r>
      <w:r w:rsidRPr="0021053C">
        <w:rPr>
          <w:rFonts w:ascii="Verdana" w:hAnsi="Verdana" w:cs="Verdana"/>
          <w:sz w:val="18"/>
          <w:szCs w:val="18"/>
        </w:rPr>
        <w:t xml:space="preserve"> basis </w:t>
      </w:r>
      <w:r>
        <w:rPr>
          <w:rFonts w:ascii="Verdana" w:hAnsi="Verdana" w:cs="Verdana"/>
          <w:sz w:val="18"/>
          <w:szCs w:val="18"/>
        </w:rPr>
        <w:t xml:space="preserve">kan </w:t>
      </w:r>
      <w:r w:rsidRPr="0021053C">
        <w:rPr>
          <w:rFonts w:ascii="Verdana" w:hAnsi="Verdana" w:cs="Verdana"/>
          <w:sz w:val="18"/>
          <w:szCs w:val="18"/>
        </w:rPr>
        <w:t>lever</w:t>
      </w:r>
      <w:r>
        <w:rPr>
          <w:rFonts w:ascii="Verdana" w:hAnsi="Verdana" w:cs="Verdana"/>
          <w:sz w:val="18"/>
          <w:szCs w:val="18"/>
        </w:rPr>
        <w:t>en</w:t>
      </w:r>
      <w:r w:rsidRPr="0021053C">
        <w:rPr>
          <w:rFonts w:ascii="Verdana" w:hAnsi="Verdana" w:cs="Verdana"/>
          <w:sz w:val="18"/>
          <w:szCs w:val="18"/>
        </w:rPr>
        <w:t xml:space="preserve"> voor </w:t>
      </w:r>
      <w:r>
        <w:rPr>
          <w:rFonts w:ascii="Verdana" w:hAnsi="Verdana" w:cs="Verdana"/>
          <w:sz w:val="18"/>
          <w:szCs w:val="18"/>
        </w:rPr>
        <w:t xml:space="preserve">de </w:t>
      </w:r>
      <w:r w:rsidRPr="0021053C">
        <w:rPr>
          <w:rFonts w:ascii="Verdana" w:hAnsi="Verdana" w:cs="Verdana"/>
          <w:sz w:val="18"/>
          <w:szCs w:val="18"/>
        </w:rPr>
        <w:t xml:space="preserve">invulling van de aanbeveling van de inspectie. Hierbij is het wel van belang dat de </w:t>
      </w:r>
      <w:r>
        <w:rPr>
          <w:rFonts w:ascii="Verdana" w:hAnsi="Verdana" w:cs="Verdana"/>
          <w:sz w:val="18"/>
          <w:szCs w:val="18"/>
        </w:rPr>
        <w:t xml:space="preserve">professionals die werkzaam zijn binnen de kindergeneeskunde, JGZ en adoptiespecifieke organisaties, zoals de SAV, elkaar weten te vinden. Het voorstel om de samenwerking tussen reguliere jeugdgezondheidszorg, in adoptie gespecialiseerde kinderarts en gespecialiseerde adoptienazorg te bevorderen, </w:t>
      </w:r>
      <w:r w:rsidR="00457ECD">
        <w:rPr>
          <w:rFonts w:ascii="Verdana" w:hAnsi="Verdana" w:cs="Verdana"/>
          <w:sz w:val="18"/>
          <w:szCs w:val="18"/>
        </w:rPr>
        <w:t>moet</w:t>
      </w:r>
      <w:r>
        <w:rPr>
          <w:rFonts w:ascii="Verdana" w:hAnsi="Verdana" w:cs="Verdana"/>
          <w:sz w:val="18"/>
          <w:szCs w:val="18"/>
        </w:rPr>
        <w:t xml:space="preserve"> in de vorm van een handreiking Adoptie met als onderwerp </w:t>
      </w:r>
      <w:r>
        <w:rPr>
          <w:rFonts w:ascii="Verdana" w:hAnsi="Verdana" w:cs="Verdana"/>
          <w:sz w:val="18"/>
          <w:szCs w:val="18"/>
        </w:rPr>
        <w:t>screening</w:t>
      </w:r>
      <w:r>
        <w:rPr>
          <w:rFonts w:ascii="Verdana" w:hAnsi="Verdana" w:cs="Verdana"/>
          <w:sz w:val="18"/>
          <w:szCs w:val="18"/>
        </w:rPr>
        <w:t xml:space="preserve"> en adequate doorverwijzing verder worden ontwikkeld. Hierbij zal gezocht worden naar een breed draagvlak bij professionals die in hun werk te maken (kunnen) krijgen met adoptiespecifieke problematiek.</w:t>
      </w:r>
    </w:p>
    <w:p w:rsidR="00CC7273" w:rsidP="00CC7273"/>
    <w:p w:rsidR="00CC7273" w:rsidP="00CC7273">
      <w:pPr>
        <w:rPr>
          <w:rFonts w:ascii="Verdana" w:hAnsi="Verdana" w:cs="Verdana"/>
          <w:sz w:val="18"/>
          <w:szCs w:val="18"/>
        </w:rPr>
      </w:pPr>
      <w:r w:rsidRPr="00DE2A1F">
        <w:rPr>
          <w:rFonts w:ascii="Verdana" w:hAnsi="Verdana" w:cs="Verdana"/>
          <w:sz w:val="18"/>
          <w:szCs w:val="18"/>
        </w:rPr>
        <w:t xml:space="preserve">Daarnaast is het noodzakelijk dat de </w:t>
      </w:r>
      <w:r>
        <w:rPr>
          <w:rFonts w:ascii="Verdana" w:hAnsi="Verdana" w:cs="Verdana"/>
          <w:sz w:val="18"/>
          <w:szCs w:val="18"/>
        </w:rPr>
        <w:t xml:space="preserve">gezinnen met </w:t>
      </w:r>
      <w:r w:rsidRPr="00DE2A1F">
        <w:rPr>
          <w:rFonts w:ascii="Verdana" w:hAnsi="Verdana" w:cs="Verdana"/>
          <w:sz w:val="18"/>
          <w:szCs w:val="18"/>
        </w:rPr>
        <w:t xml:space="preserve">kinderen met een verhoogd risicoprofiel </w:t>
      </w:r>
      <w:r>
        <w:rPr>
          <w:rFonts w:ascii="Verdana" w:hAnsi="Verdana" w:cs="Verdana"/>
          <w:sz w:val="18"/>
          <w:szCs w:val="18"/>
        </w:rPr>
        <w:t xml:space="preserve">in het eerste jaar na aankomst een </w:t>
      </w:r>
      <w:r w:rsidRPr="00DE2A1F">
        <w:rPr>
          <w:rFonts w:ascii="Verdana" w:hAnsi="Verdana" w:cs="Verdana"/>
          <w:sz w:val="18"/>
          <w:szCs w:val="18"/>
        </w:rPr>
        <w:t>adoptie</w:t>
      </w:r>
      <w:r>
        <w:rPr>
          <w:rFonts w:ascii="Verdana" w:hAnsi="Verdana" w:cs="Verdana"/>
          <w:sz w:val="18"/>
          <w:szCs w:val="18"/>
        </w:rPr>
        <w:t xml:space="preserve">specifieke </w:t>
      </w:r>
      <w:r w:rsidRPr="00DE2A1F">
        <w:rPr>
          <w:rFonts w:ascii="Verdana" w:hAnsi="Verdana" w:cs="Verdana"/>
          <w:sz w:val="18"/>
          <w:szCs w:val="18"/>
        </w:rPr>
        <w:t>consultatie van de Stichting Adoptievoorzieningen krijgen</w:t>
      </w:r>
      <w:r>
        <w:rPr>
          <w:rFonts w:ascii="Verdana" w:hAnsi="Verdana" w:cs="Verdana"/>
          <w:sz w:val="18"/>
          <w:szCs w:val="18"/>
        </w:rPr>
        <w:t>. D</w:t>
      </w:r>
      <w:r w:rsidRPr="00DE2A1F">
        <w:rPr>
          <w:rFonts w:ascii="Verdana" w:hAnsi="Verdana" w:cs="Verdana"/>
          <w:sz w:val="18"/>
          <w:szCs w:val="18"/>
        </w:rPr>
        <w:t xml:space="preserve">e </w:t>
      </w:r>
      <w:r>
        <w:rPr>
          <w:rFonts w:ascii="Verdana" w:hAnsi="Verdana" w:cs="Verdana"/>
          <w:sz w:val="18"/>
          <w:szCs w:val="18"/>
        </w:rPr>
        <w:t xml:space="preserve">begeleiding moet zich specifiek richten op de basis van de </w:t>
      </w:r>
      <w:r w:rsidRPr="00DE2A1F">
        <w:rPr>
          <w:rFonts w:ascii="Verdana" w:hAnsi="Verdana" w:cs="Verdana"/>
          <w:sz w:val="18"/>
          <w:szCs w:val="18"/>
        </w:rPr>
        <w:t>sociale</w:t>
      </w:r>
      <w:r>
        <w:rPr>
          <w:rFonts w:ascii="Verdana" w:hAnsi="Verdana" w:cs="Verdana"/>
          <w:sz w:val="18"/>
          <w:szCs w:val="18"/>
        </w:rPr>
        <w:t>-</w:t>
      </w:r>
      <w:r w:rsidRPr="00DE2A1F">
        <w:rPr>
          <w:rFonts w:ascii="Verdana" w:hAnsi="Verdana" w:cs="Verdana"/>
          <w:sz w:val="18"/>
          <w:szCs w:val="18"/>
        </w:rPr>
        <w:t xml:space="preserve"> en emot</w:t>
      </w:r>
      <w:r>
        <w:rPr>
          <w:rFonts w:ascii="Verdana" w:hAnsi="Verdana" w:cs="Verdana"/>
          <w:sz w:val="18"/>
          <w:szCs w:val="18"/>
        </w:rPr>
        <w:t>ionele ontwikkeling (gehechtheid, emotie- en stressregulatie) van het kind en zijn ouders</w:t>
      </w:r>
      <w:r w:rsidRPr="00DE2A1F">
        <w:rPr>
          <w:rFonts w:ascii="Verdana" w:hAnsi="Verdana" w:cs="Verdana"/>
          <w:sz w:val="18"/>
          <w:szCs w:val="18"/>
        </w:rPr>
        <w:t xml:space="preserve">. Op deze manier </w:t>
      </w:r>
      <w:r>
        <w:rPr>
          <w:rFonts w:ascii="Verdana" w:hAnsi="Verdana" w:cs="Verdana"/>
          <w:sz w:val="18"/>
          <w:szCs w:val="18"/>
        </w:rPr>
        <w:t xml:space="preserve">wordt </w:t>
      </w:r>
      <w:r w:rsidRPr="00DE2A1F">
        <w:rPr>
          <w:rFonts w:ascii="Verdana" w:hAnsi="Verdana" w:cs="Verdana"/>
          <w:sz w:val="18"/>
          <w:szCs w:val="18"/>
        </w:rPr>
        <w:t>het zicht</w:t>
      </w:r>
      <w:r>
        <w:rPr>
          <w:rFonts w:ascii="Verdana" w:hAnsi="Verdana" w:cs="Verdana"/>
          <w:sz w:val="18"/>
          <w:szCs w:val="18"/>
        </w:rPr>
        <w:t xml:space="preserve"> op het kind en het gezin </w:t>
      </w:r>
      <w:r w:rsidRPr="00DE2A1F">
        <w:rPr>
          <w:rFonts w:ascii="Verdana" w:hAnsi="Verdana" w:cs="Verdana"/>
          <w:sz w:val="18"/>
          <w:szCs w:val="18"/>
        </w:rPr>
        <w:t>geborgd. Deze consultatie biedt de mogelijkheid om vroegtijdig ontwikkelingsachterstanden en gezinsproblematiek te signaleren</w:t>
      </w:r>
      <w:r>
        <w:rPr>
          <w:rFonts w:ascii="Verdana" w:hAnsi="Verdana" w:cs="Verdana"/>
          <w:sz w:val="18"/>
          <w:szCs w:val="18"/>
        </w:rPr>
        <w:t>, hulp te bieden</w:t>
      </w:r>
      <w:r w:rsidRPr="00DE2A1F">
        <w:rPr>
          <w:rFonts w:ascii="Verdana" w:hAnsi="Verdana" w:cs="Verdana"/>
          <w:sz w:val="18"/>
          <w:szCs w:val="18"/>
        </w:rPr>
        <w:t xml:space="preserve"> en zo nodig te verwijzen naar een intensiever begeleidingstraject.</w:t>
      </w:r>
      <w:r>
        <w:rPr>
          <w:rFonts w:ascii="Verdana" w:hAnsi="Verdana" w:cs="Verdana"/>
          <w:sz w:val="18"/>
          <w:szCs w:val="18"/>
        </w:rPr>
        <w:t xml:space="preserve"> De kost gaat ook hier voor de baat uit: </w:t>
      </w:r>
    </w:p>
    <w:p w:rsidRPr="0021053C" w:rsidR="00CC7273" w:rsidP="00CC7273">
      <w:pPr>
        <w:rPr>
          <w:rFonts w:ascii="Verdana" w:hAnsi="Verdana" w:cs="Verdana"/>
          <w:i/>
          <w:iCs/>
          <w:sz w:val="18"/>
          <w:szCs w:val="18"/>
        </w:rPr>
      </w:pPr>
      <w:r>
        <w:rPr>
          <w:rFonts w:ascii="Verdana" w:hAnsi="Verdana" w:cs="Verdana"/>
          <w:sz w:val="18"/>
          <w:szCs w:val="18"/>
        </w:rPr>
        <w:t>om dit aanbod te realiseren, is een beperkte verhoging van het budget voor adoptiespecifieke nazorg noodzakelijk.</w:t>
      </w:r>
    </w:p>
    <w:p w:rsidR="00CC7273">
      <w:pPr>
        <w:rPr>
          <w:rFonts w:ascii="Verdana" w:hAnsi="Verdana" w:cs="Verdana"/>
          <w:b/>
          <w:iCs/>
          <w:sz w:val="18"/>
          <w:szCs w:val="18"/>
        </w:rPr>
      </w:pPr>
      <w:r>
        <w:rPr>
          <w:rFonts w:ascii="Verdana" w:hAnsi="Verdana" w:cs="Verdana"/>
          <w:b/>
          <w:iCs/>
          <w:sz w:val="18"/>
          <w:szCs w:val="18"/>
        </w:rPr>
        <w:br w:type="page"/>
      </w:r>
    </w:p>
    <w:p w:rsidR="00843112">
      <w:pPr>
        <w:rPr>
          <w:rFonts w:ascii="Verdana" w:hAnsi="Verdana" w:cs="Verdana"/>
          <w:b/>
          <w:iCs/>
          <w:sz w:val="18"/>
          <w:szCs w:val="18"/>
        </w:rPr>
      </w:pPr>
    </w:p>
    <w:p w:rsidR="001F622B" w:rsidP="00015250">
      <w:pPr>
        <w:rPr>
          <w:rFonts w:ascii="Verdana" w:hAnsi="Verdana" w:cs="Verdana"/>
          <w:sz w:val="18"/>
          <w:szCs w:val="18"/>
        </w:rPr>
      </w:pPr>
      <w:r>
        <w:rPr>
          <w:rFonts w:ascii="Verdana" w:hAnsi="Verdana" w:cs="Verdana"/>
          <w:noProof/>
          <w:sz w:val="18"/>
          <w:szCs w:val="18"/>
        </w:rPr>
        <w:drawing>
          <wp:inline distT="0" distB="0" distL="0" distR="0">
            <wp:extent cx="4009390" cy="892810"/>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5"/>
                    <a:srcRect/>
                    <a:stretch>
                      <a:fillRect/>
                    </a:stretch>
                  </pic:blipFill>
                  <pic:spPr bwMode="auto">
                    <a:xfrm>
                      <a:off x="0" y="0"/>
                      <a:ext cx="4009390" cy="892810"/>
                    </a:xfrm>
                    <a:prstGeom prst="rect">
                      <a:avLst/>
                    </a:prstGeom>
                    <a:noFill/>
                    <a:ln w="9525">
                      <a:noFill/>
                      <a:miter lim="800000"/>
                      <a:headEnd/>
                      <a:tailEnd/>
                    </a:ln>
                  </pic:spPr>
                </pic:pic>
              </a:graphicData>
            </a:graphic>
          </wp:inline>
        </w:drawing>
      </w:r>
      <w:r>
        <w:rPr>
          <w:rFonts w:ascii="Verdana" w:hAnsi="Verdana" w:cs="Verdana"/>
          <w:sz w:val="18"/>
          <w:szCs w:val="18"/>
        </w:rPr>
        <w:t>Bijlage</w:t>
      </w:r>
    </w:p>
    <w:p w:rsidR="001F622B" w:rsidP="00015250">
      <w:pPr>
        <w:rPr>
          <w:b/>
          <w:bCs/>
          <w:sz w:val="22"/>
          <w:szCs w:val="22"/>
        </w:rPr>
      </w:pPr>
      <w:r>
        <w:rPr>
          <w:b/>
          <w:bCs/>
          <w:sz w:val="22"/>
          <w:szCs w:val="22"/>
        </w:rPr>
        <w:t xml:space="preserve">Onderbouwing cijfers </w:t>
      </w:r>
    </w:p>
    <w:p w:rsidR="001F622B" w:rsidP="00015250">
      <w:pPr>
        <w:rPr>
          <w:sz w:val="22"/>
          <w:szCs w:val="22"/>
        </w:rPr>
      </w:pPr>
    </w:p>
    <w:p w:rsidR="001F622B" w:rsidP="00015250">
      <w:pPr>
        <w:rPr>
          <w:sz w:val="22"/>
          <w:szCs w:val="22"/>
        </w:rPr>
      </w:pPr>
      <w:r>
        <w:rPr>
          <w:sz w:val="22"/>
          <w:szCs w:val="22"/>
        </w:rPr>
        <w:t>We zijn uitgegaan van de adoptiecijfers 2011. In 2011 zijn 528 kinderen naar Nederland gekomen.</w:t>
      </w:r>
    </w:p>
    <w:p w:rsidR="001F622B" w:rsidP="00015250">
      <w:pPr>
        <w:rPr>
          <w:sz w:val="22"/>
          <w:szCs w:val="22"/>
        </w:rPr>
      </w:pPr>
    </w:p>
    <w:p w:rsidR="001F622B" w:rsidP="00015250">
      <w:pPr>
        <w:rPr>
          <w:sz w:val="22"/>
          <w:szCs w:val="22"/>
        </w:rPr>
      </w:pPr>
      <w:r>
        <w:rPr>
          <w:sz w:val="22"/>
          <w:szCs w:val="22"/>
        </w:rPr>
        <w:t>Vervolgens hebben we een risicoprofiel opgesteld. Kinderen met de volgende kenmerken lopen meer risico en zouden altijd gezien moeten worden.</w:t>
      </w:r>
    </w:p>
    <w:p w:rsidR="001F622B" w:rsidP="00015250">
      <w:pPr>
        <w:numPr>
          <w:ilvl w:val="0"/>
          <w:numId w:val="5"/>
        </w:numPr>
        <w:rPr>
          <w:sz w:val="22"/>
          <w:szCs w:val="22"/>
        </w:rPr>
      </w:pPr>
      <w:r>
        <w:rPr>
          <w:sz w:val="22"/>
          <w:szCs w:val="22"/>
        </w:rPr>
        <w:t>2 jaar en ouder</w:t>
      </w:r>
    </w:p>
    <w:p w:rsidR="001F622B" w:rsidP="00015250">
      <w:pPr>
        <w:numPr>
          <w:ilvl w:val="0"/>
          <w:numId w:val="6"/>
        </w:numPr>
        <w:rPr>
          <w:sz w:val="22"/>
          <w:szCs w:val="22"/>
        </w:rPr>
      </w:pPr>
      <w:r>
        <w:rPr>
          <w:sz w:val="22"/>
          <w:szCs w:val="22"/>
        </w:rPr>
        <w:t>meerling plaatsing</w:t>
      </w:r>
    </w:p>
    <w:p w:rsidR="001F622B" w:rsidP="00015250">
      <w:pPr>
        <w:numPr>
          <w:ilvl w:val="0"/>
          <w:numId w:val="6"/>
        </w:numPr>
        <w:rPr>
          <w:sz w:val="22"/>
          <w:szCs w:val="22"/>
        </w:rPr>
      </w:pPr>
      <w:r>
        <w:rPr>
          <w:sz w:val="22"/>
          <w:szCs w:val="22"/>
        </w:rPr>
        <w:t>SN categorie E: deze kinderen hebben een sociaal-emotioneel belaste achtergrond, bijv. geboren uit incest, trauma in de voorgeschiedenis, etc.</w:t>
      </w:r>
    </w:p>
    <w:p w:rsidR="001F622B" w:rsidP="00015250">
      <w:pPr>
        <w:numPr>
          <w:ilvl w:val="0"/>
          <w:numId w:val="6"/>
        </w:numPr>
        <w:rPr>
          <w:sz w:val="22"/>
          <w:szCs w:val="22"/>
        </w:rPr>
      </w:pPr>
      <w:r>
        <w:rPr>
          <w:sz w:val="22"/>
          <w:szCs w:val="22"/>
        </w:rPr>
        <w:t>6 jaar en ouder: JGZ ziet deze kinderen niet</w:t>
      </w:r>
    </w:p>
    <w:p w:rsidR="001F622B" w:rsidP="00015250">
      <w:pPr>
        <w:numPr>
          <w:ilvl w:val="0"/>
          <w:numId w:val="6"/>
        </w:numPr>
        <w:rPr>
          <w:sz w:val="22"/>
          <w:szCs w:val="22"/>
        </w:rPr>
      </w:pPr>
      <w:r>
        <w:rPr>
          <w:sz w:val="22"/>
          <w:szCs w:val="22"/>
        </w:rPr>
        <w:t>3 of meer overplaatsingen in het land van herkomst: op basis het nazorgbehoefte onderzoek dat wij dit jaar hebben verricht, blijkt dat 50% van de kinderen in deze categorie valt.</w:t>
      </w:r>
    </w:p>
    <w:p w:rsidR="001F622B" w:rsidP="00015250">
      <w:pPr>
        <w:numPr>
          <w:ilvl w:val="0"/>
          <w:numId w:val="6"/>
        </w:numPr>
        <w:rPr>
          <w:sz w:val="22"/>
          <w:szCs w:val="22"/>
        </w:rPr>
      </w:pPr>
      <w:r>
        <w:rPr>
          <w:sz w:val="22"/>
          <w:szCs w:val="22"/>
        </w:rPr>
        <w:t>complexe SN: kinderen die direct na adoptie opgenomen worden in het ziekenhuis en/of waarvan de SN ernstiger is dan bij voorstel bekend.</w:t>
      </w:r>
    </w:p>
    <w:p w:rsidR="001F622B" w:rsidP="00015250">
      <w:pPr>
        <w:numPr>
          <w:ilvl w:val="0"/>
          <w:numId w:val="6"/>
        </w:numPr>
        <w:rPr>
          <w:sz w:val="22"/>
          <w:szCs w:val="22"/>
        </w:rPr>
      </w:pPr>
      <w:r>
        <w:rPr>
          <w:sz w:val="22"/>
          <w:szCs w:val="22"/>
        </w:rPr>
        <w:t>Alleenstaande ouder</w:t>
      </w:r>
    </w:p>
    <w:p w:rsidR="001F622B" w:rsidP="00015250">
      <w:pPr>
        <w:rPr>
          <w:sz w:val="22"/>
          <w:szCs w:val="22"/>
        </w:rPr>
      </w:pPr>
    </w:p>
    <w:tbl>
      <w:tblPr>
        <w:tblW w:w="7615" w:type="dxa"/>
        <w:tblInd w:w="55" w:type="dxa"/>
        <w:tblCellMar>
          <w:left w:w="70" w:type="dxa"/>
          <w:right w:w="70" w:type="dxa"/>
        </w:tblCellMar>
        <w:tblLook w:val="00A0"/>
      </w:tblPr>
      <w:tblGrid>
        <w:gridCol w:w="5277"/>
        <w:gridCol w:w="830"/>
        <w:gridCol w:w="1508"/>
      </w:tblGrid>
      <w:tr>
        <w:tblPrEx>
          <w:tblW w:w="7615" w:type="dxa"/>
          <w:tblInd w:w="55" w:type="dxa"/>
          <w:tblCellMar>
            <w:left w:w="70" w:type="dxa"/>
            <w:right w:w="70" w:type="dxa"/>
          </w:tblCellMar>
          <w:tblLook w:val="00A0"/>
        </w:tblPrEx>
        <w:trPr>
          <w:trHeight w:val="255"/>
        </w:trPr>
        <w:tc>
          <w:tcPr>
            <w:tcW w:w="5277" w:type="dxa"/>
            <w:tcBorders>
              <w:top w:val="single" w:color="auto" w:sz="4" w:space="0"/>
              <w:left w:val="single" w:color="auto" w:sz="4" w:space="0"/>
              <w:bottom w:val="single" w:color="auto" w:sz="4" w:space="0"/>
              <w:right w:val="single" w:color="auto" w:sz="4" w:space="0"/>
            </w:tcBorders>
            <w:noWrap/>
            <w:vAlign w:val="bottom"/>
          </w:tcPr>
          <w:p w:rsidR="001F622B">
            <w:pPr>
              <w:rPr>
                <w:b/>
                <w:bCs/>
                <w:sz w:val="22"/>
                <w:szCs w:val="22"/>
              </w:rPr>
            </w:pPr>
            <w:r>
              <w:rPr>
                <w:b/>
                <w:bCs/>
                <w:sz w:val="22"/>
                <w:szCs w:val="22"/>
              </w:rPr>
              <w:t>Risicofactoren</w:t>
            </w:r>
          </w:p>
        </w:tc>
        <w:tc>
          <w:tcPr>
            <w:tcW w:w="830" w:type="dxa"/>
            <w:tcBorders>
              <w:top w:val="single" w:color="auto" w:sz="4" w:space="0"/>
              <w:left w:val="nil"/>
              <w:bottom w:val="single" w:color="auto" w:sz="4" w:space="0"/>
              <w:right w:val="single" w:color="auto" w:sz="4" w:space="0"/>
            </w:tcBorders>
            <w:noWrap/>
            <w:vAlign w:val="bottom"/>
          </w:tcPr>
          <w:p w:rsidR="001F622B">
            <w:pPr>
              <w:jc w:val="center"/>
              <w:rPr>
                <w:b/>
                <w:bCs/>
                <w:sz w:val="22"/>
                <w:szCs w:val="22"/>
              </w:rPr>
            </w:pPr>
            <w:r>
              <w:rPr>
                <w:b/>
                <w:bCs/>
                <w:sz w:val="22"/>
                <w:szCs w:val="22"/>
              </w:rPr>
              <w:t>aantal</w:t>
            </w:r>
          </w:p>
        </w:tc>
        <w:tc>
          <w:tcPr>
            <w:tcW w:w="1508" w:type="dxa"/>
            <w:tcBorders>
              <w:top w:val="single" w:color="auto" w:sz="4" w:space="0"/>
              <w:left w:val="nil"/>
              <w:bottom w:val="single" w:color="auto" w:sz="4" w:space="0"/>
              <w:right w:val="single" w:color="auto" w:sz="4" w:space="0"/>
            </w:tcBorders>
            <w:noWrap/>
            <w:vAlign w:val="bottom"/>
          </w:tcPr>
          <w:p w:rsidR="001F622B">
            <w:pPr>
              <w:jc w:val="center"/>
              <w:rPr>
                <w:b/>
                <w:bCs/>
                <w:sz w:val="22"/>
                <w:szCs w:val="22"/>
              </w:rPr>
            </w:pPr>
            <w:r>
              <w:rPr>
                <w:b/>
                <w:bCs/>
                <w:sz w:val="22"/>
                <w:szCs w:val="22"/>
              </w:rPr>
              <w:t>% van de 528</w:t>
            </w:r>
          </w:p>
        </w:tc>
      </w:tr>
      <w:tr>
        <w:tblPrEx>
          <w:tblW w:w="7615" w:type="dxa"/>
          <w:tblInd w:w="55" w:type="dxa"/>
          <w:tblCellMar>
            <w:left w:w="70" w:type="dxa"/>
            <w:right w:w="70" w:type="dxa"/>
          </w:tblCellMar>
          <w:tblLook w:val="00A0"/>
        </w:tblPrEx>
        <w:trPr>
          <w:trHeight w:val="255"/>
        </w:trPr>
        <w:tc>
          <w:tcPr>
            <w:tcW w:w="5277" w:type="dxa"/>
            <w:tcBorders>
              <w:top w:val="single" w:color="auto" w:sz="4" w:space="0"/>
              <w:left w:val="single" w:color="auto" w:sz="4" w:space="0"/>
              <w:bottom w:val="single" w:color="auto" w:sz="4" w:space="0"/>
              <w:right w:val="single" w:color="auto" w:sz="4" w:space="0"/>
            </w:tcBorders>
            <w:noWrap/>
            <w:vAlign w:val="bottom"/>
          </w:tcPr>
          <w:p w:rsidR="001F622B">
            <w:pPr>
              <w:rPr>
                <w:sz w:val="22"/>
                <w:szCs w:val="22"/>
              </w:rPr>
            </w:pPr>
            <w:r>
              <w:rPr>
                <w:sz w:val="22"/>
                <w:szCs w:val="22"/>
              </w:rPr>
              <w:t>&gt; 2 jaar</w:t>
            </w:r>
          </w:p>
        </w:tc>
        <w:tc>
          <w:tcPr>
            <w:tcW w:w="830"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327</w:t>
            </w:r>
          </w:p>
        </w:tc>
        <w:tc>
          <w:tcPr>
            <w:tcW w:w="1508"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62%</w:t>
            </w:r>
          </w:p>
        </w:tc>
      </w:tr>
      <w:tr>
        <w:tblPrEx>
          <w:tblW w:w="7615" w:type="dxa"/>
          <w:tblInd w:w="55" w:type="dxa"/>
          <w:tblCellMar>
            <w:left w:w="70" w:type="dxa"/>
            <w:right w:w="70" w:type="dxa"/>
          </w:tblCellMar>
          <w:tblLook w:val="00A0"/>
        </w:tblPrEx>
        <w:trPr>
          <w:trHeight w:val="255"/>
        </w:trPr>
        <w:tc>
          <w:tcPr>
            <w:tcW w:w="5277" w:type="dxa"/>
            <w:tcBorders>
              <w:top w:val="single" w:color="auto" w:sz="4" w:space="0"/>
              <w:left w:val="single" w:color="auto" w:sz="4" w:space="0"/>
              <w:bottom w:val="single" w:color="auto" w:sz="4" w:space="0"/>
              <w:right w:val="single" w:color="auto" w:sz="4" w:space="0"/>
            </w:tcBorders>
            <w:noWrap/>
            <w:vAlign w:val="bottom"/>
          </w:tcPr>
          <w:p w:rsidR="001F622B">
            <w:pPr>
              <w:rPr>
                <w:sz w:val="22"/>
                <w:szCs w:val="22"/>
              </w:rPr>
            </w:pPr>
            <w:r>
              <w:rPr>
                <w:sz w:val="22"/>
                <w:szCs w:val="22"/>
              </w:rPr>
              <w:t>meerling</w:t>
            </w:r>
          </w:p>
        </w:tc>
        <w:tc>
          <w:tcPr>
            <w:tcW w:w="830"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85</w:t>
            </w:r>
          </w:p>
        </w:tc>
        <w:tc>
          <w:tcPr>
            <w:tcW w:w="1508"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16%</w:t>
            </w:r>
          </w:p>
        </w:tc>
      </w:tr>
      <w:tr>
        <w:tblPrEx>
          <w:tblW w:w="7615" w:type="dxa"/>
          <w:tblInd w:w="55" w:type="dxa"/>
          <w:tblCellMar>
            <w:left w:w="70" w:type="dxa"/>
            <w:right w:w="70" w:type="dxa"/>
          </w:tblCellMar>
          <w:tblLook w:val="00A0"/>
        </w:tblPrEx>
        <w:trPr>
          <w:trHeight w:val="255"/>
        </w:trPr>
        <w:tc>
          <w:tcPr>
            <w:tcW w:w="5277" w:type="dxa"/>
            <w:tcBorders>
              <w:top w:val="single" w:color="auto" w:sz="4" w:space="0"/>
              <w:left w:val="single" w:color="auto" w:sz="4" w:space="0"/>
              <w:bottom w:val="single" w:color="auto" w:sz="4" w:space="0"/>
              <w:right w:val="single" w:color="auto" w:sz="4" w:space="0"/>
            </w:tcBorders>
            <w:noWrap/>
            <w:vAlign w:val="bottom"/>
          </w:tcPr>
          <w:p w:rsidR="001F622B">
            <w:pPr>
              <w:rPr>
                <w:sz w:val="22"/>
                <w:szCs w:val="22"/>
              </w:rPr>
            </w:pPr>
            <w:r>
              <w:rPr>
                <w:sz w:val="22"/>
                <w:szCs w:val="22"/>
              </w:rPr>
              <w:t>6 jaar en ouder</w:t>
            </w:r>
          </w:p>
        </w:tc>
        <w:tc>
          <w:tcPr>
            <w:tcW w:w="830"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24</w:t>
            </w:r>
          </w:p>
        </w:tc>
        <w:tc>
          <w:tcPr>
            <w:tcW w:w="1508"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5%</w:t>
            </w:r>
          </w:p>
        </w:tc>
      </w:tr>
      <w:tr>
        <w:tblPrEx>
          <w:tblW w:w="7615" w:type="dxa"/>
          <w:tblInd w:w="55" w:type="dxa"/>
          <w:tblCellMar>
            <w:left w:w="70" w:type="dxa"/>
            <w:right w:w="70" w:type="dxa"/>
          </w:tblCellMar>
          <w:tblLook w:val="00A0"/>
        </w:tblPrEx>
        <w:trPr>
          <w:trHeight w:val="255"/>
        </w:trPr>
        <w:tc>
          <w:tcPr>
            <w:tcW w:w="5277" w:type="dxa"/>
            <w:tcBorders>
              <w:top w:val="single" w:color="auto" w:sz="4" w:space="0"/>
              <w:left w:val="single" w:color="auto" w:sz="4" w:space="0"/>
              <w:bottom w:val="single" w:color="auto" w:sz="4" w:space="0"/>
              <w:right w:val="single" w:color="auto" w:sz="4" w:space="0"/>
            </w:tcBorders>
            <w:noWrap/>
            <w:vAlign w:val="bottom"/>
          </w:tcPr>
          <w:p w:rsidR="001F622B">
            <w:pPr>
              <w:rPr>
                <w:sz w:val="22"/>
                <w:szCs w:val="22"/>
              </w:rPr>
            </w:pPr>
            <w:r>
              <w:rPr>
                <w:sz w:val="22"/>
                <w:szCs w:val="22"/>
              </w:rPr>
              <w:t>alleenstaande ouder</w:t>
            </w:r>
          </w:p>
        </w:tc>
        <w:tc>
          <w:tcPr>
            <w:tcW w:w="830"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8</w:t>
            </w:r>
          </w:p>
        </w:tc>
        <w:tc>
          <w:tcPr>
            <w:tcW w:w="1508"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2%</w:t>
            </w:r>
          </w:p>
        </w:tc>
      </w:tr>
      <w:tr>
        <w:tblPrEx>
          <w:tblW w:w="7615" w:type="dxa"/>
          <w:tblInd w:w="55" w:type="dxa"/>
          <w:tblCellMar>
            <w:left w:w="70" w:type="dxa"/>
            <w:right w:w="70" w:type="dxa"/>
          </w:tblCellMar>
          <w:tblLook w:val="00A0"/>
        </w:tblPrEx>
        <w:trPr>
          <w:trHeight w:val="255"/>
        </w:trPr>
        <w:tc>
          <w:tcPr>
            <w:tcW w:w="5277" w:type="dxa"/>
            <w:tcBorders>
              <w:top w:val="single" w:color="auto" w:sz="4" w:space="0"/>
              <w:left w:val="single" w:color="auto" w:sz="4" w:space="0"/>
              <w:bottom w:val="single" w:color="auto" w:sz="4" w:space="0"/>
              <w:right w:val="single" w:color="auto" w:sz="4" w:space="0"/>
            </w:tcBorders>
            <w:noWrap/>
            <w:vAlign w:val="bottom"/>
          </w:tcPr>
          <w:p w:rsidR="001F622B">
            <w:pPr>
              <w:rPr>
                <w:sz w:val="22"/>
                <w:szCs w:val="22"/>
              </w:rPr>
            </w:pPr>
            <w:r>
              <w:rPr>
                <w:sz w:val="22"/>
                <w:szCs w:val="22"/>
              </w:rPr>
              <w:t>complexe SN (SN ernstiger dan bij voorstel bekend) *</w:t>
            </w:r>
          </w:p>
        </w:tc>
        <w:tc>
          <w:tcPr>
            <w:tcW w:w="830"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10</w:t>
            </w:r>
          </w:p>
        </w:tc>
        <w:tc>
          <w:tcPr>
            <w:tcW w:w="1508"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2%</w:t>
            </w:r>
          </w:p>
        </w:tc>
      </w:tr>
      <w:tr>
        <w:tblPrEx>
          <w:tblW w:w="7615" w:type="dxa"/>
          <w:tblInd w:w="55" w:type="dxa"/>
          <w:tblCellMar>
            <w:left w:w="70" w:type="dxa"/>
            <w:right w:w="70" w:type="dxa"/>
          </w:tblCellMar>
          <w:tblLook w:val="00A0"/>
        </w:tblPrEx>
        <w:trPr>
          <w:trHeight w:val="255"/>
        </w:trPr>
        <w:tc>
          <w:tcPr>
            <w:tcW w:w="5277" w:type="dxa"/>
            <w:tcBorders>
              <w:top w:val="single" w:color="auto" w:sz="4" w:space="0"/>
              <w:left w:val="single" w:color="auto" w:sz="4" w:space="0"/>
              <w:bottom w:val="single" w:color="auto" w:sz="4" w:space="0"/>
              <w:right w:val="single" w:color="auto" w:sz="4" w:space="0"/>
            </w:tcBorders>
            <w:noWrap/>
            <w:vAlign w:val="bottom"/>
          </w:tcPr>
          <w:p w:rsidR="001F622B">
            <w:pPr>
              <w:rPr>
                <w:sz w:val="22"/>
                <w:szCs w:val="22"/>
              </w:rPr>
            </w:pPr>
            <w:r>
              <w:rPr>
                <w:sz w:val="22"/>
                <w:szCs w:val="22"/>
              </w:rPr>
              <w:t>SN categorie E (sociaal-emotionele belaste achtergrond)</w:t>
            </w:r>
          </w:p>
        </w:tc>
        <w:tc>
          <w:tcPr>
            <w:tcW w:w="830"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36</w:t>
            </w:r>
          </w:p>
        </w:tc>
        <w:tc>
          <w:tcPr>
            <w:tcW w:w="1508"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7%</w:t>
            </w:r>
          </w:p>
        </w:tc>
      </w:tr>
      <w:tr>
        <w:tblPrEx>
          <w:tblW w:w="7615" w:type="dxa"/>
          <w:tblInd w:w="55" w:type="dxa"/>
          <w:tblCellMar>
            <w:left w:w="70" w:type="dxa"/>
            <w:right w:w="70" w:type="dxa"/>
          </w:tblCellMar>
          <w:tblLook w:val="00A0"/>
        </w:tblPrEx>
        <w:trPr>
          <w:trHeight w:val="255"/>
        </w:trPr>
        <w:tc>
          <w:tcPr>
            <w:tcW w:w="5277" w:type="dxa"/>
            <w:tcBorders>
              <w:top w:val="single" w:color="auto" w:sz="4" w:space="0"/>
              <w:left w:val="single" w:color="auto" w:sz="4" w:space="0"/>
              <w:bottom w:val="single" w:color="auto" w:sz="4" w:space="0"/>
              <w:right w:val="single" w:color="auto" w:sz="4" w:space="0"/>
            </w:tcBorders>
            <w:noWrap/>
            <w:vAlign w:val="bottom"/>
          </w:tcPr>
          <w:p w:rsidR="001F622B">
            <w:pPr>
              <w:rPr>
                <w:sz w:val="22"/>
                <w:szCs w:val="22"/>
              </w:rPr>
            </w:pPr>
            <w:r>
              <w:rPr>
                <w:sz w:val="22"/>
                <w:szCs w:val="22"/>
              </w:rPr>
              <w:t>3 of meer overplaatsingen in land van herkomst **</w:t>
            </w:r>
          </w:p>
        </w:tc>
        <w:tc>
          <w:tcPr>
            <w:tcW w:w="830"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264</w:t>
            </w:r>
          </w:p>
        </w:tc>
        <w:tc>
          <w:tcPr>
            <w:tcW w:w="1508"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50%</w:t>
            </w:r>
          </w:p>
        </w:tc>
      </w:tr>
    </w:tbl>
    <w:p w:rsidR="001F622B" w:rsidP="00015250">
      <w:pPr>
        <w:rPr>
          <w:sz w:val="22"/>
          <w:szCs w:val="22"/>
        </w:rPr>
      </w:pPr>
      <w:r>
        <w:rPr>
          <w:sz w:val="22"/>
          <w:szCs w:val="22"/>
        </w:rPr>
        <w:t xml:space="preserve">* geschat op basis van </w:t>
      </w:r>
      <w:r>
        <w:rPr>
          <w:sz w:val="22"/>
          <w:szCs w:val="22"/>
        </w:rPr>
        <w:t>VIB-aanmeldingen</w:t>
      </w:r>
      <w:r>
        <w:rPr>
          <w:sz w:val="22"/>
          <w:szCs w:val="22"/>
        </w:rPr>
        <w:br/>
        <w:t xml:space="preserve">** op basis van ons </w:t>
      </w:r>
      <w:r>
        <w:rPr>
          <w:sz w:val="22"/>
          <w:szCs w:val="22"/>
        </w:rPr>
        <w:t>nazorgbehoefteonderzoek</w:t>
      </w:r>
      <w:r>
        <w:rPr>
          <w:sz w:val="22"/>
          <w:szCs w:val="22"/>
        </w:rPr>
        <w:t xml:space="preserve"> van 2012 onder 1224 adoptiegezinnen.</w:t>
      </w:r>
    </w:p>
    <w:p w:rsidR="001F622B" w:rsidP="00015250">
      <w:pPr>
        <w:rPr>
          <w:sz w:val="22"/>
          <w:szCs w:val="22"/>
        </w:rPr>
      </w:pPr>
    </w:p>
    <w:p w:rsidR="001F622B" w:rsidP="00015250">
      <w:pPr>
        <w:rPr>
          <w:sz w:val="22"/>
          <w:szCs w:val="22"/>
        </w:rPr>
      </w:pPr>
      <w:r>
        <w:rPr>
          <w:sz w:val="22"/>
          <w:szCs w:val="22"/>
        </w:rPr>
        <w:t>Om dubbele tellingen te voorkomen hebben we de cijfers als volgt gefilterd.</w:t>
      </w:r>
    </w:p>
    <w:p w:rsidR="001F622B" w:rsidP="00015250">
      <w:pPr>
        <w:rPr>
          <w:sz w:val="22"/>
          <w:szCs w:val="22"/>
        </w:rPr>
      </w:pPr>
    </w:p>
    <w:tbl>
      <w:tblPr>
        <w:tblW w:w="8532" w:type="dxa"/>
        <w:tblInd w:w="55" w:type="dxa"/>
        <w:tblCellMar>
          <w:left w:w="70" w:type="dxa"/>
          <w:right w:w="70" w:type="dxa"/>
        </w:tblCellMar>
        <w:tblLook w:val="00A0"/>
      </w:tblPr>
      <w:tblGrid>
        <w:gridCol w:w="5125"/>
        <w:gridCol w:w="715"/>
        <w:gridCol w:w="2692"/>
      </w:tblGrid>
      <w:tr>
        <w:tblPrEx>
          <w:tblW w:w="8532" w:type="dxa"/>
          <w:tblInd w:w="55" w:type="dxa"/>
          <w:tblCellMar>
            <w:left w:w="70" w:type="dxa"/>
            <w:right w:w="70" w:type="dxa"/>
          </w:tblCellMar>
          <w:tblLook w:val="00A0"/>
        </w:tblPrEx>
        <w:trPr>
          <w:trHeight w:val="255"/>
        </w:trPr>
        <w:tc>
          <w:tcPr>
            <w:tcW w:w="5125" w:type="dxa"/>
            <w:tcBorders>
              <w:top w:val="single" w:color="auto" w:sz="4" w:space="0"/>
              <w:left w:val="single" w:color="auto" w:sz="4" w:space="0"/>
              <w:bottom w:val="single" w:color="auto" w:sz="4" w:space="0"/>
              <w:right w:val="single" w:color="auto" w:sz="4" w:space="0"/>
            </w:tcBorders>
            <w:noWrap/>
            <w:vAlign w:val="bottom"/>
          </w:tcPr>
          <w:p w:rsidR="001F622B">
            <w:pPr>
              <w:rPr>
                <w:b/>
                <w:bCs/>
                <w:sz w:val="22"/>
                <w:szCs w:val="22"/>
              </w:rPr>
            </w:pPr>
            <w:r>
              <w:rPr>
                <w:b/>
                <w:bCs/>
                <w:sz w:val="22"/>
                <w:szCs w:val="22"/>
              </w:rPr>
              <w:t>Risicofactoren</w:t>
            </w:r>
          </w:p>
        </w:tc>
        <w:tc>
          <w:tcPr>
            <w:tcW w:w="715" w:type="dxa"/>
            <w:tcBorders>
              <w:top w:val="single" w:color="auto" w:sz="4" w:space="0"/>
              <w:left w:val="nil"/>
              <w:bottom w:val="single" w:color="auto" w:sz="4" w:space="0"/>
              <w:right w:val="single" w:color="auto" w:sz="4" w:space="0"/>
            </w:tcBorders>
            <w:noWrap/>
            <w:vAlign w:val="bottom"/>
          </w:tcPr>
          <w:p w:rsidR="001F622B">
            <w:pPr>
              <w:jc w:val="center"/>
              <w:rPr>
                <w:b/>
                <w:bCs/>
                <w:sz w:val="22"/>
                <w:szCs w:val="22"/>
              </w:rPr>
            </w:pPr>
            <w:r>
              <w:rPr>
                <w:b/>
                <w:bCs/>
                <w:sz w:val="22"/>
                <w:szCs w:val="22"/>
              </w:rPr>
              <w:t>filter</w:t>
            </w:r>
          </w:p>
        </w:tc>
        <w:tc>
          <w:tcPr>
            <w:tcW w:w="2692" w:type="dxa"/>
            <w:tcBorders>
              <w:top w:val="single" w:color="auto" w:sz="4" w:space="0"/>
              <w:left w:val="nil"/>
              <w:bottom w:val="single" w:color="auto" w:sz="4" w:space="0"/>
              <w:right w:val="single" w:color="auto" w:sz="4" w:space="0"/>
            </w:tcBorders>
          </w:tcPr>
          <w:p w:rsidR="001F622B">
            <w:pPr>
              <w:jc w:val="center"/>
              <w:rPr>
                <w:b/>
                <w:bCs/>
                <w:sz w:val="22"/>
                <w:szCs w:val="22"/>
              </w:rPr>
            </w:pPr>
          </w:p>
        </w:tc>
      </w:tr>
      <w:tr>
        <w:tblPrEx>
          <w:tblW w:w="8532" w:type="dxa"/>
          <w:tblInd w:w="55" w:type="dxa"/>
          <w:tblCellMar>
            <w:left w:w="70" w:type="dxa"/>
            <w:right w:w="70" w:type="dxa"/>
          </w:tblCellMar>
          <w:tblLook w:val="00A0"/>
        </w:tblPrEx>
        <w:trPr>
          <w:trHeight w:val="255"/>
        </w:trPr>
        <w:tc>
          <w:tcPr>
            <w:tcW w:w="5125" w:type="dxa"/>
            <w:tcBorders>
              <w:top w:val="nil"/>
              <w:left w:val="single" w:color="auto" w:sz="4" w:space="0"/>
              <w:bottom w:val="single" w:color="auto" w:sz="4" w:space="0"/>
              <w:right w:val="single" w:color="auto" w:sz="4" w:space="0"/>
            </w:tcBorders>
            <w:noWrap/>
            <w:vAlign w:val="bottom"/>
          </w:tcPr>
          <w:p w:rsidR="001F622B">
            <w:pPr>
              <w:rPr>
                <w:sz w:val="22"/>
                <w:szCs w:val="22"/>
              </w:rPr>
            </w:pPr>
            <w:r>
              <w:rPr>
                <w:sz w:val="22"/>
                <w:szCs w:val="22"/>
              </w:rPr>
              <w:t>&gt; 2 jaar</w:t>
            </w:r>
          </w:p>
        </w:tc>
        <w:tc>
          <w:tcPr>
            <w:tcW w:w="715" w:type="dxa"/>
            <w:tcBorders>
              <w:top w:val="nil"/>
              <w:left w:val="nil"/>
              <w:bottom w:val="single" w:color="auto" w:sz="4" w:space="0"/>
              <w:right w:val="single" w:color="auto" w:sz="4" w:space="0"/>
            </w:tcBorders>
            <w:noWrap/>
            <w:vAlign w:val="bottom"/>
          </w:tcPr>
          <w:p w:rsidR="001F622B">
            <w:pPr>
              <w:jc w:val="center"/>
              <w:rPr>
                <w:sz w:val="22"/>
                <w:szCs w:val="22"/>
              </w:rPr>
            </w:pPr>
            <w:r>
              <w:rPr>
                <w:sz w:val="22"/>
                <w:szCs w:val="22"/>
              </w:rPr>
              <w:t>218</w:t>
            </w:r>
          </w:p>
        </w:tc>
        <w:tc>
          <w:tcPr>
            <w:tcW w:w="2692" w:type="dxa"/>
            <w:tcBorders>
              <w:top w:val="nil"/>
              <w:left w:val="nil"/>
              <w:bottom w:val="single" w:color="auto" w:sz="4" w:space="0"/>
              <w:right w:val="single" w:color="auto" w:sz="4" w:space="0"/>
            </w:tcBorders>
          </w:tcPr>
          <w:p w:rsidR="001F622B">
            <w:pPr>
              <w:rPr>
                <w:sz w:val="22"/>
                <w:szCs w:val="22"/>
              </w:rPr>
            </w:pPr>
            <w:r>
              <w:rPr>
                <w:sz w:val="22"/>
                <w:szCs w:val="22"/>
              </w:rPr>
              <w:t>meerlingen eruit en 6+ eruit</w:t>
            </w:r>
          </w:p>
        </w:tc>
      </w:tr>
      <w:tr>
        <w:tblPrEx>
          <w:tblW w:w="8532" w:type="dxa"/>
          <w:tblInd w:w="55" w:type="dxa"/>
          <w:tblCellMar>
            <w:left w:w="70" w:type="dxa"/>
            <w:right w:w="70" w:type="dxa"/>
          </w:tblCellMar>
          <w:tblLook w:val="00A0"/>
        </w:tblPrEx>
        <w:trPr>
          <w:trHeight w:val="255"/>
        </w:trPr>
        <w:tc>
          <w:tcPr>
            <w:tcW w:w="5125" w:type="dxa"/>
            <w:tcBorders>
              <w:top w:val="nil"/>
              <w:left w:val="single" w:color="auto" w:sz="4" w:space="0"/>
              <w:bottom w:val="single" w:color="auto" w:sz="4" w:space="0"/>
              <w:right w:val="single" w:color="auto" w:sz="4" w:space="0"/>
            </w:tcBorders>
            <w:noWrap/>
            <w:vAlign w:val="bottom"/>
          </w:tcPr>
          <w:p w:rsidR="001F622B">
            <w:pPr>
              <w:rPr>
                <w:sz w:val="22"/>
                <w:szCs w:val="22"/>
              </w:rPr>
            </w:pPr>
            <w:r>
              <w:rPr>
                <w:sz w:val="22"/>
                <w:szCs w:val="22"/>
              </w:rPr>
              <w:t>meerling</w:t>
            </w:r>
          </w:p>
        </w:tc>
        <w:tc>
          <w:tcPr>
            <w:tcW w:w="715" w:type="dxa"/>
            <w:tcBorders>
              <w:top w:val="nil"/>
              <w:left w:val="nil"/>
              <w:bottom w:val="single" w:color="auto" w:sz="4" w:space="0"/>
              <w:right w:val="single" w:color="auto" w:sz="4" w:space="0"/>
            </w:tcBorders>
            <w:noWrap/>
            <w:vAlign w:val="bottom"/>
          </w:tcPr>
          <w:p w:rsidR="001F622B">
            <w:pPr>
              <w:jc w:val="center"/>
              <w:rPr>
                <w:sz w:val="22"/>
                <w:szCs w:val="22"/>
              </w:rPr>
            </w:pPr>
            <w:r>
              <w:rPr>
                <w:sz w:val="22"/>
                <w:szCs w:val="22"/>
              </w:rPr>
              <w:t>85</w:t>
            </w:r>
          </w:p>
        </w:tc>
        <w:tc>
          <w:tcPr>
            <w:tcW w:w="2692" w:type="dxa"/>
            <w:tcBorders>
              <w:top w:val="nil"/>
              <w:left w:val="nil"/>
              <w:bottom w:val="single" w:color="auto" w:sz="4" w:space="0"/>
              <w:right w:val="single" w:color="auto" w:sz="4" w:space="0"/>
            </w:tcBorders>
          </w:tcPr>
          <w:p w:rsidR="001F622B">
            <w:pPr>
              <w:rPr>
                <w:sz w:val="22"/>
                <w:szCs w:val="22"/>
              </w:rPr>
            </w:pPr>
            <w:r>
              <w:rPr>
                <w:sz w:val="22"/>
                <w:szCs w:val="22"/>
              </w:rPr>
              <w:t>moeten we sowieso zien</w:t>
            </w:r>
          </w:p>
        </w:tc>
      </w:tr>
      <w:tr>
        <w:tblPrEx>
          <w:tblW w:w="8532" w:type="dxa"/>
          <w:tblInd w:w="55" w:type="dxa"/>
          <w:tblCellMar>
            <w:left w:w="70" w:type="dxa"/>
            <w:right w:w="70" w:type="dxa"/>
          </w:tblCellMar>
          <w:tblLook w:val="00A0"/>
        </w:tblPrEx>
        <w:trPr>
          <w:trHeight w:val="255"/>
        </w:trPr>
        <w:tc>
          <w:tcPr>
            <w:tcW w:w="5125" w:type="dxa"/>
            <w:tcBorders>
              <w:top w:val="nil"/>
              <w:left w:val="single" w:color="auto" w:sz="4" w:space="0"/>
              <w:bottom w:val="single" w:color="auto" w:sz="4" w:space="0"/>
              <w:right w:val="single" w:color="auto" w:sz="4" w:space="0"/>
            </w:tcBorders>
            <w:noWrap/>
            <w:vAlign w:val="bottom"/>
          </w:tcPr>
          <w:p w:rsidR="001F622B">
            <w:pPr>
              <w:rPr>
                <w:sz w:val="22"/>
                <w:szCs w:val="22"/>
              </w:rPr>
            </w:pPr>
            <w:r>
              <w:rPr>
                <w:sz w:val="22"/>
                <w:szCs w:val="22"/>
              </w:rPr>
              <w:t>6 jaar en ouder</w:t>
            </w:r>
          </w:p>
        </w:tc>
        <w:tc>
          <w:tcPr>
            <w:tcW w:w="715" w:type="dxa"/>
            <w:tcBorders>
              <w:top w:val="nil"/>
              <w:left w:val="nil"/>
              <w:bottom w:val="single" w:color="auto" w:sz="4" w:space="0"/>
              <w:right w:val="single" w:color="auto" w:sz="4" w:space="0"/>
            </w:tcBorders>
            <w:noWrap/>
            <w:vAlign w:val="bottom"/>
          </w:tcPr>
          <w:p w:rsidR="001F622B">
            <w:pPr>
              <w:jc w:val="center"/>
              <w:rPr>
                <w:sz w:val="22"/>
                <w:szCs w:val="22"/>
              </w:rPr>
            </w:pPr>
            <w:r>
              <w:rPr>
                <w:sz w:val="22"/>
                <w:szCs w:val="22"/>
              </w:rPr>
              <w:t>24</w:t>
            </w:r>
          </w:p>
        </w:tc>
        <w:tc>
          <w:tcPr>
            <w:tcW w:w="2692" w:type="dxa"/>
            <w:tcBorders>
              <w:top w:val="nil"/>
              <w:left w:val="nil"/>
              <w:bottom w:val="single" w:color="auto" w:sz="4" w:space="0"/>
              <w:right w:val="single" w:color="auto" w:sz="4" w:space="0"/>
            </w:tcBorders>
          </w:tcPr>
          <w:p w:rsidR="001F622B">
            <w:pPr>
              <w:rPr>
                <w:sz w:val="22"/>
                <w:szCs w:val="22"/>
              </w:rPr>
            </w:pPr>
            <w:r>
              <w:rPr>
                <w:sz w:val="22"/>
                <w:szCs w:val="22"/>
              </w:rPr>
              <w:t>moeten we sowieso zien</w:t>
            </w:r>
          </w:p>
        </w:tc>
      </w:tr>
      <w:tr>
        <w:tblPrEx>
          <w:tblW w:w="8532" w:type="dxa"/>
          <w:tblInd w:w="55" w:type="dxa"/>
          <w:tblCellMar>
            <w:left w:w="70" w:type="dxa"/>
            <w:right w:w="70" w:type="dxa"/>
          </w:tblCellMar>
          <w:tblLook w:val="00A0"/>
        </w:tblPrEx>
        <w:trPr>
          <w:trHeight w:val="255"/>
        </w:trPr>
        <w:tc>
          <w:tcPr>
            <w:tcW w:w="5125" w:type="dxa"/>
            <w:tcBorders>
              <w:top w:val="nil"/>
              <w:left w:val="single" w:color="auto" w:sz="4" w:space="0"/>
              <w:bottom w:val="single" w:color="auto" w:sz="4" w:space="0"/>
              <w:right w:val="single" w:color="auto" w:sz="4" w:space="0"/>
            </w:tcBorders>
            <w:noWrap/>
            <w:vAlign w:val="bottom"/>
          </w:tcPr>
          <w:p w:rsidR="001F622B">
            <w:pPr>
              <w:rPr>
                <w:sz w:val="22"/>
                <w:szCs w:val="22"/>
              </w:rPr>
            </w:pPr>
            <w:r>
              <w:rPr>
                <w:sz w:val="22"/>
                <w:szCs w:val="22"/>
              </w:rPr>
              <w:t>alleenstaande ouder</w:t>
            </w:r>
          </w:p>
        </w:tc>
        <w:tc>
          <w:tcPr>
            <w:tcW w:w="715" w:type="dxa"/>
            <w:tcBorders>
              <w:top w:val="nil"/>
              <w:left w:val="nil"/>
              <w:bottom w:val="single" w:color="auto" w:sz="4" w:space="0"/>
              <w:right w:val="single" w:color="auto" w:sz="4" w:space="0"/>
            </w:tcBorders>
            <w:noWrap/>
            <w:vAlign w:val="bottom"/>
          </w:tcPr>
          <w:p w:rsidR="001F622B">
            <w:pPr>
              <w:jc w:val="center"/>
              <w:rPr>
                <w:sz w:val="22"/>
                <w:szCs w:val="22"/>
              </w:rPr>
            </w:pPr>
            <w:r>
              <w:rPr>
                <w:sz w:val="22"/>
                <w:szCs w:val="22"/>
              </w:rPr>
              <w:t>2</w:t>
            </w:r>
          </w:p>
        </w:tc>
        <w:tc>
          <w:tcPr>
            <w:tcW w:w="2692" w:type="dxa"/>
            <w:tcBorders>
              <w:top w:val="nil"/>
              <w:left w:val="nil"/>
              <w:bottom w:val="single" w:color="auto" w:sz="4" w:space="0"/>
              <w:right w:val="single" w:color="auto" w:sz="4" w:space="0"/>
            </w:tcBorders>
          </w:tcPr>
          <w:p w:rsidR="001F622B">
            <w:pPr>
              <w:rPr>
                <w:sz w:val="22"/>
                <w:szCs w:val="22"/>
              </w:rPr>
            </w:pPr>
            <w:r>
              <w:rPr>
                <w:sz w:val="22"/>
                <w:szCs w:val="22"/>
              </w:rPr>
              <w:t xml:space="preserve">nagelopen op </w:t>
            </w:r>
            <w:r>
              <w:rPr>
                <w:sz w:val="22"/>
                <w:szCs w:val="22"/>
              </w:rPr>
              <w:t>dubbelingen</w:t>
            </w:r>
          </w:p>
        </w:tc>
      </w:tr>
      <w:tr>
        <w:tblPrEx>
          <w:tblW w:w="8532" w:type="dxa"/>
          <w:tblInd w:w="55" w:type="dxa"/>
          <w:tblCellMar>
            <w:left w:w="70" w:type="dxa"/>
            <w:right w:w="70" w:type="dxa"/>
          </w:tblCellMar>
          <w:tblLook w:val="00A0"/>
        </w:tblPrEx>
        <w:trPr>
          <w:trHeight w:val="255"/>
        </w:trPr>
        <w:tc>
          <w:tcPr>
            <w:tcW w:w="5125" w:type="dxa"/>
            <w:tcBorders>
              <w:top w:val="nil"/>
              <w:left w:val="single" w:color="auto" w:sz="4" w:space="0"/>
              <w:bottom w:val="single" w:color="auto" w:sz="4" w:space="0"/>
              <w:right w:val="single" w:color="auto" w:sz="4" w:space="0"/>
            </w:tcBorders>
            <w:noWrap/>
            <w:vAlign w:val="bottom"/>
          </w:tcPr>
          <w:p w:rsidR="001F622B">
            <w:pPr>
              <w:rPr>
                <w:sz w:val="22"/>
                <w:szCs w:val="22"/>
              </w:rPr>
            </w:pPr>
            <w:r>
              <w:rPr>
                <w:sz w:val="22"/>
                <w:szCs w:val="22"/>
              </w:rPr>
              <w:t>complexe SN (SN ernstiger dan bij voorstel bekend)</w:t>
            </w:r>
          </w:p>
        </w:tc>
        <w:tc>
          <w:tcPr>
            <w:tcW w:w="715" w:type="dxa"/>
            <w:tcBorders>
              <w:top w:val="nil"/>
              <w:left w:val="nil"/>
              <w:bottom w:val="single" w:color="auto" w:sz="4" w:space="0"/>
              <w:right w:val="single" w:color="auto" w:sz="4" w:space="0"/>
            </w:tcBorders>
            <w:noWrap/>
            <w:vAlign w:val="bottom"/>
          </w:tcPr>
          <w:p w:rsidR="001F622B">
            <w:pPr>
              <w:jc w:val="center"/>
              <w:rPr>
                <w:sz w:val="22"/>
                <w:szCs w:val="22"/>
              </w:rPr>
            </w:pPr>
            <w:r>
              <w:rPr>
                <w:sz w:val="22"/>
                <w:szCs w:val="22"/>
              </w:rPr>
              <w:t>10</w:t>
            </w:r>
          </w:p>
        </w:tc>
        <w:tc>
          <w:tcPr>
            <w:tcW w:w="2692" w:type="dxa"/>
            <w:tcBorders>
              <w:top w:val="nil"/>
              <w:left w:val="nil"/>
              <w:bottom w:val="single" w:color="auto" w:sz="4" w:space="0"/>
              <w:right w:val="single" w:color="auto" w:sz="4" w:space="0"/>
            </w:tcBorders>
          </w:tcPr>
          <w:p w:rsidR="001F622B">
            <w:pPr>
              <w:rPr>
                <w:sz w:val="22"/>
                <w:szCs w:val="22"/>
              </w:rPr>
            </w:pPr>
            <w:r>
              <w:rPr>
                <w:sz w:val="22"/>
                <w:szCs w:val="22"/>
              </w:rPr>
              <w:t>niet ontdubbeld</w:t>
            </w:r>
          </w:p>
        </w:tc>
      </w:tr>
      <w:tr>
        <w:tblPrEx>
          <w:tblW w:w="8532" w:type="dxa"/>
          <w:tblInd w:w="55" w:type="dxa"/>
          <w:tblCellMar>
            <w:left w:w="70" w:type="dxa"/>
            <w:right w:w="70" w:type="dxa"/>
          </w:tblCellMar>
          <w:tblLook w:val="00A0"/>
        </w:tblPrEx>
        <w:trPr>
          <w:trHeight w:val="255"/>
        </w:trPr>
        <w:tc>
          <w:tcPr>
            <w:tcW w:w="5125" w:type="dxa"/>
            <w:tcBorders>
              <w:top w:val="nil"/>
              <w:left w:val="single" w:color="auto" w:sz="4" w:space="0"/>
              <w:bottom w:val="single" w:color="auto" w:sz="4" w:space="0"/>
              <w:right w:val="single" w:color="auto" w:sz="4" w:space="0"/>
            </w:tcBorders>
            <w:noWrap/>
            <w:vAlign w:val="bottom"/>
          </w:tcPr>
          <w:p w:rsidR="001F622B">
            <w:pPr>
              <w:rPr>
                <w:sz w:val="22"/>
                <w:szCs w:val="22"/>
              </w:rPr>
            </w:pPr>
            <w:r>
              <w:rPr>
                <w:sz w:val="22"/>
                <w:szCs w:val="22"/>
              </w:rPr>
              <w:t>SN categorie E (sociaal-emotionele belaste achtergrond)</w:t>
            </w:r>
          </w:p>
        </w:tc>
        <w:tc>
          <w:tcPr>
            <w:tcW w:w="715" w:type="dxa"/>
            <w:tcBorders>
              <w:top w:val="nil"/>
              <w:left w:val="nil"/>
              <w:bottom w:val="single" w:color="auto" w:sz="4" w:space="0"/>
              <w:right w:val="single" w:color="auto" w:sz="4" w:space="0"/>
            </w:tcBorders>
            <w:noWrap/>
            <w:vAlign w:val="bottom"/>
          </w:tcPr>
          <w:p w:rsidR="001F622B">
            <w:pPr>
              <w:jc w:val="center"/>
              <w:rPr>
                <w:sz w:val="22"/>
                <w:szCs w:val="22"/>
              </w:rPr>
            </w:pPr>
            <w:r>
              <w:rPr>
                <w:sz w:val="22"/>
                <w:szCs w:val="22"/>
              </w:rPr>
              <w:t>36</w:t>
            </w:r>
          </w:p>
        </w:tc>
        <w:tc>
          <w:tcPr>
            <w:tcW w:w="2692" w:type="dxa"/>
            <w:tcBorders>
              <w:top w:val="nil"/>
              <w:left w:val="nil"/>
              <w:bottom w:val="single" w:color="auto" w:sz="4" w:space="0"/>
              <w:right w:val="single" w:color="auto" w:sz="4" w:space="0"/>
            </w:tcBorders>
          </w:tcPr>
          <w:p w:rsidR="001F622B">
            <w:pPr>
              <w:rPr>
                <w:sz w:val="22"/>
                <w:szCs w:val="22"/>
              </w:rPr>
            </w:pPr>
            <w:r>
              <w:rPr>
                <w:sz w:val="22"/>
                <w:szCs w:val="22"/>
              </w:rPr>
              <w:t>niet ontdubbeld; anoniem</w:t>
            </w:r>
          </w:p>
        </w:tc>
      </w:tr>
      <w:tr>
        <w:tblPrEx>
          <w:tblW w:w="8532" w:type="dxa"/>
          <w:tblInd w:w="55" w:type="dxa"/>
          <w:tblCellMar>
            <w:left w:w="70" w:type="dxa"/>
            <w:right w:w="70" w:type="dxa"/>
          </w:tblCellMar>
          <w:tblLook w:val="00A0"/>
        </w:tblPrEx>
        <w:trPr>
          <w:trHeight w:val="255"/>
        </w:trPr>
        <w:tc>
          <w:tcPr>
            <w:tcW w:w="5125" w:type="dxa"/>
            <w:tcBorders>
              <w:top w:val="nil"/>
              <w:left w:val="single" w:color="auto" w:sz="4" w:space="0"/>
              <w:bottom w:val="single" w:color="auto" w:sz="4" w:space="0"/>
              <w:right w:val="single" w:color="auto" w:sz="4" w:space="0"/>
            </w:tcBorders>
            <w:noWrap/>
            <w:vAlign w:val="bottom"/>
          </w:tcPr>
          <w:p w:rsidR="001F622B">
            <w:pPr>
              <w:rPr>
                <w:i/>
                <w:iCs/>
                <w:sz w:val="22"/>
                <w:szCs w:val="22"/>
              </w:rPr>
            </w:pPr>
            <w:r>
              <w:rPr>
                <w:i/>
                <w:iCs/>
                <w:sz w:val="22"/>
                <w:szCs w:val="22"/>
              </w:rPr>
              <w:t>3 of meer overplaatsingen in land van herkomst</w:t>
            </w:r>
          </w:p>
        </w:tc>
        <w:tc>
          <w:tcPr>
            <w:tcW w:w="715" w:type="dxa"/>
            <w:tcBorders>
              <w:top w:val="nil"/>
              <w:left w:val="nil"/>
              <w:bottom w:val="single" w:color="auto" w:sz="4" w:space="0"/>
              <w:right w:val="single" w:color="auto" w:sz="4" w:space="0"/>
            </w:tcBorders>
            <w:noWrap/>
            <w:vAlign w:val="bottom"/>
          </w:tcPr>
          <w:p w:rsidR="001F622B">
            <w:pPr>
              <w:jc w:val="center"/>
              <w:rPr>
                <w:i/>
                <w:iCs/>
                <w:sz w:val="22"/>
                <w:szCs w:val="22"/>
              </w:rPr>
            </w:pPr>
            <w:r>
              <w:rPr>
                <w:i/>
                <w:iCs/>
                <w:sz w:val="22"/>
                <w:szCs w:val="22"/>
              </w:rPr>
              <w:t>264</w:t>
            </w:r>
          </w:p>
        </w:tc>
        <w:tc>
          <w:tcPr>
            <w:tcW w:w="2692" w:type="dxa"/>
            <w:tcBorders>
              <w:top w:val="nil"/>
              <w:left w:val="nil"/>
              <w:bottom w:val="single" w:color="auto" w:sz="4" w:space="0"/>
              <w:right w:val="single" w:color="auto" w:sz="4" w:space="0"/>
            </w:tcBorders>
          </w:tcPr>
          <w:p w:rsidR="001F622B">
            <w:pPr>
              <w:rPr>
                <w:i/>
                <w:iCs/>
                <w:sz w:val="22"/>
                <w:szCs w:val="22"/>
              </w:rPr>
            </w:pPr>
            <w:r>
              <w:rPr>
                <w:i/>
                <w:iCs/>
                <w:sz w:val="22"/>
                <w:szCs w:val="22"/>
              </w:rPr>
              <w:t>niet meegeteld</w:t>
            </w:r>
          </w:p>
        </w:tc>
      </w:tr>
      <w:tr>
        <w:tblPrEx>
          <w:tblW w:w="8532" w:type="dxa"/>
          <w:tblInd w:w="55" w:type="dxa"/>
          <w:tblCellMar>
            <w:left w:w="70" w:type="dxa"/>
            <w:right w:w="70" w:type="dxa"/>
          </w:tblCellMar>
          <w:tblLook w:val="00A0"/>
        </w:tblPrEx>
        <w:trPr>
          <w:trHeight w:val="255"/>
        </w:trPr>
        <w:tc>
          <w:tcPr>
            <w:tcW w:w="5125" w:type="dxa"/>
            <w:noWrap/>
            <w:vAlign w:val="bottom"/>
          </w:tcPr>
          <w:p w:rsidR="001F622B">
            <w:pPr>
              <w:rPr>
                <w:sz w:val="22"/>
                <w:szCs w:val="22"/>
              </w:rPr>
            </w:pPr>
          </w:p>
        </w:tc>
        <w:tc>
          <w:tcPr>
            <w:tcW w:w="715" w:type="dxa"/>
            <w:noWrap/>
            <w:vAlign w:val="bottom"/>
          </w:tcPr>
          <w:p w:rsidR="001F622B">
            <w:pPr>
              <w:jc w:val="center"/>
              <w:rPr>
                <w:sz w:val="22"/>
                <w:szCs w:val="22"/>
              </w:rPr>
            </w:pPr>
            <w:r>
              <w:rPr>
                <w:sz w:val="22"/>
                <w:szCs w:val="22"/>
              </w:rPr>
              <w:t>375</w:t>
            </w:r>
          </w:p>
        </w:tc>
        <w:tc>
          <w:tcPr>
            <w:tcW w:w="2692" w:type="dxa"/>
          </w:tcPr>
          <w:p w:rsidR="001F622B">
            <w:pPr>
              <w:rPr>
                <w:sz w:val="22"/>
                <w:szCs w:val="22"/>
              </w:rPr>
            </w:pPr>
            <w:r>
              <w:rPr>
                <w:b/>
                <w:bCs/>
                <w:sz w:val="22"/>
                <w:szCs w:val="22"/>
              </w:rPr>
              <w:t>71% van totaal</w:t>
            </w:r>
          </w:p>
        </w:tc>
      </w:tr>
    </w:tbl>
    <w:p w:rsidR="001F622B" w:rsidP="00015250">
      <w:pPr>
        <w:jc w:val="center"/>
        <w:rPr>
          <w:sz w:val="22"/>
          <w:szCs w:val="22"/>
        </w:rPr>
      </w:pPr>
    </w:p>
    <w:p w:rsidR="001F622B" w:rsidP="00015250">
      <w:pPr>
        <w:rPr>
          <w:b/>
          <w:bCs/>
          <w:sz w:val="22"/>
          <w:szCs w:val="22"/>
        </w:rPr>
      </w:pPr>
      <w:r>
        <w:rPr>
          <w:b/>
          <w:bCs/>
          <w:sz w:val="22"/>
          <w:szCs w:val="22"/>
        </w:rPr>
        <w:t>Toelichting</w:t>
      </w:r>
    </w:p>
    <w:p w:rsidR="001F622B" w:rsidP="00015250">
      <w:pPr>
        <w:numPr>
          <w:ilvl w:val="0"/>
          <w:numId w:val="7"/>
        </w:numPr>
        <w:rPr>
          <w:sz w:val="22"/>
          <w:szCs w:val="22"/>
        </w:rPr>
      </w:pPr>
      <w:r>
        <w:rPr>
          <w:sz w:val="22"/>
          <w:szCs w:val="22"/>
        </w:rPr>
        <w:t>De kinderen van 6 jaar en ouder en de meerlingen hebben we uit de telling van kinderen van 2 jaar en ouder gehaald (327-109 = 218). Meerlingen en 6+-</w:t>
      </w:r>
      <w:r>
        <w:rPr>
          <w:sz w:val="22"/>
          <w:szCs w:val="22"/>
        </w:rPr>
        <w:t>ers</w:t>
      </w:r>
      <w:r>
        <w:rPr>
          <w:sz w:val="22"/>
          <w:szCs w:val="22"/>
        </w:rPr>
        <w:t xml:space="preserve"> moeten we sowieso zien.</w:t>
      </w:r>
    </w:p>
    <w:p w:rsidR="001F622B" w:rsidP="00015250">
      <w:pPr>
        <w:numPr>
          <w:ilvl w:val="0"/>
          <w:numId w:val="7"/>
        </w:numPr>
        <w:rPr>
          <w:sz w:val="22"/>
          <w:szCs w:val="22"/>
        </w:rPr>
      </w:pPr>
      <w:r>
        <w:rPr>
          <w:sz w:val="22"/>
          <w:szCs w:val="22"/>
        </w:rPr>
        <w:t xml:space="preserve">De alleenstaande ouders hebben we handmatig nagelopen om </w:t>
      </w:r>
      <w:r>
        <w:rPr>
          <w:sz w:val="22"/>
          <w:szCs w:val="22"/>
        </w:rPr>
        <w:t>dubbelingen</w:t>
      </w:r>
      <w:r>
        <w:rPr>
          <w:sz w:val="22"/>
          <w:szCs w:val="22"/>
        </w:rPr>
        <w:t xml:space="preserve"> met andere categorieën te voorkomen. We houden 2 alleenstaande moeders over met kinderen die in de risicocategorie vallen.</w:t>
      </w:r>
    </w:p>
    <w:p w:rsidR="001F622B" w:rsidP="00015250">
      <w:pPr>
        <w:numPr>
          <w:ilvl w:val="0"/>
          <w:numId w:val="7"/>
        </w:numPr>
        <w:rPr>
          <w:sz w:val="22"/>
          <w:szCs w:val="22"/>
        </w:rPr>
      </w:pPr>
      <w:r>
        <w:rPr>
          <w:sz w:val="22"/>
          <w:szCs w:val="22"/>
        </w:rPr>
        <w:t xml:space="preserve">De kinderen met bovengenoemde </w:t>
      </w:r>
      <w:r>
        <w:rPr>
          <w:sz w:val="22"/>
          <w:szCs w:val="22"/>
        </w:rPr>
        <w:t>SN's</w:t>
      </w:r>
      <w:r>
        <w:rPr>
          <w:sz w:val="22"/>
          <w:szCs w:val="22"/>
        </w:rPr>
        <w:t xml:space="preserve"> (sociaal-emotioneel belast en ernstigere </w:t>
      </w:r>
      <w:r>
        <w:rPr>
          <w:sz w:val="22"/>
          <w:szCs w:val="22"/>
        </w:rPr>
        <w:t>SN's</w:t>
      </w:r>
      <w:r>
        <w:rPr>
          <w:sz w:val="22"/>
          <w:szCs w:val="22"/>
        </w:rPr>
        <w:t xml:space="preserve"> dan vooraf bekend) moeten sowieso gezien worden. Deze kunnen we niet ontdubbelen omdat wij deze kinderen anoniem registreren. We tellen ze wel mee. Daarentegen tellen we de kinderen met 3 of meer overplaatsingen niet mee terwijl zij ook tot de risicogroep horen.</w:t>
      </w:r>
    </w:p>
    <w:p w:rsidR="001F622B" w:rsidP="00015250">
      <w:pPr>
        <w:rPr>
          <w:sz w:val="22"/>
          <w:szCs w:val="22"/>
        </w:rPr>
      </w:pPr>
    </w:p>
    <w:p w:rsidR="001F622B" w:rsidP="00015250">
      <w:pPr>
        <w:rPr>
          <w:sz w:val="22"/>
          <w:szCs w:val="22"/>
        </w:rPr>
      </w:pPr>
      <w:r>
        <w:rPr>
          <w:sz w:val="22"/>
          <w:szCs w:val="22"/>
        </w:rPr>
        <w:t>Deze uitkomsten hebben we opgeteld en we komen op 375 unieke kinderen. Dit is dus 71% van het totaal aantal adopties in 2011.</w:t>
      </w:r>
    </w:p>
    <w:p w:rsidR="001F622B" w:rsidP="00015250">
      <w:pPr>
        <w:rPr>
          <w:sz w:val="22"/>
          <w:szCs w:val="22"/>
        </w:rPr>
      </w:pPr>
    </w:p>
    <w:p w:rsidR="001F622B" w:rsidP="00015250">
      <w:pPr>
        <w:rPr>
          <w:b/>
          <w:bCs/>
          <w:sz w:val="22"/>
          <w:szCs w:val="22"/>
        </w:rPr>
      </w:pPr>
      <w:r>
        <w:rPr>
          <w:b/>
          <w:bCs/>
          <w:sz w:val="22"/>
          <w:szCs w:val="22"/>
        </w:rPr>
        <w:t>Reguliere subsidie versus extra subsidie</w:t>
      </w:r>
    </w:p>
    <w:p w:rsidR="001F622B" w:rsidP="00015250">
      <w:pPr>
        <w:rPr>
          <w:b/>
          <w:bCs/>
          <w:sz w:val="22"/>
          <w:szCs w:val="22"/>
        </w:rPr>
      </w:pPr>
    </w:p>
    <w:tbl>
      <w:tblPr>
        <w:tblW w:w="6690" w:type="dxa"/>
        <w:tblInd w:w="55" w:type="dxa"/>
        <w:tblCellMar>
          <w:left w:w="70" w:type="dxa"/>
          <w:right w:w="70" w:type="dxa"/>
        </w:tblCellMar>
        <w:tblLook w:val="00A0"/>
      </w:tblPr>
      <w:tblGrid>
        <w:gridCol w:w="4810"/>
        <w:gridCol w:w="1880"/>
      </w:tblGrid>
      <w:tr>
        <w:tblPrEx>
          <w:tblW w:w="6690" w:type="dxa"/>
          <w:tblInd w:w="55" w:type="dxa"/>
          <w:tblCellMar>
            <w:left w:w="70" w:type="dxa"/>
            <w:right w:w="70" w:type="dxa"/>
          </w:tblCellMar>
          <w:tblLook w:val="00A0"/>
        </w:tblPrEx>
        <w:trPr>
          <w:trHeight w:val="255"/>
        </w:trPr>
        <w:tc>
          <w:tcPr>
            <w:tcW w:w="4810" w:type="dxa"/>
            <w:tcBorders>
              <w:top w:val="single" w:color="auto" w:sz="4" w:space="0"/>
              <w:left w:val="single" w:color="auto" w:sz="4" w:space="0"/>
              <w:bottom w:val="single" w:color="auto" w:sz="4" w:space="0"/>
              <w:right w:val="single" w:color="auto" w:sz="4" w:space="0"/>
            </w:tcBorders>
            <w:noWrap/>
            <w:vAlign w:val="bottom"/>
          </w:tcPr>
          <w:p w:rsidR="001F622B">
            <w:pPr>
              <w:rPr>
                <w:b/>
                <w:bCs/>
                <w:sz w:val="22"/>
                <w:szCs w:val="22"/>
              </w:rPr>
            </w:pPr>
            <w:r>
              <w:rPr>
                <w:b/>
                <w:bCs/>
                <w:sz w:val="22"/>
                <w:szCs w:val="22"/>
              </w:rPr>
              <w:t>Gezien in 2011 binnen reguliere subsidie</w:t>
            </w:r>
          </w:p>
        </w:tc>
        <w:tc>
          <w:tcPr>
            <w:tcW w:w="1880" w:type="dxa"/>
            <w:tcBorders>
              <w:top w:val="single" w:color="auto" w:sz="4" w:space="0"/>
              <w:left w:val="nil"/>
              <w:bottom w:val="single" w:color="auto" w:sz="4" w:space="0"/>
              <w:right w:val="single" w:color="auto" w:sz="4" w:space="0"/>
            </w:tcBorders>
            <w:noWrap/>
            <w:vAlign w:val="bottom"/>
          </w:tcPr>
          <w:p w:rsidR="001F622B">
            <w:pPr>
              <w:jc w:val="center"/>
              <w:rPr>
                <w:sz w:val="22"/>
                <w:szCs w:val="22"/>
              </w:rPr>
            </w:pPr>
            <w:r>
              <w:rPr>
                <w:sz w:val="22"/>
                <w:szCs w:val="22"/>
              </w:rPr>
              <w:t>76</w:t>
            </w:r>
          </w:p>
        </w:tc>
      </w:tr>
      <w:tr>
        <w:tblPrEx>
          <w:tblW w:w="6690" w:type="dxa"/>
          <w:tblInd w:w="55" w:type="dxa"/>
          <w:tblCellMar>
            <w:left w:w="70" w:type="dxa"/>
            <w:right w:w="70" w:type="dxa"/>
          </w:tblCellMar>
          <w:tblLook w:val="00A0"/>
        </w:tblPrEx>
        <w:trPr>
          <w:trHeight w:val="255"/>
        </w:trPr>
        <w:tc>
          <w:tcPr>
            <w:tcW w:w="4810" w:type="dxa"/>
            <w:tcBorders>
              <w:top w:val="nil"/>
              <w:left w:val="single" w:color="auto" w:sz="4" w:space="0"/>
              <w:bottom w:val="single" w:color="auto" w:sz="4" w:space="0"/>
              <w:right w:val="single" w:color="auto" w:sz="4" w:space="0"/>
            </w:tcBorders>
            <w:noWrap/>
            <w:vAlign w:val="bottom"/>
          </w:tcPr>
          <w:p w:rsidR="001F622B">
            <w:pPr>
              <w:rPr>
                <w:sz w:val="22"/>
                <w:szCs w:val="22"/>
              </w:rPr>
            </w:pPr>
            <w:r>
              <w:rPr>
                <w:sz w:val="22"/>
                <w:szCs w:val="22"/>
              </w:rPr>
              <w:t>Vallen binnen risicoprofiel</w:t>
            </w:r>
          </w:p>
        </w:tc>
        <w:tc>
          <w:tcPr>
            <w:tcW w:w="1880" w:type="dxa"/>
            <w:tcBorders>
              <w:top w:val="nil"/>
              <w:left w:val="nil"/>
              <w:bottom w:val="single" w:color="auto" w:sz="4" w:space="0"/>
              <w:right w:val="single" w:color="auto" w:sz="4" w:space="0"/>
            </w:tcBorders>
            <w:noWrap/>
            <w:vAlign w:val="bottom"/>
          </w:tcPr>
          <w:p w:rsidR="001F622B">
            <w:pPr>
              <w:jc w:val="center"/>
              <w:rPr>
                <w:sz w:val="22"/>
                <w:szCs w:val="22"/>
              </w:rPr>
            </w:pPr>
            <w:r>
              <w:rPr>
                <w:sz w:val="22"/>
                <w:szCs w:val="22"/>
              </w:rPr>
              <w:t>53</w:t>
            </w:r>
          </w:p>
        </w:tc>
      </w:tr>
      <w:tr>
        <w:tblPrEx>
          <w:tblW w:w="6690" w:type="dxa"/>
          <w:tblInd w:w="55" w:type="dxa"/>
          <w:tblCellMar>
            <w:left w:w="70" w:type="dxa"/>
            <w:right w:w="70" w:type="dxa"/>
          </w:tblCellMar>
          <w:tblLook w:val="00A0"/>
        </w:tblPrEx>
        <w:trPr>
          <w:trHeight w:val="255"/>
        </w:trPr>
        <w:tc>
          <w:tcPr>
            <w:tcW w:w="4810" w:type="dxa"/>
            <w:tcBorders>
              <w:top w:val="nil"/>
              <w:left w:val="single" w:color="auto" w:sz="4" w:space="0"/>
              <w:bottom w:val="single" w:color="auto" w:sz="4" w:space="0"/>
              <w:right w:val="single" w:color="auto" w:sz="4" w:space="0"/>
            </w:tcBorders>
            <w:noWrap/>
            <w:vAlign w:val="bottom"/>
          </w:tcPr>
          <w:p w:rsidR="001F622B">
            <w:pPr>
              <w:rPr>
                <w:sz w:val="22"/>
                <w:szCs w:val="22"/>
              </w:rPr>
            </w:pPr>
            <w:r>
              <w:rPr>
                <w:sz w:val="22"/>
                <w:szCs w:val="22"/>
              </w:rPr>
              <w:t>Nog te zien (375-53)</w:t>
            </w:r>
          </w:p>
        </w:tc>
        <w:tc>
          <w:tcPr>
            <w:tcW w:w="1880" w:type="dxa"/>
            <w:tcBorders>
              <w:top w:val="nil"/>
              <w:left w:val="nil"/>
              <w:bottom w:val="single" w:color="auto" w:sz="4" w:space="0"/>
              <w:right w:val="single" w:color="auto" w:sz="4" w:space="0"/>
            </w:tcBorders>
            <w:noWrap/>
            <w:vAlign w:val="bottom"/>
          </w:tcPr>
          <w:p w:rsidR="001F622B">
            <w:pPr>
              <w:jc w:val="center"/>
              <w:rPr>
                <w:sz w:val="22"/>
                <w:szCs w:val="22"/>
              </w:rPr>
            </w:pPr>
            <w:r>
              <w:rPr>
                <w:sz w:val="22"/>
                <w:szCs w:val="22"/>
              </w:rPr>
              <w:t>322</w:t>
            </w:r>
          </w:p>
        </w:tc>
      </w:tr>
      <w:tr>
        <w:tblPrEx>
          <w:tblW w:w="6690" w:type="dxa"/>
          <w:tblInd w:w="55" w:type="dxa"/>
          <w:tblCellMar>
            <w:left w:w="70" w:type="dxa"/>
            <w:right w:w="70" w:type="dxa"/>
          </w:tblCellMar>
          <w:tblLook w:val="00A0"/>
        </w:tblPrEx>
        <w:trPr>
          <w:trHeight w:val="255"/>
        </w:trPr>
        <w:tc>
          <w:tcPr>
            <w:tcW w:w="4810" w:type="dxa"/>
            <w:tcBorders>
              <w:top w:val="nil"/>
              <w:left w:val="single" w:color="auto" w:sz="4" w:space="0"/>
              <w:bottom w:val="single" w:color="auto" w:sz="4" w:space="0"/>
              <w:right w:val="single" w:color="auto" w:sz="4" w:space="0"/>
            </w:tcBorders>
            <w:noWrap/>
            <w:vAlign w:val="bottom"/>
          </w:tcPr>
          <w:p w:rsidR="001F622B">
            <w:pPr>
              <w:rPr>
                <w:sz w:val="22"/>
                <w:szCs w:val="22"/>
              </w:rPr>
            </w:pPr>
            <w:r>
              <w:rPr>
                <w:sz w:val="22"/>
                <w:szCs w:val="22"/>
              </w:rPr>
              <w:t>Nog te zien buiten reguliere subsidie (322/528*100)</w:t>
            </w:r>
          </w:p>
        </w:tc>
        <w:tc>
          <w:tcPr>
            <w:tcW w:w="1880" w:type="dxa"/>
            <w:tcBorders>
              <w:top w:val="nil"/>
              <w:left w:val="nil"/>
              <w:bottom w:val="single" w:color="auto" w:sz="4" w:space="0"/>
              <w:right w:val="single" w:color="auto" w:sz="4" w:space="0"/>
            </w:tcBorders>
            <w:noWrap/>
            <w:vAlign w:val="bottom"/>
          </w:tcPr>
          <w:p w:rsidR="001F622B">
            <w:pPr>
              <w:jc w:val="center"/>
              <w:rPr>
                <w:sz w:val="22"/>
                <w:szCs w:val="22"/>
              </w:rPr>
            </w:pPr>
            <w:r>
              <w:rPr>
                <w:sz w:val="22"/>
                <w:szCs w:val="22"/>
              </w:rPr>
              <w:t>61%</w:t>
            </w:r>
          </w:p>
        </w:tc>
      </w:tr>
    </w:tbl>
    <w:p w:rsidR="001F622B" w:rsidP="00015250">
      <w:pPr>
        <w:rPr>
          <w:b/>
          <w:bCs/>
          <w:sz w:val="22"/>
          <w:szCs w:val="22"/>
        </w:rPr>
      </w:pPr>
    </w:p>
    <w:p w:rsidR="001F622B" w:rsidP="00015250">
      <w:pPr>
        <w:rPr>
          <w:sz w:val="22"/>
          <w:szCs w:val="22"/>
        </w:rPr>
      </w:pPr>
      <w:r>
        <w:rPr>
          <w:sz w:val="22"/>
          <w:szCs w:val="22"/>
        </w:rPr>
        <w:t>Toelichting: In 2011 hebben we 76 kinderen gezien (VIB, consultatie aan huis, ouderbegeleiding in groepsverband). We hebben alleen die kinderen geteld die binnen 1 jaar na aankomst door ons zijn gezien. Als we ervan uitgaan dat 71% van deze 76 kinderen aan het risicoprofiel voldoet, dan hebben we dus al 53 kinderen gezien binnen de reguliere subsidie. Van de 375 kinderen die in 2011 gezien zouden moeten worden, zijn er dus 322 nog niet gezien (375-53).</w:t>
      </w:r>
    </w:p>
    <w:p w:rsidR="001F622B" w:rsidP="00015250">
      <w:pPr>
        <w:rPr>
          <w:sz w:val="22"/>
          <w:szCs w:val="22"/>
        </w:rPr>
      </w:pPr>
    </w:p>
    <w:p w:rsidR="001F622B" w:rsidP="00015250">
      <w:pPr>
        <w:rPr>
          <w:sz w:val="22"/>
          <w:szCs w:val="22"/>
        </w:rPr>
      </w:pPr>
      <w:r>
        <w:rPr>
          <w:sz w:val="22"/>
          <w:szCs w:val="22"/>
        </w:rPr>
        <w:t>Kortom: 61% van de 528 kinderen worden niet gezien binnen ons reguliere aanbod.</w:t>
      </w:r>
    </w:p>
    <w:p w:rsidR="001F622B" w:rsidP="00015250">
      <w:pPr>
        <w:rPr>
          <w:sz w:val="22"/>
          <w:szCs w:val="22"/>
        </w:rPr>
      </w:pPr>
    </w:p>
    <w:p w:rsidR="001F622B" w:rsidP="00015250">
      <w:pPr>
        <w:rPr>
          <w:b/>
          <w:bCs/>
          <w:sz w:val="22"/>
          <w:szCs w:val="22"/>
        </w:rPr>
      </w:pPr>
      <w:r>
        <w:rPr>
          <w:b/>
          <w:bCs/>
          <w:sz w:val="22"/>
          <w:szCs w:val="22"/>
        </w:rPr>
        <w:t>Prognose 2013-2014</w:t>
      </w:r>
    </w:p>
    <w:p w:rsidR="001F622B" w:rsidP="00015250">
      <w:pPr>
        <w:rPr>
          <w:sz w:val="22"/>
          <w:szCs w:val="22"/>
        </w:rPr>
      </w:pPr>
      <w:r>
        <w:rPr>
          <w:sz w:val="22"/>
          <w:szCs w:val="22"/>
        </w:rPr>
        <w:t>We rekenen op gemiddeld 450 kinderen per jaar in 2013 en in 2014. Als 61% daarvan nog extra gezien moet worden, dan zijn dat 275 kinderen extra per jaar.</w:t>
      </w:r>
    </w:p>
    <w:p w:rsidR="001F622B" w:rsidP="00015250">
      <w:pPr>
        <w:rPr>
          <w:sz w:val="22"/>
          <w:szCs w:val="22"/>
        </w:rPr>
      </w:pPr>
    </w:p>
    <w:p w:rsidR="001F622B" w:rsidP="00015250">
      <w:pPr>
        <w:rPr>
          <w:sz w:val="22"/>
          <w:szCs w:val="22"/>
        </w:rPr>
      </w:pPr>
    </w:p>
    <w:p w:rsidR="001F622B" w:rsidP="00015250">
      <w:pPr>
        <w:rPr>
          <w:sz w:val="22"/>
          <w:szCs w:val="22"/>
        </w:rPr>
      </w:pPr>
      <w:r>
        <w:rPr>
          <w:sz w:val="22"/>
          <w:szCs w:val="22"/>
        </w:rPr>
        <w:t>P. Benders</w:t>
      </w:r>
    </w:p>
    <w:p w:rsidR="001F622B" w:rsidP="00015250">
      <w:pPr>
        <w:rPr>
          <w:sz w:val="22"/>
          <w:szCs w:val="22"/>
        </w:rPr>
      </w:pPr>
      <w:r>
        <w:rPr>
          <w:sz w:val="22"/>
          <w:szCs w:val="22"/>
        </w:rPr>
        <w:t>Directeur SAV</w:t>
      </w:r>
    </w:p>
    <w:p w:rsidR="001F622B" w:rsidP="00015250">
      <w:pPr>
        <w:rPr>
          <w:sz w:val="22"/>
          <w:szCs w:val="22"/>
        </w:rPr>
      </w:pPr>
      <w:r>
        <w:rPr>
          <w:sz w:val="22"/>
          <w:szCs w:val="22"/>
        </w:rPr>
        <w:t>April 2013</w:t>
      </w:r>
    </w:p>
    <w:p w:rsidRPr="0021053C" w:rsidR="001F622B">
      <w:pPr>
        <w:rPr>
          <w:rFonts w:ascii="Verdana" w:hAnsi="Verdana" w:cs="Verdana"/>
          <w:sz w:val="18"/>
          <w:szCs w:val="18"/>
        </w:rPr>
      </w:pPr>
    </w:p>
    <w:sectPr w:rsidSect="00760FB9">
      <w:footerReference w:type="even" r:id="rId6"/>
      <w:footerReference w:type="default" r:id="rId7"/>
      <w:pgSz w:w="12240" w:h="15840"/>
      <w:pgMar w:top="1417" w:right="1417" w:bottom="1417" w:left="1417" w:header="708" w:footer="708" w:gutter="0"/>
      <w:cols w:space="708"/>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CD" w:rsidP="002F7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7ECD" w:rsidP="00013C3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CD" w:rsidP="002F7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68DF">
      <w:rPr>
        <w:rStyle w:val="PageNumber"/>
        <w:noProof/>
      </w:rPr>
      <w:t>6</w:t>
    </w:r>
    <w:r>
      <w:rPr>
        <w:rStyle w:val="PageNumber"/>
      </w:rPr>
      <w:fldChar w:fldCharType="end"/>
    </w:r>
  </w:p>
  <w:p w:rsidR="00457ECD" w:rsidP="00013C39">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2438"/>
    <w:multiLevelType w:val="hybridMultilevel"/>
    <w:tmpl w:val="890AD07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4CF1859"/>
    <w:multiLevelType w:val="hybridMultilevel"/>
    <w:tmpl w:val="B2DC53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0E63EE"/>
    <w:multiLevelType w:val="hybridMultilevel"/>
    <w:tmpl w:val="98B24C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50A59A9"/>
    <w:multiLevelType w:val="hybridMultilevel"/>
    <w:tmpl w:val="463CEE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A427DF"/>
    <w:multiLevelType w:val="hybridMultilevel"/>
    <w:tmpl w:val="3D8A5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C31A88"/>
    <w:multiLevelType w:val="hybridMultilevel"/>
    <w:tmpl w:val="3C2A933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7133A85"/>
    <w:multiLevelType w:val="hybridMultilevel"/>
    <w:tmpl w:val="73062E8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9CA5A55"/>
    <w:multiLevelType w:val="hybridMultilevel"/>
    <w:tmpl w:val="7E563C9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82C3423"/>
    <w:multiLevelType w:val="multilevel"/>
    <w:tmpl w:val="6C8250A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A3A74DA"/>
    <w:multiLevelType w:val="hybridMultilevel"/>
    <w:tmpl w:val="67360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AD953CD"/>
    <w:multiLevelType w:val="hybridMultilevel"/>
    <w:tmpl w:val="9D4ABD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FB94DF1"/>
    <w:multiLevelType w:val="hybridMultilevel"/>
    <w:tmpl w:val="D400C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EDD49F6"/>
    <w:multiLevelType w:val="hybridMultilevel"/>
    <w:tmpl w:val="67360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2"/>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1"/>
  </w:num>
  <w:num w:numId="11">
    <w:abstractNumId w:val="4"/>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trackRevisions/>
  <w:doNotTrackMoves/>
  <w:documentProtection w:edit="readOnly" w:enforcement="1" w:cryptProviderType="rsaFull" w:cryptAlgorithmClass="hash" w:cryptAlgorithmType="typeAny" w:cryptAlgorithmSid="4" w:cryptSpinCount="50000" w:hash="iIMI9pcDi7dA9WJdSAjYMcrUgto=&#10;" w:salt="hIqOl99kIr/+N0hyovEq7Q==&#10;"/>
  <w:defaultTabStop w:val="720"/>
  <w:hyphenationZone w:val="425"/>
  <w:characterSpacingControl w:val="doNotCompress"/>
  <w:doNotValidateAgainstSchema/>
  <w:doNotDemarcateInvalidXml/>
  <w:compat>
    <w:useFELayout/>
  </w:compat>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FB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VoetnoottekstChar"/>
    <w:uiPriority w:val="99"/>
    <w:semiHidden/>
    <w:rsid w:val="00FF4304"/>
    <w:rPr>
      <w:rFonts w:ascii="Arial" w:hAnsi="Arial" w:cs="Arial"/>
      <w:b/>
      <w:bCs/>
      <w:lang w:eastAsia="en-US"/>
    </w:rPr>
  </w:style>
  <w:style w:type="character" w:customStyle="1" w:styleId="VoetnoottekstChar">
    <w:name w:val="Voetnoottekst Char"/>
    <w:basedOn w:val="DefaultParagraphFont"/>
    <w:link w:val="FootnoteText"/>
    <w:uiPriority w:val="99"/>
    <w:semiHidden/>
    <w:rsid w:val="00FF4304"/>
    <w:rPr>
      <w:rFonts w:ascii="Arial" w:hAnsi="Arial" w:cs="Arial"/>
      <w:b/>
      <w:bCs/>
      <w:lang w:eastAsia="en-US"/>
    </w:rPr>
  </w:style>
  <w:style w:type="character" w:styleId="FootnoteReference">
    <w:name w:val="footnote reference"/>
    <w:basedOn w:val="DefaultParagraphFont"/>
    <w:uiPriority w:val="99"/>
    <w:semiHidden/>
    <w:rsid w:val="00FF4304"/>
    <w:rPr>
      <w:vertAlign w:val="superscript"/>
    </w:rPr>
  </w:style>
  <w:style w:type="paragraph" w:styleId="BalloonText">
    <w:name w:val="Balloon Text"/>
    <w:basedOn w:val="Normal"/>
    <w:link w:val="BallontekstChar"/>
    <w:uiPriority w:val="99"/>
    <w:semiHidden/>
    <w:rsid w:val="00FF4304"/>
    <w:rPr>
      <w:rFonts w:ascii="Tahoma" w:hAnsi="Tahoma" w:cs="Tahoma"/>
      <w:sz w:val="16"/>
      <w:szCs w:val="16"/>
    </w:rPr>
  </w:style>
  <w:style w:type="character" w:customStyle="1" w:styleId="BallontekstChar">
    <w:name w:val="Ballontekst Char"/>
    <w:basedOn w:val="DefaultParagraphFont"/>
    <w:link w:val="BalloonText"/>
    <w:uiPriority w:val="99"/>
    <w:semiHidden/>
    <w:rsid w:val="00FF4304"/>
    <w:rPr>
      <w:rFonts w:ascii="Tahoma" w:hAnsi="Tahoma" w:cs="Tahoma"/>
      <w:sz w:val="16"/>
      <w:szCs w:val="16"/>
    </w:rPr>
  </w:style>
  <w:style w:type="character" w:styleId="CommentReference">
    <w:name w:val="annotation reference"/>
    <w:basedOn w:val="DefaultParagraphFont"/>
    <w:uiPriority w:val="99"/>
    <w:semiHidden/>
    <w:rsid w:val="00FF4304"/>
    <w:rPr>
      <w:sz w:val="16"/>
      <w:szCs w:val="16"/>
    </w:rPr>
  </w:style>
  <w:style w:type="paragraph" w:styleId="CommentText">
    <w:name w:val="annotation text"/>
    <w:basedOn w:val="Normal"/>
    <w:link w:val="TekstopmerkingChar"/>
    <w:uiPriority w:val="99"/>
    <w:semiHidden/>
    <w:rsid w:val="00FF4304"/>
  </w:style>
  <w:style w:type="character" w:customStyle="1" w:styleId="TekstopmerkingChar">
    <w:name w:val="Tekst opmerking Char"/>
    <w:basedOn w:val="DefaultParagraphFont"/>
    <w:link w:val="CommentText"/>
    <w:uiPriority w:val="99"/>
    <w:semiHidden/>
    <w:rsid w:val="00FF4304"/>
  </w:style>
  <w:style w:type="paragraph" w:styleId="CommentSubject">
    <w:name w:val="annotation subject"/>
    <w:basedOn w:val="CommentText"/>
    <w:next w:val="CommentText"/>
    <w:link w:val="OnderwerpvanopmerkingChar"/>
    <w:uiPriority w:val="99"/>
    <w:semiHidden/>
    <w:rsid w:val="00FF4304"/>
    <w:rPr>
      <w:b/>
      <w:bCs/>
    </w:rPr>
  </w:style>
  <w:style w:type="character" w:customStyle="1" w:styleId="OnderwerpvanopmerkingChar">
    <w:name w:val="Onderwerp van opmerking Char"/>
    <w:basedOn w:val="TekstopmerkingChar"/>
    <w:link w:val="CommentSubject"/>
    <w:uiPriority w:val="99"/>
    <w:semiHidden/>
    <w:rsid w:val="00FF4304"/>
    <w:rPr>
      <w:b/>
      <w:bCs/>
    </w:rPr>
  </w:style>
  <w:style w:type="paragraph" w:styleId="ListParagraph">
    <w:name w:val="List Paragraph"/>
    <w:basedOn w:val="Normal"/>
    <w:uiPriority w:val="99"/>
    <w:qFormat/>
    <w:rsid w:val="00A85E17"/>
    <w:pPr>
      <w:ind w:left="720"/>
      <w:contextualSpacing/>
    </w:pPr>
  </w:style>
  <w:style w:type="character" w:styleId="Hyperlink">
    <w:name w:val="Hyperlink"/>
    <w:basedOn w:val="DefaultParagraphFont"/>
    <w:uiPriority w:val="99"/>
    <w:rsid w:val="0074120C"/>
    <w:rPr>
      <w:color w:val="0000FF"/>
      <w:u w:val="single"/>
    </w:rPr>
  </w:style>
  <w:style w:type="paragraph" w:styleId="Footer">
    <w:name w:val="footer"/>
    <w:basedOn w:val="Normal"/>
    <w:link w:val="VoettekstChar"/>
    <w:uiPriority w:val="99"/>
    <w:rsid w:val="00013C39"/>
    <w:pPr>
      <w:tabs>
        <w:tab w:val="center" w:pos="4703"/>
        <w:tab w:val="right" w:pos="9406"/>
      </w:tabs>
    </w:pPr>
  </w:style>
  <w:style w:type="character" w:customStyle="1" w:styleId="VoettekstChar">
    <w:name w:val="Voettekst Char"/>
    <w:basedOn w:val="DefaultParagraphFont"/>
    <w:link w:val="Footer"/>
    <w:uiPriority w:val="99"/>
    <w:semiHidden/>
    <w:rsid w:val="00CB73FF"/>
    <w:rPr>
      <w:sz w:val="20"/>
      <w:szCs w:val="20"/>
    </w:rPr>
  </w:style>
  <w:style w:type="character" w:styleId="PageNumber">
    <w:name w:val="page number"/>
    <w:basedOn w:val="DefaultParagraphFont"/>
    <w:uiPriority w:val="99"/>
    <w:rsid w:val="00013C39"/>
  </w:style>
</w:styles>
</file>

<file path=word/webSettings.xml><?xml version="1.0" encoding="utf-8"?>
<w:webSettings xmlns:r="http://schemas.openxmlformats.org/officeDocument/2006/relationships" xmlns:w="http://schemas.openxmlformats.org/wordprocessingml/2006/main">
  <w:optimizeForBrowser/>
  <w:doNotRelyOnCSS/>
  <w:doNotOrganizeInFold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3" /><Relationship Type="http://schemas.openxmlformats.org/officeDocument/2006/relationships/footer" Target="footer2.xml" Id="rId7" /><Relationship Type="http://schemas.openxmlformats.org/officeDocument/2006/relationships/webSettings" Target="webSettings.xml" Id="rId2" /><Relationship Type="http://schemas.openxmlformats.org/officeDocument/2006/relationships/settings" Target="settings.xml" Id="rId1" /><Relationship Type="http://schemas.openxmlformats.org/officeDocument/2006/relationships/footer" Target="footer1.xml" Id="rId6" /><Relationship Type="http://schemas.openxmlformats.org/officeDocument/2006/relationships/image" Target="media/image1.jpeg" Id="rId5" /><Relationship Type="http://schemas.openxmlformats.org/officeDocument/2006/relationships/styles" Target="styles.xml" Id="rId10" /><Relationship Type="http://schemas.openxmlformats.org/officeDocument/2006/relationships/numbering" Target="numbering.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2903</ap:Words>
  <ap:Characters>16574</ap:Characters>
  <ap:DocSecurity>8</ap:DocSecurity>
  <ap:Lines>138</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2013-05-17T13:49:00.0000000Z</lastPrinted>
  <dcterms:created xsi:type="dcterms:W3CDTF">2013-05-16T08:14:00.0000000Z</dcterms:created>
  <dcterms:modified xsi:type="dcterms:W3CDTF">2013-05-17T14:01:00.0000000Z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0x0101001AFDBC14FF2FF84C8A6C37AECFEAD192</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