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png" ContentType="image/png"/>
  <Override PartName="/word/footnotes.xml" ContentType="application/vnd.openxmlformats-officedocument.wordprocessingml.footnotes+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charts/chart4.xml" ContentType="application/vnd.openxmlformats-officedocument.drawingml.chart+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Override PartName="/word/theme/themeOverride4.xml" ContentType="application/vnd.openxmlformats-officedocument.themeOverrid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c="http://schemas.openxmlformats.org/drawingml/2006/char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2247D4" w:rsidR="0017230C" w:rsidP="0016573E" w:rsidRDefault="002247D4">
      <w:pPr>
        <w:pStyle w:val="Huisstijl-Extrasubtitel"/>
      </w:pPr>
      <w:r w:rsidRPr="002247D4">
        <w:t>Beleidsdoorlichting letselpreventie 2008 - 2012</w:t>
      </w:r>
    </w:p>
    <w:p w:rsidR="0017230C" w:rsidP="0016573E" w:rsidRDefault="002247D4">
      <w:pPr>
        <w:spacing w:line="240" w:lineRule="auto"/>
      </w:pPr>
      <w:r>
        <w:t>April 2013</w:t>
      </w:r>
      <w:r w:rsidR="0017230C">
        <w:br w:type="page"/>
      </w:r>
    </w:p>
    <w:p w:rsidRPr="00F37876" w:rsidR="00DA3FE9" w:rsidP="0016573E" w:rsidRDefault="00DA3FE9">
      <w:pPr>
        <w:pStyle w:val="Huisstijl-Datumenbetreft"/>
        <w:tabs>
          <w:tab w:val="clear" w:pos="1117"/>
          <w:tab w:val="left" w:pos="1134"/>
        </w:tabs>
      </w:pPr>
    </w:p>
    <w:p w:rsidRPr="00F37876" w:rsidR="00DA3FE9" w:rsidP="0016573E" w:rsidRDefault="00DA3FE9">
      <w:pPr>
        <w:tabs>
          <w:tab w:val="left" w:pos="1134"/>
        </w:tabs>
      </w:pPr>
    </w:p>
    <w:p w:rsidRPr="00F37876" w:rsidR="00DA3FE9" w:rsidP="0016573E" w:rsidRDefault="00DA3FE9"/>
    <w:p w:rsidRPr="00F37876" w:rsidR="00DA3FE9" w:rsidP="0016573E" w:rsidRDefault="00DA3FE9">
      <w:pPr>
        <w:sectPr w:rsidRPr="00F37876" w:rsidR="00DA3FE9">
          <w:headerReference w:type="default" r:id="rId8"/>
          <w:type w:val="oddPage"/>
          <w:pgSz w:w="11905" w:h="16837" w:code="9"/>
          <w:pgMar w:top="3856" w:right="2778" w:bottom="1134" w:left="3232" w:header="2750" w:footer="709" w:gutter="0"/>
          <w:cols w:space="708"/>
          <w:docGrid w:linePitch="326"/>
        </w:sectPr>
      </w:pPr>
    </w:p>
    <w:p w:rsidRPr="00F37876" w:rsidR="00DA3FE9" w:rsidP="00FF6874" w:rsidRDefault="00814CDB">
      <w:pPr>
        <w:pStyle w:val="Huisstijl-Titel"/>
        <w:ind w:right="-2"/>
      </w:pPr>
      <w:bookmarkStart w:name="_Toc351626656" w:id="0"/>
      <w:r>
        <w:lastRenderedPageBreak/>
        <w:t>Management-samenvatting</w:t>
      </w:r>
      <w:bookmarkEnd w:id="0"/>
    </w:p>
    <w:p w:rsidR="00484C98" w:rsidP="00FF6874" w:rsidRDefault="002F7DAC">
      <w:pPr>
        <w:ind w:right="-2"/>
      </w:pPr>
      <w:r>
        <w:t>D</w:t>
      </w:r>
      <w:r w:rsidR="00484C98">
        <w:t xml:space="preserve">it rapport </w:t>
      </w:r>
      <w:r>
        <w:t xml:space="preserve">bevat </w:t>
      </w:r>
      <w:r w:rsidR="00484C98">
        <w:t xml:space="preserve">de beleidsdoorlichting letselpreventie dat valt onder artikel 1 </w:t>
      </w:r>
      <w:r w:rsidR="00654536">
        <w:t xml:space="preserve">(voorheen artikel 41) </w:t>
      </w:r>
      <w:r w:rsidR="00484C98">
        <w:t>Volksgezondheid van het ministerie van V</w:t>
      </w:r>
      <w:r w:rsidR="00B2785A">
        <w:t xml:space="preserve">olksgezondheid, </w:t>
      </w:r>
      <w:r w:rsidR="00484C98">
        <w:t>W</w:t>
      </w:r>
      <w:r w:rsidR="00B2785A">
        <w:t xml:space="preserve">elzijn en </w:t>
      </w:r>
      <w:r w:rsidR="00484C98">
        <w:t>S</w:t>
      </w:r>
      <w:r w:rsidR="00B2785A">
        <w:t>port</w:t>
      </w:r>
      <w:r w:rsidR="00484C98">
        <w:t>. Het betreft een doorlichting voor de jaren 2008 tot en met 2012. Deze beleidsdoorlichting is gecombineerd met de voorgenomen evaluatie van de beleidsbrief letselpreventie 2008-2012.</w:t>
      </w:r>
      <w:r>
        <w:t xml:space="preserve"> </w:t>
      </w:r>
    </w:p>
    <w:p w:rsidR="00A90D19" w:rsidP="00FF6874" w:rsidRDefault="00A90D19">
      <w:pPr>
        <w:ind w:right="-2"/>
      </w:pPr>
    </w:p>
    <w:p w:rsidRPr="00F613F9" w:rsidR="00F613F9" w:rsidP="00FF6874" w:rsidRDefault="00F613F9">
      <w:pPr>
        <w:ind w:right="-2"/>
        <w:rPr>
          <w:b/>
        </w:rPr>
      </w:pPr>
      <w:r>
        <w:rPr>
          <w:b/>
        </w:rPr>
        <w:t>Aanleiding</w:t>
      </w:r>
      <w:r w:rsidR="009D305C">
        <w:rPr>
          <w:b/>
        </w:rPr>
        <w:t xml:space="preserve"> letselpreventiebeleid</w:t>
      </w:r>
      <w:r>
        <w:rPr>
          <w:b/>
        </w:rPr>
        <w:t xml:space="preserve"> </w:t>
      </w:r>
    </w:p>
    <w:p w:rsidR="000B63E0" w:rsidP="00FF6874" w:rsidRDefault="000B63E0">
      <w:pPr>
        <w:ind w:right="-2"/>
      </w:pPr>
      <w:r w:rsidRPr="0056616B">
        <w:t>Ongevallen, geweld en suïcidaal gedrag leiden tot een breed scala aan kleine en grote letsels van verstuikte enkels</w:t>
      </w:r>
      <w:r>
        <w:t xml:space="preserve">, </w:t>
      </w:r>
      <w:r w:rsidRPr="0056616B">
        <w:t xml:space="preserve">kleine snijwonden tot hersenletsel en sterfte. Alles bij elkaar vormen letsels een substantieel volksgezondheidsprobleem. </w:t>
      </w:r>
      <w:r>
        <w:t>Uit het RIVM Themarapport ‘Let op letsels’ dat in 2008 verscheen, bl</w:t>
      </w:r>
      <w:r w:rsidR="0029553A">
        <w:t>ijkt</w:t>
      </w:r>
      <w:r>
        <w:t xml:space="preserve"> dat op de spoedeisende hulp (SEH) afdelingen van ziekenhuizen jaar</w:t>
      </w:r>
      <w:r w:rsidR="0029553A">
        <w:t>lijks</w:t>
      </w:r>
      <w:r>
        <w:t xml:space="preserve"> bijna 900.000 letsels w</w:t>
      </w:r>
      <w:r w:rsidR="0029553A">
        <w:t>o</w:t>
      </w:r>
      <w:r>
        <w:t xml:space="preserve">rden behandeld en </w:t>
      </w:r>
      <w:r w:rsidR="0029553A">
        <w:t xml:space="preserve">dat daarvan </w:t>
      </w:r>
      <w:r>
        <w:t xml:space="preserve">in 120.000 gevallen ziekenhuisopname noodzakelijk </w:t>
      </w:r>
      <w:r w:rsidR="0029553A">
        <w:t>is vanwege de ernst</w:t>
      </w:r>
      <w:r>
        <w:t xml:space="preserve">. </w:t>
      </w:r>
      <w:r w:rsidR="0029553A">
        <w:t xml:space="preserve">Jaarlijks sterven </w:t>
      </w:r>
      <w:r>
        <w:t>ongeveer 5.300 mensen door een ongeval of opzettelijk toegebracht letsel. Letsels kosten de samenleving tenminste 3,6 miljard euro per jaar (gemiddelde over de periode 2001-2005). Letsels hebben per definitie een externe oorzaak</w:t>
      </w:r>
      <w:r w:rsidR="0029553A">
        <w:t>. H</w:t>
      </w:r>
      <w:r>
        <w:t>ierdoor ontstaat een belangrijk uitgangspunt voor preventie van letsels, namelijk dat letsels (grotendeels) vermijdbaar zijn. Aangezien letsels veel voorkomen</w:t>
      </w:r>
      <w:r w:rsidR="001643C5">
        <w:t>,</w:t>
      </w:r>
      <w:r>
        <w:t xml:space="preserve"> kan preventie van letsels daarom veel opleveren.</w:t>
      </w:r>
    </w:p>
    <w:p w:rsidR="000B63E0" w:rsidP="00FF6874" w:rsidRDefault="000B63E0">
      <w:pPr>
        <w:ind w:right="-2"/>
      </w:pPr>
    </w:p>
    <w:p w:rsidRPr="009D305C" w:rsidR="009D305C" w:rsidP="00FF6874" w:rsidRDefault="009D305C">
      <w:pPr>
        <w:ind w:right="-2"/>
        <w:rPr>
          <w:b/>
        </w:rPr>
      </w:pPr>
      <w:r>
        <w:rPr>
          <w:b/>
        </w:rPr>
        <w:t>Verantwoordelijkheid rijksoverheid</w:t>
      </w:r>
    </w:p>
    <w:p w:rsidR="000B63E0" w:rsidP="00FF6874" w:rsidRDefault="000B63E0">
      <w:pPr>
        <w:pStyle w:val="Huisstijl-Colofon"/>
        <w:ind w:right="-2"/>
      </w:pPr>
      <w:r w:rsidRPr="001507F2">
        <w:t>Preventie van letsels door ongevallen, geweld en suïcide levert een bedrage aan de gezonde levensverwachting en het voorkomen van vermijdbare sterfte en is daarmee een belangrijk onderdeel van het volksgezondheidsbeleid.</w:t>
      </w:r>
      <w:r>
        <w:t xml:space="preserve"> </w:t>
      </w:r>
      <w:r w:rsidR="00B0707A">
        <w:t xml:space="preserve">De overheid is verantwoordelijk om burgers te beschermen tegen risico’s waar ze geen invloed op hebben. </w:t>
      </w:r>
      <w:r w:rsidRPr="000C7D5F" w:rsidR="0029553A">
        <w:rPr>
          <w:szCs w:val="18"/>
        </w:rPr>
        <w:t xml:space="preserve">Burgers hebben </w:t>
      </w:r>
      <w:r w:rsidR="00B0707A">
        <w:rPr>
          <w:szCs w:val="18"/>
        </w:rPr>
        <w:t xml:space="preserve">daarnaast </w:t>
      </w:r>
      <w:r w:rsidRPr="000C7D5F" w:rsidR="0029553A">
        <w:rPr>
          <w:szCs w:val="18"/>
        </w:rPr>
        <w:t xml:space="preserve">een eigen verantwoordelijkheid om zich te beschermen tegen risico’s die ze zelf kunnen beperken. Dat neemt niet weg dat de overheid door gerichte voorlichting en </w:t>
      </w:r>
      <w:r w:rsidR="00650A6A">
        <w:rPr>
          <w:szCs w:val="18"/>
        </w:rPr>
        <w:t>bevordering van gezond gedrag</w:t>
      </w:r>
      <w:r w:rsidRPr="000C7D5F" w:rsidR="0029553A">
        <w:rPr>
          <w:szCs w:val="18"/>
        </w:rPr>
        <w:t xml:space="preserve"> onnodig letsel kan beperken. </w:t>
      </w:r>
      <w:r w:rsidR="0029553A">
        <w:t>L</w:t>
      </w:r>
      <w:r w:rsidRPr="001507F2">
        <w:t xml:space="preserve">etsels zijn niet alleen een probleem uit het oogpunt van volksgezondheid. Ook vanuit het oogpunt van maatschappelijke participatie (arbeid, sport, etc.), mobiliteit en veiligheid is het voorkomen van ongevallen en opzettelijk toegebracht letsel (geweld, suïcide) van belang. Dit betekent dat </w:t>
      </w:r>
      <w:r>
        <w:t xml:space="preserve">het </w:t>
      </w:r>
      <w:r w:rsidRPr="001507F2">
        <w:t xml:space="preserve">rijksoverheidbeleid </w:t>
      </w:r>
      <w:r w:rsidR="0029553A">
        <w:t xml:space="preserve">en de rijksverantwoordelijkheid ten </w:t>
      </w:r>
      <w:r w:rsidRPr="001507F2">
        <w:t xml:space="preserve">aanzien van letselpreventie </w:t>
      </w:r>
      <w:r>
        <w:t>verdeeld</w:t>
      </w:r>
      <w:r w:rsidRPr="001507F2">
        <w:t xml:space="preserve"> is over meerdere ministeries.</w:t>
      </w:r>
    </w:p>
    <w:p w:rsidR="00484C98" w:rsidP="00FF6874" w:rsidRDefault="00484C98">
      <w:pPr>
        <w:ind w:right="-2"/>
      </w:pPr>
    </w:p>
    <w:p w:rsidRPr="009D305C" w:rsidR="009D305C" w:rsidP="00FF6874" w:rsidRDefault="009D305C">
      <w:pPr>
        <w:ind w:right="-2"/>
        <w:rPr>
          <w:b/>
        </w:rPr>
      </w:pPr>
      <w:r>
        <w:rPr>
          <w:b/>
        </w:rPr>
        <w:t>Rollen rijksoverheid</w:t>
      </w:r>
    </w:p>
    <w:p w:rsidR="000B63E0" w:rsidP="00FF6874" w:rsidRDefault="000B63E0">
      <w:pPr>
        <w:ind w:right="-2"/>
      </w:pPr>
      <w:r>
        <w:t xml:space="preserve">Voor letselpreventiebeleid zijn er drie rollen te onderscheiden voor de overheid, waarbij de zwaarte van de rollen onderling verschilt. De eerste overheidsrol </w:t>
      </w:r>
      <w:r w:rsidRPr="001507F2">
        <w:t xml:space="preserve">is </w:t>
      </w:r>
      <w:r w:rsidRPr="000D60C9">
        <w:rPr>
          <w:u w:val="single"/>
        </w:rPr>
        <w:t>bescherming van burgers</w:t>
      </w:r>
      <w:r>
        <w:t>. Dit gebeurt</w:t>
      </w:r>
      <w:r w:rsidRPr="001507F2">
        <w:t xml:space="preserve"> door eisen te stellen aan producten en infrastructuur</w:t>
      </w:r>
      <w:r>
        <w:t xml:space="preserve">; taken, verantwoordelijkheden en </w:t>
      </w:r>
      <w:r w:rsidRPr="001507F2">
        <w:t>bevoegdheden</w:t>
      </w:r>
      <w:r>
        <w:t xml:space="preserve"> vast te leggen en de uitvoering van wet- en regelgeving op dit vlak te controleren</w:t>
      </w:r>
      <w:r w:rsidRPr="001507F2">
        <w:t xml:space="preserve">. </w:t>
      </w:r>
      <w:r>
        <w:t xml:space="preserve">Er is veel sturing vanuit de Europese Unie ten aanzien van deze rol. </w:t>
      </w:r>
      <w:r w:rsidRPr="001507F2">
        <w:t xml:space="preserve">Ten tweede heeft de rijksoverheid een </w:t>
      </w:r>
      <w:r w:rsidRPr="000D60C9">
        <w:rPr>
          <w:u w:val="single"/>
        </w:rPr>
        <w:t>stimulerende en faciliterende rol</w:t>
      </w:r>
      <w:r w:rsidRPr="001507F2">
        <w:t xml:space="preserve"> in de preventie van letsels</w:t>
      </w:r>
      <w:r>
        <w:t xml:space="preserve"> door </w:t>
      </w:r>
      <w:r w:rsidR="002513EB">
        <w:t>bevordering van gezond gedrag</w:t>
      </w:r>
      <w:r w:rsidRPr="001507F2">
        <w:t xml:space="preserve">. Het gaat hierbij om het verbinden van partijen in het veld ter ontwikkeling en/of uitvoering van activiteiten </w:t>
      </w:r>
      <w:r>
        <w:t xml:space="preserve">op het terrein </w:t>
      </w:r>
      <w:r w:rsidRPr="001507F2">
        <w:t>van letselpreventie</w:t>
      </w:r>
      <w:r>
        <w:t>;</w:t>
      </w:r>
      <w:r w:rsidRPr="001507F2">
        <w:t xml:space="preserve"> het (late</w:t>
      </w:r>
      <w:r>
        <w:t xml:space="preserve">n) ontwikkelen van instrumenten als interventies, richtlijnen en (zorg)protocollen; en </w:t>
      </w:r>
      <w:r w:rsidRPr="001507F2">
        <w:t xml:space="preserve">het </w:t>
      </w:r>
      <w:r>
        <w:t xml:space="preserve">landelijk </w:t>
      </w:r>
      <w:r w:rsidRPr="001507F2">
        <w:t>beschikbaar stellen van kwalitatief goede informatie over</w:t>
      </w:r>
      <w:r>
        <w:t xml:space="preserve"> </w:t>
      </w:r>
      <w:r w:rsidRPr="001507F2">
        <w:t xml:space="preserve">instrumenten </w:t>
      </w:r>
      <w:r>
        <w:t xml:space="preserve">die </w:t>
      </w:r>
      <w:r w:rsidR="002513EB">
        <w:t xml:space="preserve">gezond </w:t>
      </w:r>
      <w:r>
        <w:t>gedrag kunnen</w:t>
      </w:r>
      <w:r w:rsidR="002513EB">
        <w:t xml:space="preserve"> bevorderen</w:t>
      </w:r>
      <w:r>
        <w:t xml:space="preserve">. </w:t>
      </w:r>
      <w:r w:rsidRPr="001507F2">
        <w:t xml:space="preserve">Ten derde heeft de rijksoverheid </w:t>
      </w:r>
      <w:r w:rsidRPr="001507F2">
        <w:lastRenderedPageBreak/>
        <w:t xml:space="preserve">een </w:t>
      </w:r>
      <w:r w:rsidRPr="000D60C9">
        <w:rPr>
          <w:u w:val="single"/>
        </w:rPr>
        <w:t>coördinerende ro</w:t>
      </w:r>
      <w:r w:rsidRPr="001507F2">
        <w:t>l. Zowel binnen een bepaald domein</w:t>
      </w:r>
      <w:r>
        <w:t xml:space="preserve"> als</w:t>
      </w:r>
      <w:r w:rsidRPr="001507F2">
        <w:t xml:space="preserve"> tussen de verschillende domeinen</w:t>
      </w:r>
      <w:r w:rsidR="001643C5">
        <w:t xml:space="preserve"> </w:t>
      </w:r>
      <w:r w:rsidRPr="001507F2" w:rsidR="001643C5">
        <w:t>(zoals verkeer, geweld, privéongevallen</w:t>
      </w:r>
      <w:r w:rsidR="001643C5">
        <w:t>)</w:t>
      </w:r>
      <w:r w:rsidRPr="001507F2">
        <w:t>. De minister van VWS heeft</w:t>
      </w:r>
      <w:r w:rsidR="00650A6A">
        <w:t xml:space="preserve"> </w:t>
      </w:r>
      <w:r>
        <w:t xml:space="preserve">deze </w:t>
      </w:r>
      <w:r w:rsidRPr="001507F2">
        <w:t>regierol op zich genomen voor afstemming tussen de</w:t>
      </w:r>
      <w:r>
        <w:t xml:space="preserve"> verschillende domeinen en het bevorderen van verbindingen en samenwerking waar deze zinvol zijn. Deze coördinerende rol geldt ook voor de Nederlandse inbreng in internationale fora. </w:t>
      </w:r>
    </w:p>
    <w:p w:rsidR="00484C98" w:rsidP="00FF6874" w:rsidRDefault="00484C98">
      <w:pPr>
        <w:ind w:right="-2"/>
      </w:pPr>
    </w:p>
    <w:p w:rsidRPr="00F613F9" w:rsidR="00F613F9" w:rsidP="00FF6874" w:rsidRDefault="00F613F9">
      <w:pPr>
        <w:ind w:right="-2"/>
        <w:rPr>
          <w:b/>
        </w:rPr>
      </w:pPr>
      <w:r>
        <w:rPr>
          <w:b/>
        </w:rPr>
        <w:t>Beleidsdoelstellingen</w:t>
      </w:r>
    </w:p>
    <w:p w:rsidRPr="000B6884" w:rsidR="009D305C" w:rsidP="00FF6874" w:rsidRDefault="009D305C">
      <w:pPr>
        <w:ind w:right="-2"/>
      </w:pPr>
      <w:r>
        <w:rPr>
          <w:szCs w:val="18"/>
        </w:rPr>
        <w:t>De beleidsdoe</w:t>
      </w:r>
      <w:r w:rsidR="001643C5">
        <w:rPr>
          <w:szCs w:val="18"/>
        </w:rPr>
        <w:t>lstelling voor letselpreventie wa</w:t>
      </w:r>
      <w:r>
        <w:rPr>
          <w:szCs w:val="18"/>
        </w:rPr>
        <w:t xml:space="preserve">s als </w:t>
      </w:r>
      <w:r w:rsidR="00650A6A">
        <w:rPr>
          <w:szCs w:val="18"/>
        </w:rPr>
        <w:t>volgt</w:t>
      </w:r>
      <w:r>
        <w:rPr>
          <w:szCs w:val="18"/>
        </w:rPr>
        <w:t xml:space="preserve"> geoperationaliseerd: </w:t>
      </w:r>
      <w:r w:rsidRPr="000B6884" w:rsidR="000B6884">
        <w:rPr>
          <w:szCs w:val="18"/>
        </w:rPr>
        <w:t>‘</w:t>
      </w:r>
      <w:r w:rsidRPr="000B6884">
        <w:rPr>
          <w:szCs w:val="18"/>
        </w:rPr>
        <w:t>het voorkomen van gezondheidsschade door ongevallen</w:t>
      </w:r>
      <w:r w:rsidRPr="000B6884" w:rsidR="000B6884">
        <w:rPr>
          <w:szCs w:val="18"/>
        </w:rPr>
        <w:t>’</w:t>
      </w:r>
      <w:r w:rsidRPr="000B6884" w:rsidR="00650A6A">
        <w:rPr>
          <w:szCs w:val="18"/>
        </w:rPr>
        <w:t>.</w:t>
      </w:r>
      <w:r w:rsidRPr="000B6884">
        <w:rPr>
          <w:szCs w:val="18"/>
        </w:rPr>
        <w:t xml:space="preserve"> </w:t>
      </w:r>
      <w:r w:rsidRPr="000B6884" w:rsidR="00650A6A">
        <w:rPr>
          <w:szCs w:val="18"/>
        </w:rPr>
        <w:t>De motivering van</w:t>
      </w:r>
      <w:r w:rsidR="00650A6A">
        <w:rPr>
          <w:szCs w:val="18"/>
        </w:rPr>
        <w:t xml:space="preserve"> deze doelstelling is het beschermen van de consument tegen gezondheidsschade als gevolg van ongevallen</w:t>
      </w:r>
      <w:r w:rsidRPr="000C7D5F" w:rsidR="00650A6A">
        <w:rPr>
          <w:szCs w:val="18"/>
        </w:rPr>
        <w:t xml:space="preserve">. </w:t>
      </w:r>
      <w:r w:rsidRPr="00CE5144" w:rsidR="00650A6A">
        <w:rPr>
          <w:szCs w:val="18"/>
        </w:rPr>
        <w:t>De doelstelling</w:t>
      </w:r>
      <w:r w:rsidR="00650A6A">
        <w:rPr>
          <w:szCs w:val="18"/>
        </w:rPr>
        <w:t xml:space="preserve"> kan worden opgesplitst </w:t>
      </w:r>
      <w:r w:rsidR="00C65383">
        <w:rPr>
          <w:szCs w:val="18"/>
        </w:rPr>
        <w:t>in</w:t>
      </w:r>
      <w:r w:rsidRPr="00CE5144" w:rsidR="00650A6A">
        <w:rPr>
          <w:szCs w:val="18"/>
        </w:rPr>
        <w:t xml:space="preserve"> twee subdoelstellingen:</w:t>
      </w:r>
      <w:r w:rsidR="00650A6A">
        <w:rPr>
          <w:szCs w:val="18"/>
        </w:rPr>
        <w:t xml:space="preserve"> </w:t>
      </w:r>
      <w:r w:rsidR="001643C5">
        <w:rPr>
          <w:szCs w:val="18"/>
        </w:rPr>
        <w:t>‘</w:t>
      </w:r>
      <w:r w:rsidR="00650A6A">
        <w:rPr>
          <w:szCs w:val="18"/>
        </w:rPr>
        <w:t>het bevorderen van een veilige en gezonde omgeving en omstandigheden</w:t>
      </w:r>
      <w:r w:rsidR="001643C5">
        <w:rPr>
          <w:szCs w:val="18"/>
        </w:rPr>
        <w:t>’</w:t>
      </w:r>
      <w:r w:rsidR="00650A6A">
        <w:rPr>
          <w:szCs w:val="18"/>
        </w:rPr>
        <w:t xml:space="preserve"> en </w:t>
      </w:r>
      <w:r w:rsidR="001643C5">
        <w:rPr>
          <w:szCs w:val="18"/>
        </w:rPr>
        <w:t>‘</w:t>
      </w:r>
      <w:r w:rsidR="00650A6A">
        <w:rPr>
          <w:szCs w:val="18"/>
        </w:rPr>
        <w:t>het bevorderen van veilig en gezond gedrag</w:t>
      </w:r>
      <w:r w:rsidR="001643C5">
        <w:rPr>
          <w:szCs w:val="18"/>
        </w:rPr>
        <w:t>’</w:t>
      </w:r>
      <w:r w:rsidR="00650A6A">
        <w:rPr>
          <w:szCs w:val="18"/>
        </w:rPr>
        <w:t>. I</w:t>
      </w:r>
      <w:r w:rsidRPr="009D305C">
        <w:rPr>
          <w:szCs w:val="18"/>
        </w:rPr>
        <w:t xml:space="preserve">n 2011 </w:t>
      </w:r>
      <w:r>
        <w:rPr>
          <w:szCs w:val="18"/>
        </w:rPr>
        <w:t xml:space="preserve">is de </w:t>
      </w:r>
      <w:r w:rsidR="00650A6A">
        <w:rPr>
          <w:szCs w:val="18"/>
        </w:rPr>
        <w:t xml:space="preserve">doelstelling ondergebracht </w:t>
      </w:r>
      <w:r w:rsidRPr="009D305C">
        <w:rPr>
          <w:szCs w:val="18"/>
        </w:rPr>
        <w:t>in</w:t>
      </w:r>
      <w:r w:rsidR="001643C5">
        <w:rPr>
          <w:szCs w:val="18"/>
        </w:rPr>
        <w:t xml:space="preserve"> de operationele doelstelling</w:t>
      </w:r>
      <w:r>
        <w:rPr>
          <w:szCs w:val="18"/>
        </w:rPr>
        <w:t xml:space="preserve">: </w:t>
      </w:r>
      <w:r w:rsidR="000B6884">
        <w:rPr>
          <w:szCs w:val="18"/>
        </w:rPr>
        <w:t>‘</w:t>
      </w:r>
      <w:r w:rsidRPr="000B6884">
        <w:rPr>
          <w:szCs w:val="18"/>
        </w:rPr>
        <w:t>meer mensen kiezen voor een gezonde leefstijl</w:t>
      </w:r>
      <w:r w:rsidR="000B6884">
        <w:rPr>
          <w:szCs w:val="18"/>
        </w:rPr>
        <w:t>’</w:t>
      </w:r>
      <w:r w:rsidRPr="000B6884">
        <w:rPr>
          <w:szCs w:val="18"/>
        </w:rPr>
        <w:t xml:space="preserve">. </w:t>
      </w:r>
    </w:p>
    <w:p w:rsidR="009D305C" w:rsidP="00FF6874" w:rsidRDefault="009D305C">
      <w:pPr>
        <w:ind w:right="-2"/>
      </w:pPr>
    </w:p>
    <w:p w:rsidRPr="00E10221" w:rsidR="00E10221" w:rsidP="00FF6874" w:rsidRDefault="00F613F9">
      <w:pPr>
        <w:ind w:right="-2"/>
        <w:rPr>
          <w:b/>
        </w:rPr>
      </w:pPr>
      <w:r>
        <w:rPr>
          <w:b/>
        </w:rPr>
        <w:t>Beleidsi</w:t>
      </w:r>
      <w:r w:rsidR="00E10221">
        <w:rPr>
          <w:b/>
        </w:rPr>
        <w:t>nstrumenten</w:t>
      </w:r>
    </w:p>
    <w:p w:rsidRPr="00AB240D" w:rsidR="00E10221" w:rsidP="00FF6874" w:rsidRDefault="00E10221">
      <w:pPr>
        <w:ind w:right="-2"/>
      </w:pPr>
      <w:r>
        <w:t xml:space="preserve">VWS heeft een </w:t>
      </w:r>
      <w:r w:rsidR="00F613F9">
        <w:t>aantal beleids</w:t>
      </w:r>
      <w:r>
        <w:t xml:space="preserve">instrumenten die </w:t>
      </w:r>
      <w:r w:rsidR="00F613F9">
        <w:t xml:space="preserve">worden ingezet </w:t>
      </w:r>
      <w:r>
        <w:t xml:space="preserve">ter preventie van letsels door ongevallen, geweld en suïcide. </w:t>
      </w:r>
      <w:r w:rsidR="00F613F9">
        <w:t>H</w:t>
      </w:r>
      <w:r>
        <w:t>et letselpreventiebeleid begint met inzicht in de omvang van de letselproblematiek om besluiten en/of acties te kunnen onderbouwen</w:t>
      </w:r>
      <w:r w:rsidR="009D305C">
        <w:t xml:space="preserve"> (signalering en monitoring)</w:t>
      </w:r>
      <w:r>
        <w:t xml:space="preserve">. Het inzicht kan leiden tot het nemen van maatregelen zoals normering/regelgeving </w:t>
      </w:r>
      <w:r w:rsidR="0029553A">
        <w:t>en/</w:t>
      </w:r>
      <w:r>
        <w:t>of voorlichting en communicatie. Normering en regelgeving vraagt vervolgens om toezicht en handhaving ter bevordering van de naleving.</w:t>
      </w:r>
    </w:p>
    <w:p w:rsidR="00E10221" w:rsidP="00FF6874" w:rsidRDefault="00E10221">
      <w:pPr>
        <w:ind w:right="-2"/>
      </w:pPr>
    </w:p>
    <w:p w:rsidR="000B63E0" w:rsidP="00FF6874" w:rsidRDefault="009D305C">
      <w:pPr>
        <w:ind w:right="-2"/>
        <w:rPr>
          <w:b/>
        </w:rPr>
      </w:pPr>
      <w:r>
        <w:rPr>
          <w:b/>
        </w:rPr>
        <w:t>Financiën</w:t>
      </w:r>
    </w:p>
    <w:p w:rsidR="00CA19B6" w:rsidP="00FF6874" w:rsidRDefault="00CA19B6">
      <w:pPr>
        <w:ind w:right="-2"/>
      </w:pPr>
      <w:r>
        <w:rPr>
          <w:szCs w:val="18"/>
        </w:rPr>
        <w:t>Subsidieverlening aan de stichting VeiligheidNL is de belangrijkste uitgave binnen de operationele doelstelling</w:t>
      </w:r>
      <w:r w:rsidR="001643C5">
        <w:rPr>
          <w:szCs w:val="18"/>
        </w:rPr>
        <w:t xml:space="preserve"> op het gebied van letselpreventie</w:t>
      </w:r>
      <w:r>
        <w:rPr>
          <w:szCs w:val="18"/>
        </w:rPr>
        <w:t xml:space="preserve">. De basistaken van VeiligheidNL (registratie en monitoring en inzet op gedragsverandering in risicocategorieën) worden gefinancierd via een instellingsubsidie. </w:t>
      </w:r>
      <w:r w:rsidR="00D64C20">
        <w:rPr>
          <w:szCs w:val="18"/>
        </w:rPr>
        <w:t>Ook preventie van s</w:t>
      </w:r>
      <w:r>
        <w:rPr>
          <w:szCs w:val="18"/>
        </w:rPr>
        <w:t>portblessure</w:t>
      </w:r>
      <w:r w:rsidR="00D64C20">
        <w:rPr>
          <w:szCs w:val="18"/>
        </w:rPr>
        <w:t>s</w:t>
      </w:r>
      <w:r>
        <w:rPr>
          <w:szCs w:val="18"/>
        </w:rPr>
        <w:t xml:space="preserve"> wordt met de instellingsubsidie gefinancierd. De instellingssubsidie bedraagt ongeveer € 4 miljoen</w:t>
      </w:r>
      <w:r w:rsidR="00654536">
        <w:rPr>
          <w:szCs w:val="18"/>
        </w:rPr>
        <w:t xml:space="preserve"> per jaar</w:t>
      </w:r>
      <w:r>
        <w:rPr>
          <w:szCs w:val="18"/>
        </w:rPr>
        <w:t xml:space="preserve">. In aanvulling daarop is, naast enkele losse projectsubsidies, een meerjarige projectsubsidie (€ 6 miljoen) aan VeiligheidNL verstrekt voor de periode 2008 – medio 2013. </w:t>
      </w:r>
      <w:r w:rsidR="000C3369">
        <w:rPr>
          <w:szCs w:val="18"/>
        </w:rPr>
        <w:t xml:space="preserve">De dataverzameling door middel van de bevolkingsenquête </w:t>
      </w:r>
      <w:r>
        <w:rPr>
          <w:szCs w:val="18"/>
        </w:rPr>
        <w:t xml:space="preserve">Ongevallen en Bewegen in Nederland (OBiN) </w:t>
      </w:r>
      <w:r w:rsidR="000C3369">
        <w:rPr>
          <w:szCs w:val="18"/>
        </w:rPr>
        <w:t>wordt vierjaarlijks</w:t>
      </w:r>
      <w:r>
        <w:rPr>
          <w:szCs w:val="18"/>
        </w:rPr>
        <w:t xml:space="preserve"> aanbesteed (€ 120.000 per jaar). Daarnaast zijn voor ongeveer € 4,9 miljoen via ZonMW diverse onderzoeksprojecten </w:t>
      </w:r>
      <w:r>
        <w:t>binnen uiteenlopende programma’s gefinancierd.</w:t>
      </w:r>
      <w:r w:rsidRPr="0029553A" w:rsidR="0029553A">
        <w:rPr>
          <w:szCs w:val="18"/>
        </w:rPr>
        <w:t xml:space="preserve"> </w:t>
      </w:r>
      <w:r w:rsidR="009A7EE5">
        <w:rPr>
          <w:szCs w:val="18"/>
        </w:rPr>
        <w:t>Verder</w:t>
      </w:r>
      <w:r w:rsidR="006C24F6">
        <w:rPr>
          <w:szCs w:val="18"/>
        </w:rPr>
        <w:t xml:space="preserve"> heeft ZonMw voor € 7 miljoen aan campagnes over letselpreventie gefinancierd</w:t>
      </w:r>
      <w:r w:rsidR="00650A6A">
        <w:rPr>
          <w:szCs w:val="18"/>
        </w:rPr>
        <w:t xml:space="preserve"> (2008 – 2011)</w:t>
      </w:r>
      <w:r w:rsidR="006C24F6">
        <w:rPr>
          <w:szCs w:val="18"/>
        </w:rPr>
        <w:t xml:space="preserve">. </w:t>
      </w:r>
      <w:r w:rsidR="0029553A">
        <w:rPr>
          <w:szCs w:val="18"/>
        </w:rPr>
        <w:t xml:space="preserve">De jaarlijkse uitgaven (inclusief ZonMw) ten behoeve van </w:t>
      </w:r>
      <w:r w:rsidR="001643C5">
        <w:rPr>
          <w:szCs w:val="18"/>
        </w:rPr>
        <w:t xml:space="preserve">letselpreventie binnen </w:t>
      </w:r>
      <w:r w:rsidR="0029553A">
        <w:rPr>
          <w:szCs w:val="18"/>
        </w:rPr>
        <w:t xml:space="preserve">de operationele doelstelling bedraagt ongeveer 0,2% van de jaarlijkse zorgkosten voor privéongevallen, sportblessures en (pogingen tot) suïcide. De uitgaven voor de </w:t>
      </w:r>
      <w:r w:rsidR="00B2785A">
        <w:rPr>
          <w:szCs w:val="18"/>
        </w:rPr>
        <w:t>Nederlandse Voedsel- en Warenautoriteit (</w:t>
      </w:r>
      <w:r w:rsidR="0029553A">
        <w:rPr>
          <w:szCs w:val="18"/>
        </w:rPr>
        <w:t>NVWA</w:t>
      </w:r>
      <w:r w:rsidR="00B2785A">
        <w:rPr>
          <w:szCs w:val="18"/>
        </w:rPr>
        <w:t>)</w:t>
      </w:r>
      <w:r w:rsidR="0029553A">
        <w:rPr>
          <w:szCs w:val="18"/>
        </w:rPr>
        <w:t xml:space="preserve"> op het gebied van productveiligheid zijn in deze berekening </w:t>
      </w:r>
      <w:r w:rsidR="006C24F6">
        <w:rPr>
          <w:szCs w:val="18"/>
        </w:rPr>
        <w:t xml:space="preserve">niet </w:t>
      </w:r>
      <w:r w:rsidR="0029553A">
        <w:rPr>
          <w:szCs w:val="18"/>
        </w:rPr>
        <w:t xml:space="preserve">meegenomen. </w:t>
      </w:r>
    </w:p>
    <w:p w:rsidR="009D305C" w:rsidP="00FF6874" w:rsidRDefault="009D305C">
      <w:pPr>
        <w:ind w:right="-2"/>
        <w:rPr>
          <w:b/>
        </w:rPr>
      </w:pPr>
    </w:p>
    <w:p w:rsidR="009D305C" w:rsidP="00FF6874" w:rsidRDefault="009D305C">
      <w:pPr>
        <w:ind w:right="-2"/>
        <w:rPr>
          <w:b/>
        </w:rPr>
      </w:pPr>
      <w:r>
        <w:rPr>
          <w:b/>
        </w:rPr>
        <w:t>Uitgevoerde evaluaties</w:t>
      </w:r>
    </w:p>
    <w:p w:rsidR="00E245E4" w:rsidP="00FF6874" w:rsidRDefault="0051564F">
      <w:pPr>
        <w:ind w:right="-2"/>
      </w:pPr>
      <w:r>
        <w:rPr>
          <w:szCs w:val="18"/>
        </w:rPr>
        <w:t xml:space="preserve">Om een compleet beeld te geven van de letselproblematiek en de ontwikkelingen (trends) tijdens de beleidsperiode is aan </w:t>
      </w:r>
      <w:r w:rsidR="0088115C">
        <w:rPr>
          <w:szCs w:val="18"/>
        </w:rPr>
        <w:t xml:space="preserve">het </w:t>
      </w:r>
      <w:r>
        <w:rPr>
          <w:szCs w:val="18"/>
        </w:rPr>
        <w:t>R</w:t>
      </w:r>
      <w:r w:rsidR="00B2785A">
        <w:rPr>
          <w:szCs w:val="18"/>
        </w:rPr>
        <w:t xml:space="preserve">ijksinstituut voor Volksgezondheid en </w:t>
      </w:r>
      <w:r>
        <w:rPr>
          <w:szCs w:val="18"/>
        </w:rPr>
        <w:t>M</w:t>
      </w:r>
      <w:r w:rsidR="00B2785A">
        <w:rPr>
          <w:szCs w:val="18"/>
        </w:rPr>
        <w:t>ilieu (RIVM)</w:t>
      </w:r>
      <w:r>
        <w:rPr>
          <w:szCs w:val="18"/>
        </w:rPr>
        <w:t xml:space="preserve"> i</w:t>
      </w:r>
      <w:r w:rsidR="00B2785A">
        <w:rPr>
          <w:szCs w:val="18"/>
        </w:rPr>
        <w:t>n samenwerking met</w:t>
      </w:r>
      <w:r>
        <w:rPr>
          <w:szCs w:val="18"/>
        </w:rPr>
        <w:t xml:space="preserve"> </w:t>
      </w:r>
      <w:r w:rsidR="0088115C">
        <w:rPr>
          <w:szCs w:val="18"/>
        </w:rPr>
        <w:t xml:space="preserve">het </w:t>
      </w:r>
      <w:r>
        <w:rPr>
          <w:szCs w:val="18"/>
        </w:rPr>
        <w:t>Erasmus</w:t>
      </w:r>
      <w:r w:rsidR="00B2785A">
        <w:rPr>
          <w:szCs w:val="18"/>
        </w:rPr>
        <w:t xml:space="preserve"> </w:t>
      </w:r>
      <w:r>
        <w:rPr>
          <w:szCs w:val="18"/>
        </w:rPr>
        <w:t>M</w:t>
      </w:r>
      <w:r w:rsidR="00B2785A">
        <w:rPr>
          <w:szCs w:val="18"/>
        </w:rPr>
        <w:t xml:space="preserve">edisch </w:t>
      </w:r>
      <w:r>
        <w:rPr>
          <w:szCs w:val="18"/>
        </w:rPr>
        <w:t>C</w:t>
      </w:r>
      <w:r w:rsidR="00B2785A">
        <w:rPr>
          <w:szCs w:val="18"/>
        </w:rPr>
        <w:t>entrum</w:t>
      </w:r>
      <w:r>
        <w:rPr>
          <w:szCs w:val="18"/>
        </w:rPr>
        <w:t xml:space="preserve"> </w:t>
      </w:r>
      <w:r w:rsidR="00B2785A">
        <w:rPr>
          <w:szCs w:val="18"/>
        </w:rPr>
        <w:t xml:space="preserve">Rotterdam </w:t>
      </w:r>
      <w:r>
        <w:rPr>
          <w:szCs w:val="18"/>
        </w:rPr>
        <w:t xml:space="preserve">en VeiligheidNL opdracht verleend om de cijfers uit het rapport ‘Let op letsels’ van een update te voorzien en gevraagd deze cijfers te duiden. </w:t>
      </w:r>
    </w:p>
    <w:p w:rsidR="00E245E4" w:rsidP="00FF6874" w:rsidRDefault="00E245E4">
      <w:pPr>
        <w:ind w:right="-2"/>
      </w:pPr>
      <w:r>
        <w:t xml:space="preserve">Om </w:t>
      </w:r>
      <w:r w:rsidR="00C65383">
        <w:t>t</w:t>
      </w:r>
      <w:r>
        <w:t>e achterhalen in hoeverre d</w:t>
      </w:r>
      <w:r w:rsidR="0051564F">
        <w:t xml:space="preserve">e beleidsvoornemens uit de beleidsbrief zijn uitgevoerd, zijn diverse (beleids)documenten bestudeerd en zijn interviews gehouden met diverse betrokkenen. Hieruit is gebleken dat de meeste beleidsvoornemens zijn </w:t>
      </w:r>
      <w:r w:rsidR="0051564F">
        <w:lastRenderedPageBreak/>
        <w:t xml:space="preserve">opgepakt en een aantal ook gerealiseerd </w:t>
      </w:r>
      <w:r w:rsidR="0090095F">
        <w:t xml:space="preserve">zijn </w:t>
      </w:r>
      <w:r w:rsidR="0051564F">
        <w:t>(zie bijlage 3</w:t>
      </w:r>
      <w:r w:rsidRPr="00DF645D" w:rsidR="0051564F">
        <w:t xml:space="preserve">). </w:t>
      </w:r>
      <w:r w:rsidRPr="00DF645D" w:rsidR="00F4748D">
        <w:t>Zo is inzicht in de letselpreventieproblematiek deels verbeterd (DALY voor suïcide)</w:t>
      </w:r>
      <w:r w:rsidRPr="00DF645D" w:rsidR="00D64C20">
        <w:t xml:space="preserve"> en </w:t>
      </w:r>
      <w:r w:rsidRPr="00DF645D" w:rsidR="00F4748D">
        <w:t>deels nog niet gerealiseerd (DALY voor geweld). Ook inzicht in de effectiviteit van letselpreventies is vergroot, al waren de financieringsmogelijkheden voor effectonderzoek beperkt in de afgelopen beleidsperiode. Hoogleraren hebben nog geen inhaalslag gezien op dit terrein. Interdepartementale samenwerking is versterkt met drie gezamenlijke projecten met VenJ, IenM en SZW. Ondersteuning van lokale overheden en partijen is voortgezet via het Centrum Gezond Leven. De voornemens op het gebied van agendering zijn wel uitgevoerd, maar hebben niet tot zichtbare resultaten geleid.</w:t>
      </w:r>
      <w:r w:rsidR="00F4748D">
        <w:t xml:space="preserve"> </w:t>
      </w:r>
    </w:p>
    <w:p w:rsidR="009D305C" w:rsidP="00FF6874" w:rsidRDefault="009D305C">
      <w:pPr>
        <w:ind w:right="-2"/>
        <w:rPr>
          <w:b/>
        </w:rPr>
      </w:pPr>
    </w:p>
    <w:p w:rsidR="009D305C" w:rsidP="00FF6874" w:rsidRDefault="000E1F9D">
      <w:pPr>
        <w:ind w:right="-2"/>
        <w:rPr>
          <w:b/>
        </w:rPr>
      </w:pPr>
      <w:r>
        <w:rPr>
          <w:b/>
        </w:rPr>
        <w:t>D</w:t>
      </w:r>
      <w:r w:rsidR="009D305C">
        <w:rPr>
          <w:b/>
        </w:rPr>
        <w:t>oeltreffendheid en doelmatigheid</w:t>
      </w:r>
    </w:p>
    <w:p w:rsidR="0051564F" w:rsidP="00FF6874" w:rsidRDefault="003F5A29">
      <w:pPr>
        <w:ind w:right="-2"/>
      </w:pPr>
      <w:r w:rsidRPr="00AA3805">
        <w:t xml:space="preserve">Voor letselpreventie geldt als prestatie-indicator een daling van het aantal SEH-behandelingen in ziekenhuizen door privé-ongevallen en sportblessures. In 2008 was dit 650.000 behandelingen, in 2009 640.000, in 2010 </w:t>
      </w:r>
      <w:r w:rsidR="00D64C20">
        <w:t xml:space="preserve">en 2011 </w:t>
      </w:r>
      <w:r w:rsidRPr="00AA3805">
        <w:t xml:space="preserve">600.000. Er zijn nog geen cijfers over 2012, maar de verwachting is dat het aantal behandelingen rond de 600.000 zal blijven schommelen. Hiermee zal het streefcijfer zoals gesteld in 2008 voor 2012 (610.000 behandelingen) waarschijnlijk gehaald worden. </w:t>
      </w:r>
    </w:p>
    <w:p w:rsidR="003F5A29" w:rsidP="00FF6874" w:rsidRDefault="003F5A29">
      <w:pPr>
        <w:ind w:right="-2"/>
        <w:rPr>
          <w:b/>
        </w:rPr>
      </w:pPr>
    </w:p>
    <w:p w:rsidRPr="00F019BD" w:rsidR="0051564F" w:rsidP="00FF6874" w:rsidRDefault="0051564F">
      <w:pPr>
        <w:ind w:right="-2"/>
      </w:pPr>
      <w:r>
        <w:t>H</w:t>
      </w:r>
      <w:r w:rsidRPr="00F019BD">
        <w:t>et is niet</w:t>
      </w:r>
      <w:r w:rsidR="00474FD8">
        <w:t xml:space="preserve"> goed mogelijk om voor de meest</w:t>
      </w:r>
      <w:r w:rsidRPr="00F019BD">
        <w:t xml:space="preserve"> recente periode (2007-2011) specifieke effecten van preventie aan te tonen. Dit komt mede door de korte tijdsperiode en de inmiddels relatief lage</w:t>
      </w:r>
      <w:r w:rsidR="0088115C">
        <w:t xml:space="preserve"> letsel</w:t>
      </w:r>
      <w:r w:rsidRPr="00F019BD">
        <w:t>cijfers. Daarnaast heeft de medische zorg in deze periode de letaliteit sterk gereduceerd.</w:t>
      </w:r>
      <w:r w:rsidR="00F73DAA">
        <w:t xml:space="preserve"> Tegelijkertijd zijn de </w:t>
      </w:r>
      <w:r w:rsidRPr="00A52ED8" w:rsidR="00F73DAA">
        <w:rPr>
          <w:rFonts w:eastAsia="Times New Roman" w:cs="Times New Roman"/>
          <w:color w:val="000000"/>
          <w:kern w:val="0"/>
          <w:szCs w:val="18"/>
          <w:lang w:eastAsia="nl-NL" w:bidi="ar-SA"/>
        </w:rPr>
        <w:t>Disability Adjusted Life Years</w:t>
      </w:r>
      <w:r w:rsidR="00F73DAA">
        <w:t xml:space="preserve"> (DALY’s)</w:t>
      </w:r>
      <w:r w:rsidR="00F73DAA">
        <w:rPr>
          <w:rStyle w:val="Voetnootmarkering"/>
        </w:rPr>
        <w:footnoteReference w:id="1"/>
      </w:r>
      <w:r w:rsidR="00F73DAA">
        <w:t xml:space="preserve"> in de afgelopen jaren wel toegenomen, wat wijst op een verschuiving naar meer ernstige letsels</w:t>
      </w:r>
      <w:r w:rsidR="0088115C">
        <w:t>, onder andere bij valincidenten van ouderen</w:t>
      </w:r>
      <w:r w:rsidR="00F73DAA">
        <w:t>.</w:t>
      </w:r>
      <w:r w:rsidR="0088115C">
        <w:t xml:space="preserve"> </w:t>
      </w:r>
      <w:r w:rsidR="00F73DAA">
        <w:t xml:space="preserve">Dit is </w:t>
      </w:r>
      <w:r w:rsidR="0088115C">
        <w:t xml:space="preserve">deels </w:t>
      </w:r>
      <w:r w:rsidR="00F73DAA">
        <w:t xml:space="preserve">ook terug te zien in de kosten, deze zijn met 50% toegenomen in de afgelopen 5 jaar. </w:t>
      </w:r>
      <w:r w:rsidR="00DF645D">
        <w:t>Veranderingen in het zorggebruik</w:t>
      </w:r>
      <w:r w:rsidR="00317FE8">
        <w:t xml:space="preserve"> in het algemeen</w:t>
      </w:r>
      <w:r w:rsidR="00DF645D">
        <w:t xml:space="preserve"> zijn een andere reden voor stijging van de kosten. </w:t>
      </w:r>
      <w:r w:rsidRPr="004C5029" w:rsidR="00DF645D">
        <w:rPr>
          <w:szCs w:val="18"/>
        </w:rPr>
        <w:t>Het zorggebruik wordt bijvoorbeeld beïnvloed door het hulpzoekgedrag van patiënten en door veranderingen in richtlijnen, financiering, opnamebeleid en indicatiestelling van zorgverleners</w:t>
      </w:r>
      <w:r w:rsidRPr="00F019BD" w:rsidR="00DF645D">
        <w:t xml:space="preserve">. </w:t>
      </w:r>
      <w:r w:rsidR="00DF645D">
        <w:t>Veranderd zorggebruik heeft ook weer invloed op d</w:t>
      </w:r>
      <w:r w:rsidRPr="00F019BD">
        <w:t>e gebruikte indicatoren, zoals SEH-bezoeken en ziekenhuisopnamen.</w:t>
      </w:r>
      <w:r w:rsidR="0090095F">
        <w:t xml:space="preserve"> </w:t>
      </w:r>
    </w:p>
    <w:p w:rsidR="0051564F" w:rsidP="00FF6874" w:rsidRDefault="0051564F">
      <w:pPr>
        <w:ind w:right="-2"/>
        <w:rPr>
          <w:b/>
        </w:rPr>
      </w:pPr>
    </w:p>
    <w:p w:rsidR="0051564F" w:rsidP="00FF6874" w:rsidRDefault="0051564F">
      <w:pPr>
        <w:ind w:right="-2"/>
      </w:pPr>
      <w:r>
        <w:t xml:space="preserve">Indirect </w:t>
      </w:r>
      <w:r w:rsidR="00474FD8">
        <w:t>kan er</w:t>
      </w:r>
      <w:r>
        <w:t xml:space="preserve"> wel iets </w:t>
      </w:r>
      <w:r w:rsidR="00474FD8">
        <w:t>ge</w:t>
      </w:r>
      <w:r>
        <w:t>zeg</w:t>
      </w:r>
      <w:r w:rsidR="00474FD8">
        <w:t>d worden</w:t>
      </w:r>
      <w:r>
        <w:t xml:space="preserve"> over de doeltreffendheid </w:t>
      </w:r>
      <w:r w:rsidR="00474FD8">
        <w:t xml:space="preserve">door </w:t>
      </w:r>
      <w:r>
        <w:t xml:space="preserve">specifiek </w:t>
      </w:r>
      <w:r w:rsidR="00474FD8">
        <w:t xml:space="preserve">te </w:t>
      </w:r>
      <w:r>
        <w:t>kijken naar het beleidsinstrument communicatie en voorlichting. De kennis over de effectiviteit van interventies op het gebied van letselpreventie is in de beleidsperiode vergroot. Een brede implementatie van deze interventies zal zeker effect hebben op het aantal letsels.</w:t>
      </w:r>
      <w:r w:rsidR="00741311">
        <w:t xml:space="preserve"> </w:t>
      </w:r>
      <w:r w:rsidR="007D3951">
        <w:t>Uit de evaluatie v</w:t>
      </w:r>
      <w:r w:rsidRPr="00F019BD">
        <w:t xml:space="preserve">oor </w:t>
      </w:r>
      <w:r w:rsidR="007D3951">
        <w:t xml:space="preserve">het </w:t>
      </w:r>
      <w:r w:rsidRPr="00F019BD">
        <w:t>sportblessurepreventiebeleid</w:t>
      </w:r>
      <w:r w:rsidR="00893041">
        <w:t>,</w:t>
      </w:r>
      <w:r w:rsidRPr="00F019BD">
        <w:t xml:space="preserve"> </w:t>
      </w:r>
      <w:r w:rsidR="007D3951">
        <w:t xml:space="preserve">uitgevoerd in de </w:t>
      </w:r>
      <w:r w:rsidR="00893041">
        <w:t xml:space="preserve">periode 2008-2011, </w:t>
      </w:r>
      <w:r w:rsidRPr="00F019BD">
        <w:t xml:space="preserve">blijkt dat </w:t>
      </w:r>
      <w:r w:rsidR="00C15E49">
        <w:t>d</w:t>
      </w:r>
      <w:r w:rsidRPr="00F019BD" w:rsidR="00C15E49">
        <w:t xml:space="preserve">e toepassing van diverse persoonlijke beschermende maatregelen (helm, brace, tape, scheenbeschermers, bitje en kniebeschermers) voor diverse sporttakken significant </w:t>
      </w:r>
      <w:r w:rsidR="00C15E49">
        <w:t xml:space="preserve">is </w:t>
      </w:r>
      <w:r w:rsidRPr="00F019BD" w:rsidR="00C15E49">
        <w:t>verbeterd</w:t>
      </w:r>
      <w:r w:rsidR="00C15E49">
        <w:t>.</w:t>
      </w:r>
    </w:p>
    <w:p w:rsidR="000E1F9D" w:rsidP="00FF6874" w:rsidRDefault="000E1F9D">
      <w:pPr>
        <w:ind w:right="-2"/>
      </w:pPr>
    </w:p>
    <w:p w:rsidRPr="00474FD8" w:rsidR="000E1F9D" w:rsidP="00FF6874" w:rsidRDefault="000E1F9D">
      <w:pPr>
        <w:ind w:right="-2"/>
        <w:rPr>
          <w:b/>
        </w:rPr>
      </w:pPr>
      <w:r w:rsidRPr="00474FD8">
        <w:rPr>
          <w:b/>
        </w:rPr>
        <w:t>Conclusies</w:t>
      </w:r>
    </w:p>
    <w:p w:rsidR="003F5A29" w:rsidP="00D64C20" w:rsidRDefault="003F5A29">
      <w:pPr>
        <w:ind w:right="-2"/>
        <w:rPr>
          <w:sz w:val="24"/>
        </w:rPr>
      </w:pPr>
      <w:r>
        <w:t xml:space="preserve">Nederland is een van de veiligste landen van de wereld. Daar is veel inzet voor nodig geweest in alle relevante domeinen. Het vraagt continue aandacht om op het huidige niveau te blijven. Het betekent ook niet automatisch dat alle domeinen zich gunstig ontwikkelen, er kunnen verschuiven optreden tussen domeinen en doelgroepen, </w:t>
      </w:r>
      <w:r w:rsidR="00D64C20">
        <w:t xml:space="preserve">wat vraagt om herziening van </w:t>
      </w:r>
      <w:r>
        <w:t>prioriteiten. De laatste twee jaar is het aantal SEH-behandelingen voor letsels door privéongevallen en sportblessures gelijk gebleven. Maar het aantal ziekenhuisopnamen, de ziektelast en de totale kosten zijn in de periode 200</w:t>
      </w:r>
      <w:r w:rsidR="00473F4D">
        <w:t>7</w:t>
      </w:r>
      <w:r>
        <w:t xml:space="preserve"> – 201</w:t>
      </w:r>
      <w:r w:rsidR="00473F4D">
        <w:t>1</w:t>
      </w:r>
      <w:r>
        <w:t xml:space="preserve"> toegenomen. </w:t>
      </w:r>
      <w:r w:rsidR="00D64C20">
        <w:t>L</w:t>
      </w:r>
      <w:r>
        <w:t xml:space="preserve">etsels </w:t>
      </w:r>
      <w:r w:rsidR="00D64C20">
        <w:t xml:space="preserve">zijn daarmee </w:t>
      </w:r>
      <w:r>
        <w:t xml:space="preserve">nog steeds een relatief groot volksgezondheidsprobleem en de aanleiding voor het beleid </w:t>
      </w:r>
      <w:r w:rsidR="00D64C20">
        <w:t xml:space="preserve">is </w:t>
      </w:r>
      <w:r>
        <w:t xml:space="preserve">nog steeds actueel. </w:t>
      </w:r>
      <w:r>
        <w:rPr>
          <w:sz w:val="24"/>
        </w:rPr>
        <w:br w:type="page"/>
      </w:r>
    </w:p>
    <w:p w:rsidRPr="006F2083" w:rsidR="00DA3FE9" w:rsidP="0016573E" w:rsidRDefault="0009079E">
      <w:pPr>
        <w:pStyle w:val="Huisstijl-Inhoudsopgavekop"/>
        <w:rPr>
          <w:sz w:val="24"/>
        </w:rPr>
      </w:pPr>
      <w:r w:rsidRPr="006F2083">
        <w:rPr>
          <w:sz w:val="24"/>
        </w:rPr>
        <w:lastRenderedPageBreak/>
        <w:t>Inhoud</w:t>
      </w:r>
    </w:p>
    <w:p w:rsidR="00AB272D" w:rsidP="0016573E" w:rsidRDefault="003368B3">
      <w:pPr>
        <w:pStyle w:val="Inhopg9"/>
        <w:rPr>
          <w:rFonts w:asciiTheme="minorHAnsi" w:hAnsiTheme="minorHAnsi" w:eastAsiaTheme="minorEastAsia" w:cstheme="minorBidi"/>
          <w:noProof/>
          <w:kern w:val="0"/>
          <w:sz w:val="22"/>
          <w:szCs w:val="22"/>
          <w:lang w:eastAsia="nl-NL" w:bidi="ar-SA"/>
        </w:rPr>
      </w:pPr>
      <w:r w:rsidRPr="003368B3">
        <w:fldChar w:fldCharType="begin"/>
      </w:r>
      <w:r w:rsidR="008111DE">
        <w:instrText xml:space="preserve"> TOC \o "1-3" \t "Huisstijl - Titel;9;Huisstijl - Kop 4;4" </w:instrText>
      </w:r>
      <w:r w:rsidRPr="003368B3">
        <w:fldChar w:fldCharType="separate"/>
      </w:r>
      <w:r w:rsidR="00AB272D">
        <w:rPr>
          <w:noProof/>
        </w:rPr>
        <w:t>Management-samenvatting</w:t>
      </w:r>
      <w:r w:rsidR="00AB272D">
        <w:rPr>
          <w:noProof/>
        </w:rPr>
        <w:tab/>
      </w:r>
      <w:r>
        <w:rPr>
          <w:noProof/>
        </w:rPr>
        <w:fldChar w:fldCharType="begin"/>
      </w:r>
      <w:r w:rsidR="00AB272D">
        <w:rPr>
          <w:noProof/>
        </w:rPr>
        <w:instrText xml:space="preserve"> PAGEREF _Toc351626656 \h </w:instrText>
      </w:r>
      <w:r>
        <w:rPr>
          <w:noProof/>
        </w:rPr>
      </w:r>
      <w:r>
        <w:rPr>
          <w:noProof/>
        </w:rPr>
        <w:fldChar w:fldCharType="separate"/>
      </w:r>
      <w:r w:rsidR="005563FA">
        <w:rPr>
          <w:noProof/>
        </w:rPr>
        <w:t>3</w:t>
      </w:r>
      <w:r>
        <w:rPr>
          <w:noProof/>
        </w:rPr>
        <w:fldChar w:fldCharType="end"/>
      </w:r>
    </w:p>
    <w:p w:rsidR="00AB272D" w:rsidP="00FF6874" w:rsidRDefault="00AB272D">
      <w:pPr>
        <w:pStyle w:val="Inhopg1"/>
        <w:rPr>
          <w:rFonts w:asciiTheme="minorHAnsi" w:hAnsiTheme="minorHAnsi" w:eastAsiaTheme="minorEastAsia" w:cstheme="minorBidi"/>
          <w:kern w:val="0"/>
          <w:sz w:val="22"/>
          <w:szCs w:val="22"/>
          <w:lang w:eastAsia="nl-NL" w:bidi="ar-SA"/>
        </w:rPr>
      </w:pPr>
      <w:r>
        <w:t>1</w:t>
      </w:r>
      <w:r>
        <w:rPr>
          <w:rFonts w:asciiTheme="minorHAnsi" w:hAnsiTheme="minorHAnsi" w:eastAsiaTheme="minorEastAsia" w:cstheme="minorBidi"/>
          <w:kern w:val="0"/>
          <w:sz w:val="22"/>
          <w:szCs w:val="22"/>
          <w:lang w:eastAsia="nl-NL" w:bidi="ar-SA"/>
        </w:rPr>
        <w:tab/>
      </w:r>
      <w:r>
        <w:t>Inleiding</w:t>
      </w:r>
      <w:r>
        <w:tab/>
      </w:r>
      <w:r w:rsidR="003368B3">
        <w:fldChar w:fldCharType="begin"/>
      </w:r>
      <w:r>
        <w:instrText xml:space="preserve"> PAGEREF _Toc351626657 \h </w:instrText>
      </w:r>
      <w:r w:rsidR="003368B3">
        <w:fldChar w:fldCharType="separate"/>
      </w:r>
      <w:r w:rsidR="005563FA">
        <w:t>7</w:t>
      </w:r>
      <w:r w:rsidR="003368B3">
        <w:fldChar w:fldCharType="end"/>
      </w:r>
    </w:p>
    <w:p w:rsidR="00AB272D" w:rsidP="00FF6874" w:rsidRDefault="00AB272D">
      <w:pPr>
        <w:pStyle w:val="Inhopg2"/>
        <w:rPr>
          <w:rFonts w:asciiTheme="minorHAnsi" w:hAnsiTheme="minorHAnsi" w:eastAsiaTheme="minorEastAsia" w:cstheme="minorBidi"/>
          <w:kern w:val="0"/>
          <w:sz w:val="22"/>
          <w:szCs w:val="22"/>
          <w:lang w:eastAsia="nl-NL" w:bidi="ar-SA"/>
        </w:rPr>
      </w:pPr>
      <w:r>
        <w:t>1.1</w:t>
      </w:r>
      <w:r>
        <w:rPr>
          <w:rFonts w:asciiTheme="minorHAnsi" w:hAnsiTheme="minorHAnsi" w:eastAsiaTheme="minorEastAsia" w:cstheme="minorBidi"/>
          <w:kern w:val="0"/>
          <w:sz w:val="22"/>
          <w:szCs w:val="22"/>
          <w:lang w:eastAsia="nl-NL" w:bidi="ar-SA"/>
        </w:rPr>
        <w:tab/>
      </w:r>
      <w:r>
        <w:t>Aanleiding beleidsdoorlichting</w:t>
      </w:r>
      <w:r>
        <w:tab/>
      </w:r>
      <w:r w:rsidR="003368B3">
        <w:fldChar w:fldCharType="begin"/>
      </w:r>
      <w:r>
        <w:instrText xml:space="preserve"> PAGEREF _Toc351626658 \h </w:instrText>
      </w:r>
      <w:r w:rsidR="003368B3">
        <w:fldChar w:fldCharType="separate"/>
      </w:r>
      <w:r w:rsidR="005563FA">
        <w:t>7</w:t>
      </w:r>
      <w:r w:rsidR="003368B3">
        <w:fldChar w:fldCharType="end"/>
      </w:r>
    </w:p>
    <w:p w:rsidR="00AB272D" w:rsidP="00FF6874" w:rsidRDefault="00AB272D">
      <w:pPr>
        <w:pStyle w:val="Inhopg2"/>
        <w:rPr>
          <w:rFonts w:asciiTheme="minorHAnsi" w:hAnsiTheme="minorHAnsi" w:eastAsiaTheme="minorEastAsia" w:cstheme="minorBidi"/>
          <w:kern w:val="0"/>
          <w:sz w:val="22"/>
          <w:szCs w:val="22"/>
          <w:lang w:eastAsia="nl-NL" w:bidi="ar-SA"/>
        </w:rPr>
      </w:pPr>
      <w:r>
        <w:t>1.2</w:t>
      </w:r>
      <w:r>
        <w:rPr>
          <w:rFonts w:asciiTheme="minorHAnsi" w:hAnsiTheme="minorHAnsi" w:eastAsiaTheme="minorEastAsia" w:cstheme="minorBidi"/>
          <w:kern w:val="0"/>
          <w:sz w:val="22"/>
          <w:szCs w:val="22"/>
          <w:lang w:eastAsia="nl-NL" w:bidi="ar-SA"/>
        </w:rPr>
        <w:tab/>
      </w:r>
      <w:r>
        <w:t>Afbakening</w:t>
      </w:r>
      <w:r>
        <w:tab/>
      </w:r>
      <w:r w:rsidR="003368B3">
        <w:fldChar w:fldCharType="begin"/>
      </w:r>
      <w:r>
        <w:instrText xml:space="preserve"> PAGEREF _Toc351626659 \h </w:instrText>
      </w:r>
      <w:r w:rsidR="003368B3">
        <w:fldChar w:fldCharType="separate"/>
      </w:r>
      <w:r w:rsidR="005563FA">
        <w:t>7</w:t>
      </w:r>
      <w:r w:rsidR="003368B3">
        <w:fldChar w:fldCharType="end"/>
      </w:r>
    </w:p>
    <w:p w:rsidR="00AB272D" w:rsidP="00FF6874" w:rsidRDefault="00AB272D">
      <w:pPr>
        <w:pStyle w:val="Inhopg2"/>
        <w:rPr>
          <w:rFonts w:asciiTheme="minorHAnsi" w:hAnsiTheme="minorHAnsi" w:eastAsiaTheme="minorEastAsia" w:cstheme="minorBidi"/>
          <w:kern w:val="0"/>
          <w:sz w:val="22"/>
          <w:szCs w:val="22"/>
          <w:lang w:eastAsia="nl-NL" w:bidi="ar-SA"/>
        </w:rPr>
      </w:pPr>
      <w:r>
        <w:t>1.3</w:t>
      </w:r>
      <w:r>
        <w:rPr>
          <w:rFonts w:asciiTheme="minorHAnsi" w:hAnsiTheme="minorHAnsi" w:eastAsiaTheme="minorEastAsia" w:cstheme="minorBidi"/>
          <w:kern w:val="0"/>
          <w:sz w:val="22"/>
          <w:szCs w:val="22"/>
          <w:lang w:eastAsia="nl-NL" w:bidi="ar-SA"/>
        </w:rPr>
        <w:tab/>
      </w:r>
      <w:r>
        <w:t>Aanpak</w:t>
      </w:r>
      <w:r>
        <w:tab/>
      </w:r>
      <w:r w:rsidR="003368B3">
        <w:fldChar w:fldCharType="begin"/>
      </w:r>
      <w:r>
        <w:instrText xml:space="preserve"> PAGEREF _Toc351626660 \h </w:instrText>
      </w:r>
      <w:r w:rsidR="003368B3">
        <w:fldChar w:fldCharType="separate"/>
      </w:r>
      <w:r w:rsidR="005563FA">
        <w:t>8</w:t>
      </w:r>
      <w:r w:rsidR="003368B3">
        <w:fldChar w:fldCharType="end"/>
      </w:r>
    </w:p>
    <w:p w:rsidR="00AB272D" w:rsidP="00FF6874" w:rsidRDefault="00AB272D">
      <w:pPr>
        <w:pStyle w:val="Inhopg2"/>
        <w:rPr>
          <w:rFonts w:asciiTheme="minorHAnsi" w:hAnsiTheme="minorHAnsi" w:eastAsiaTheme="minorEastAsia" w:cstheme="minorBidi"/>
          <w:kern w:val="0"/>
          <w:sz w:val="22"/>
          <w:szCs w:val="22"/>
          <w:lang w:eastAsia="nl-NL" w:bidi="ar-SA"/>
        </w:rPr>
      </w:pPr>
      <w:r>
        <w:t>1.4</w:t>
      </w:r>
      <w:r>
        <w:rPr>
          <w:rFonts w:asciiTheme="minorHAnsi" w:hAnsiTheme="minorHAnsi" w:eastAsiaTheme="minorEastAsia" w:cstheme="minorBidi"/>
          <w:kern w:val="0"/>
          <w:sz w:val="22"/>
          <w:szCs w:val="22"/>
          <w:lang w:eastAsia="nl-NL" w:bidi="ar-SA"/>
        </w:rPr>
        <w:tab/>
      </w:r>
      <w:r>
        <w:t>Leeswijzer</w:t>
      </w:r>
      <w:r>
        <w:tab/>
      </w:r>
      <w:r w:rsidR="003368B3">
        <w:fldChar w:fldCharType="begin"/>
      </w:r>
      <w:r>
        <w:instrText xml:space="preserve"> PAGEREF _Toc351626661 \h </w:instrText>
      </w:r>
      <w:r w:rsidR="003368B3">
        <w:fldChar w:fldCharType="separate"/>
      </w:r>
      <w:r w:rsidR="005563FA">
        <w:t>8</w:t>
      </w:r>
      <w:r w:rsidR="003368B3">
        <w:fldChar w:fldCharType="end"/>
      </w:r>
    </w:p>
    <w:p w:rsidR="00AB272D" w:rsidP="00FF6874" w:rsidRDefault="00AB272D">
      <w:pPr>
        <w:pStyle w:val="Inhopg1"/>
        <w:rPr>
          <w:rFonts w:asciiTheme="minorHAnsi" w:hAnsiTheme="minorHAnsi" w:eastAsiaTheme="minorEastAsia" w:cstheme="minorBidi"/>
          <w:kern w:val="0"/>
          <w:sz w:val="22"/>
          <w:szCs w:val="22"/>
          <w:lang w:eastAsia="nl-NL" w:bidi="ar-SA"/>
        </w:rPr>
      </w:pPr>
      <w:r>
        <w:t>2</w:t>
      </w:r>
      <w:r>
        <w:rPr>
          <w:rFonts w:asciiTheme="minorHAnsi" w:hAnsiTheme="minorHAnsi" w:eastAsiaTheme="minorEastAsia" w:cstheme="minorBidi"/>
          <w:kern w:val="0"/>
          <w:sz w:val="22"/>
          <w:szCs w:val="22"/>
          <w:lang w:eastAsia="nl-NL" w:bidi="ar-SA"/>
        </w:rPr>
        <w:tab/>
      </w:r>
      <w:r>
        <w:t>Achtergrond en legitimiteit letselpreventiebeleid</w:t>
      </w:r>
      <w:r>
        <w:tab/>
      </w:r>
      <w:r w:rsidR="003368B3">
        <w:fldChar w:fldCharType="begin"/>
      </w:r>
      <w:r>
        <w:instrText xml:space="preserve"> PAGEREF _Toc351626662 \h </w:instrText>
      </w:r>
      <w:r w:rsidR="003368B3">
        <w:fldChar w:fldCharType="separate"/>
      </w:r>
      <w:r w:rsidR="005563FA">
        <w:t>9</w:t>
      </w:r>
      <w:r w:rsidR="003368B3">
        <w:fldChar w:fldCharType="end"/>
      </w:r>
    </w:p>
    <w:p w:rsidR="00AB272D" w:rsidP="00FF6874" w:rsidRDefault="00AB272D">
      <w:pPr>
        <w:pStyle w:val="Inhopg2"/>
        <w:rPr>
          <w:rFonts w:asciiTheme="minorHAnsi" w:hAnsiTheme="minorHAnsi" w:eastAsiaTheme="minorEastAsia" w:cstheme="minorBidi"/>
          <w:kern w:val="0"/>
          <w:sz w:val="22"/>
          <w:szCs w:val="22"/>
          <w:lang w:eastAsia="nl-NL" w:bidi="ar-SA"/>
        </w:rPr>
      </w:pPr>
      <w:r>
        <w:t>2.1</w:t>
      </w:r>
      <w:r>
        <w:rPr>
          <w:rFonts w:asciiTheme="minorHAnsi" w:hAnsiTheme="minorHAnsi" w:eastAsiaTheme="minorEastAsia" w:cstheme="minorBidi"/>
          <w:kern w:val="0"/>
          <w:sz w:val="22"/>
          <w:szCs w:val="22"/>
          <w:lang w:eastAsia="nl-NL" w:bidi="ar-SA"/>
        </w:rPr>
        <w:tab/>
      </w:r>
      <w:r>
        <w:t>Aanleiding letselpreventiebeleid</w:t>
      </w:r>
      <w:r>
        <w:tab/>
      </w:r>
      <w:r w:rsidR="003368B3">
        <w:fldChar w:fldCharType="begin"/>
      </w:r>
      <w:r>
        <w:instrText xml:space="preserve"> PAGEREF _Toc351626663 \h </w:instrText>
      </w:r>
      <w:r w:rsidR="003368B3">
        <w:fldChar w:fldCharType="separate"/>
      </w:r>
      <w:r w:rsidR="005563FA">
        <w:t>9</w:t>
      </w:r>
      <w:r w:rsidR="003368B3">
        <w:fldChar w:fldCharType="end"/>
      </w:r>
    </w:p>
    <w:p w:rsidR="00AB272D" w:rsidP="00FF6874" w:rsidRDefault="00AB272D">
      <w:pPr>
        <w:pStyle w:val="Inhopg2"/>
        <w:rPr>
          <w:rFonts w:asciiTheme="minorHAnsi" w:hAnsiTheme="minorHAnsi" w:eastAsiaTheme="minorEastAsia" w:cstheme="minorBidi"/>
          <w:kern w:val="0"/>
          <w:sz w:val="22"/>
          <w:szCs w:val="22"/>
          <w:lang w:eastAsia="nl-NL" w:bidi="ar-SA"/>
        </w:rPr>
      </w:pPr>
      <w:r>
        <w:t>2.2</w:t>
      </w:r>
      <w:r>
        <w:rPr>
          <w:rFonts w:asciiTheme="minorHAnsi" w:hAnsiTheme="minorHAnsi" w:eastAsiaTheme="minorEastAsia" w:cstheme="minorBidi"/>
          <w:kern w:val="0"/>
          <w:sz w:val="22"/>
          <w:szCs w:val="22"/>
          <w:lang w:eastAsia="nl-NL" w:bidi="ar-SA"/>
        </w:rPr>
        <w:tab/>
      </w:r>
      <w:r>
        <w:t>Rol van de overheid en andere partijen</w:t>
      </w:r>
      <w:r>
        <w:tab/>
      </w:r>
      <w:r w:rsidR="003368B3">
        <w:fldChar w:fldCharType="begin"/>
      </w:r>
      <w:r>
        <w:instrText xml:space="preserve"> PAGEREF _Toc351626664 \h </w:instrText>
      </w:r>
      <w:r w:rsidR="003368B3">
        <w:fldChar w:fldCharType="separate"/>
      </w:r>
      <w:r w:rsidR="005563FA">
        <w:t>9</w:t>
      </w:r>
      <w:r w:rsidR="003368B3">
        <w:fldChar w:fldCharType="end"/>
      </w:r>
    </w:p>
    <w:p w:rsidR="00AB272D" w:rsidP="00FF6874" w:rsidRDefault="00AB272D">
      <w:pPr>
        <w:pStyle w:val="Inhopg1"/>
        <w:rPr>
          <w:rFonts w:asciiTheme="minorHAnsi" w:hAnsiTheme="minorHAnsi" w:eastAsiaTheme="minorEastAsia" w:cstheme="minorBidi"/>
          <w:kern w:val="0"/>
          <w:sz w:val="22"/>
          <w:szCs w:val="22"/>
          <w:lang w:eastAsia="nl-NL" w:bidi="ar-SA"/>
        </w:rPr>
      </w:pPr>
      <w:r>
        <w:t>3</w:t>
      </w:r>
      <w:r>
        <w:rPr>
          <w:rFonts w:asciiTheme="minorHAnsi" w:hAnsiTheme="minorHAnsi" w:eastAsiaTheme="minorEastAsia" w:cstheme="minorBidi"/>
          <w:kern w:val="0"/>
          <w:sz w:val="22"/>
          <w:szCs w:val="22"/>
          <w:lang w:eastAsia="nl-NL" w:bidi="ar-SA"/>
        </w:rPr>
        <w:tab/>
      </w:r>
      <w:r>
        <w:t>Beleidsdoelstellingen</w:t>
      </w:r>
      <w:r>
        <w:tab/>
      </w:r>
      <w:r w:rsidR="003368B3">
        <w:fldChar w:fldCharType="begin"/>
      </w:r>
      <w:r>
        <w:instrText xml:space="preserve"> PAGEREF _Toc351626665 \h </w:instrText>
      </w:r>
      <w:r w:rsidR="003368B3">
        <w:fldChar w:fldCharType="separate"/>
      </w:r>
      <w:r w:rsidR="005563FA">
        <w:t>13</w:t>
      </w:r>
      <w:r w:rsidR="003368B3">
        <w:fldChar w:fldCharType="end"/>
      </w:r>
    </w:p>
    <w:p w:rsidR="00AB272D" w:rsidP="00FF6874" w:rsidRDefault="00AB272D">
      <w:pPr>
        <w:pStyle w:val="Inhopg1"/>
        <w:rPr>
          <w:rFonts w:asciiTheme="minorHAnsi" w:hAnsiTheme="minorHAnsi" w:eastAsiaTheme="minorEastAsia" w:cstheme="minorBidi"/>
          <w:kern w:val="0"/>
          <w:sz w:val="22"/>
          <w:szCs w:val="22"/>
          <w:lang w:eastAsia="nl-NL" w:bidi="ar-SA"/>
        </w:rPr>
      </w:pPr>
      <w:r>
        <w:t>4</w:t>
      </w:r>
      <w:r>
        <w:rPr>
          <w:rFonts w:asciiTheme="minorHAnsi" w:hAnsiTheme="minorHAnsi" w:eastAsiaTheme="minorEastAsia" w:cstheme="minorBidi"/>
          <w:kern w:val="0"/>
          <w:sz w:val="22"/>
          <w:szCs w:val="22"/>
          <w:lang w:eastAsia="nl-NL" w:bidi="ar-SA"/>
        </w:rPr>
        <w:tab/>
      </w:r>
      <w:r>
        <w:t>Beleidsinstrumenten 2008 - 2012</w:t>
      </w:r>
      <w:r>
        <w:tab/>
      </w:r>
      <w:r w:rsidR="003368B3">
        <w:fldChar w:fldCharType="begin"/>
      </w:r>
      <w:r>
        <w:instrText xml:space="preserve"> PAGEREF _Toc351626666 \h </w:instrText>
      </w:r>
      <w:r w:rsidR="003368B3">
        <w:fldChar w:fldCharType="separate"/>
      </w:r>
      <w:r w:rsidR="005563FA">
        <w:t>15</w:t>
      </w:r>
      <w:r w:rsidR="003368B3">
        <w:fldChar w:fldCharType="end"/>
      </w:r>
    </w:p>
    <w:p w:rsidR="00AB272D" w:rsidP="00FF6874" w:rsidRDefault="00AB272D">
      <w:pPr>
        <w:pStyle w:val="Inhopg2"/>
        <w:rPr>
          <w:rFonts w:asciiTheme="minorHAnsi" w:hAnsiTheme="minorHAnsi" w:eastAsiaTheme="minorEastAsia" w:cstheme="minorBidi"/>
          <w:kern w:val="0"/>
          <w:sz w:val="22"/>
          <w:szCs w:val="22"/>
          <w:lang w:eastAsia="nl-NL" w:bidi="ar-SA"/>
        </w:rPr>
      </w:pPr>
      <w:r>
        <w:t>4.1</w:t>
      </w:r>
      <w:r>
        <w:rPr>
          <w:rFonts w:asciiTheme="minorHAnsi" w:hAnsiTheme="minorHAnsi" w:eastAsiaTheme="minorEastAsia" w:cstheme="minorBidi"/>
          <w:kern w:val="0"/>
          <w:sz w:val="22"/>
          <w:szCs w:val="22"/>
          <w:lang w:eastAsia="nl-NL" w:bidi="ar-SA"/>
        </w:rPr>
        <w:tab/>
      </w:r>
      <w:r>
        <w:t>Signalering en monitoring</w:t>
      </w:r>
      <w:r>
        <w:tab/>
      </w:r>
      <w:r w:rsidR="003368B3">
        <w:fldChar w:fldCharType="begin"/>
      </w:r>
      <w:r>
        <w:instrText xml:space="preserve"> PAGEREF _Toc351626667 \h </w:instrText>
      </w:r>
      <w:r w:rsidR="003368B3">
        <w:fldChar w:fldCharType="separate"/>
      </w:r>
      <w:r w:rsidR="005563FA">
        <w:t>15</w:t>
      </w:r>
      <w:r w:rsidR="003368B3">
        <w:fldChar w:fldCharType="end"/>
      </w:r>
    </w:p>
    <w:p w:rsidR="00AB272D" w:rsidP="00FF6874" w:rsidRDefault="00AB272D">
      <w:pPr>
        <w:pStyle w:val="Inhopg2"/>
        <w:rPr>
          <w:rFonts w:asciiTheme="minorHAnsi" w:hAnsiTheme="minorHAnsi" w:eastAsiaTheme="minorEastAsia" w:cstheme="minorBidi"/>
          <w:kern w:val="0"/>
          <w:sz w:val="22"/>
          <w:szCs w:val="22"/>
          <w:lang w:eastAsia="nl-NL" w:bidi="ar-SA"/>
        </w:rPr>
      </w:pPr>
      <w:r>
        <w:t>4.2</w:t>
      </w:r>
      <w:r>
        <w:rPr>
          <w:rFonts w:asciiTheme="minorHAnsi" w:hAnsiTheme="minorHAnsi" w:eastAsiaTheme="minorEastAsia" w:cstheme="minorBidi"/>
          <w:kern w:val="0"/>
          <w:sz w:val="22"/>
          <w:szCs w:val="22"/>
          <w:lang w:eastAsia="nl-NL" w:bidi="ar-SA"/>
        </w:rPr>
        <w:tab/>
      </w:r>
      <w:r>
        <w:t>Normstelling en regelgeving</w:t>
      </w:r>
      <w:r>
        <w:tab/>
      </w:r>
      <w:r w:rsidR="003368B3">
        <w:fldChar w:fldCharType="begin"/>
      </w:r>
      <w:r>
        <w:instrText xml:space="preserve"> PAGEREF _Toc351626668 \h </w:instrText>
      </w:r>
      <w:r w:rsidR="003368B3">
        <w:fldChar w:fldCharType="separate"/>
      </w:r>
      <w:r w:rsidR="005563FA">
        <w:t>16</w:t>
      </w:r>
      <w:r w:rsidR="003368B3">
        <w:fldChar w:fldCharType="end"/>
      </w:r>
    </w:p>
    <w:p w:rsidR="00AB272D" w:rsidP="00FF6874" w:rsidRDefault="00AB272D">
      <w:pPr>
        <w:pStyle w:val="Inhopg2"/>
        <w:rPr>
          <w:rFonts w:asciiTheme="minorHAnsi" w:hAnsiTheme="minorHAnsi" w:eastAsiaTheme="minorEastAsia" w:cstheme="minorBidi"/>
          <w:kern w:val="0"/>
          <w:sz w:val="22"/>
          <w:szCs w:val="22"/>
          <w:lang w:eastAsia="nl-NL" w:bidi="ar-SA"/>
        </w:rPr>
      </w:pPr>
      <w:r>
        <w:t>4.3</w:t>
      </w:r>
      <w:r>
        <w:rPr>
          <w:rFonts w:asciiTheme="minorHAnsi" w:hAnsiTheme="minorHAnsi" w:eastAsiaTheme="minorEastAsia" w:cstheme="minorBidi"/>
          <w:kern w:val="0"/>
          <w:sz w:val="22"/>
          <w:szCs w:val="22"/>
          <w:lang w:eastAsia="nl-NL" w:bidi="ar-SA"/>
        </w:rPr>
        <w:tab/>
      </w:r>
      <w:r>
        <w:t>Voorlichting en communicatie</w:t>
      </w:r>
      <w:r>
        <w:tab/>
      </w:r>
      <w:r w:rsidR="003368B3">
        <w:fldChar w:fldCharType="begin"/>
      </w:r>
      <w:r>
        <w:instrText xml:space="preserve"> PAGEREF _Toc351626669 \h </w:instrText>
      </w:r>
      <w:r w:rsidR="003368B3">
        <w:fldChar w:fldCharType="separate"/>
      </w:r>
      <w:r w:rsidR="005563FA">
        <w:t>16</w:t>
      </w:r>
      <w:r w:rsidR="003368B3">
        <w:fldChar w:fldCharType="end"/>
      </w:r>
    </w:p>
    <w:p w:rsidR="00AB272D" w:rsidP="00FF6874" w:rsidRDefault="00AB272D">
      <w:pPr>
        <w:pStyle w:val="Inhopg2"/>
        <w:rPr>
          <w:rFonts w:asciiTheme="minorHAnsi" w:hAnsiTheme="minorHAnsi" w:eastAsiaTheme="minorEastAsia" w:cstheme="minorBidi"/>
          <w:kern w:val="0"/>
          <w:sz w:val="22"/>
          <w:szCs w:val="22"/>
          <w:lang w:eastAsia="nl-NL" w:bidi="ar-SA"/>
        </w:rPr>
      </w:pPr>
      <w:r>
        <w:t>4.4</w:t>
      </w:r>
      <w:r>
        <w:rPr>
          <w:rFonts w:asciiTheme="minorHAnsi" w:hAnsiTheme="minorHAnsi" w:eastAsiaTheme="minorEastAsia" w:cstheme="minorBidi"/>
          <w:kern w:val="0"/>
          <w:sz w:val="22"/>
          <w:szCs w:val="22"/>
          <w:lang w:eastAsia="nl-NL" w:bidi="ar-SA"/>
        </w:rPr>
        <w:tab/>
      </w:r>
      <w:r>
        <w:t>Toezicht en handhaving</w:t>
      </w:r>
      <w:r>
        <w:tab/>
      </w:r>
      <w:r w:rsidR="003368B3">
        <w:fldChar w:fldCharType="begin"/>
      </w:r>
      <w:r>
        <w:instrText xml:space="preserve"> PAGEREF _Toc351626670 \h </w:instrText>
      </w:r>
      <w:r w:rsidR="003368B3">
        <w:fldChar w:fldCharType="separate"/>
      </w:r>
      <w:r w:rsidR="005563FA">
        <w:t>17</w:t>
      </w:r>
      <w:r w:rsidR="003368B3">
        <w:fldChar w:fldCharType="end"/>
      </w:r>
    </w:p>
    <w:p w:rsidR="00AB272D" w:rsidP="00FF6874" w:rsidRDefault="00AB272D">
      <w:pPr>
        <w:pStyle w:val="Inhopg1"/>
        <w:rPr>
          <w:rFonts w:asciiTheme="minorHAnsi" w:hAnsiTheme="minorHAnsi" w:eastAsiaTheme="minorEastAsia" w:cstheme="minorBidi"/>
          <w:kern w:val="0"/>
          <w:sz w:val="22"/>
          <w:szCs w:val="22"/>
          <w:lang w:eastAsia="nl-NL" w:bidi="ar-SA"/>
        </w:rPr>
      </w:pPr>
      <w:r>
        <w:t>5</w:t>
      </w:r>
      <w:r>
        <w:rPr>
          <w:rFonts w:asciiTheme="minorHAnsi" w:hAnsiTheme="minorHAnsi" w:eastAsiaTheme="minorEastAsia" w:cstheme="minorBidi"/>
          <w:kern w:val="0"/>
          <w:sz w:val="22"/>
          <w:szCs w:val="22"/>
          <w:lang w:eastAsia="nl-NL" w:bidi="ar-SA"/>
        </w:rPr>
        <w:tab/>
      </w:r>
      <w:r>
        <w:t>Resultaten letselpreventiebeleid 2008-2012</w:t>
      </w:r>
      <w:r>
        <w:tab/>
      </w:r>
      <w:r w:rsidR="003368B3">
        <w:fldChar w:fldCharType="begin"/>
      </w:r>
      <w:r>
        <w:instrText xml:space="preserve"> PAGEREF _Toc351626671 \h </w:instrText>
      </w:r>
      <w:r w:rsidR="003368B3">
        <w:fldChar w:fldCharType="separate"/>
      </w:r>
      <w:r w:rsidR="005563FA">
        <w:t>18</w:t>
      </w:r>
      <w:r w:rsidR="003368B3">
        <w:fldChar w:fldCharType="end"/>
      </w:r>
    </w:p>
    <w:p w:rsidR="00AB272D" w:rsidP="00FF6874" w:rsidRDefault="00AB272D">
      <w:pPr>
        <w:pStyle w:val="Inhopg2"/>
        <w:rPr>
          <w:rFonts w:asciiTheme="minorHAnsi" w:hAnsiTheme="minorHAnsi" w:eastAsiaTheme="minorEastAsia" w:cstheme="minorBidi"/>
          <w:kern w:val="0"/>
          <w:sz w:val="22"/>
          <w:szCs w:val="22"/>
          <w:lang w:eastAsia="nl-NL" w:bidi="ar-SA"/>
        </w:rPr>
      </w:pPr>
      <w:r>
        <w:t>5.1</w:t>
      </w:r>
      <w:r>
        <w:rPr>
          <w:rFonts w:asciiTheme="minorHAnsi" w:hAnsiTheme="minorHAnsi" w:eastAsiaTheme="minorEastAsia" w:cstheme="minorBidi"/>
          <w:kern w:val="0"/>
          <w:sz w:val="22"/>
          <w:szCs w:val="22"/>
          <w:lang w:eastAsia="nl-NL" w:bidi="ar-SA"/>
        </w:rPr>
        <w:tab/>
      </w:r>
      <w:r>
        <w:t>Voorkomen van gezondheidsschade door ongevallen</w:t>
      </w:r>
      <w:r>
        <w:tab/>
      </w:r>
      <w:r w:rsidR="003368B3">
        <w:fldChar w:fldCharType="begin"/>
      </w:r>
      <w:r>
        <w:instrText xml:space="preserve"> PAGEREF _Toc351626672 \h </w:instrText>
      </w:r>
      <w:r w:rsidR="003368B3">
        <w:fldChar w:fldCharType="separate"/>
      </w:r>
      <w:r w:rsidR="005563FA">
        <w:t>18</w:t>
      </w:r>
      <w:r w:rsidR="003368B3">
        <w:fldChar w:fldCharType="end"/>
      </w:r>
    </w:p>
    <w:p w:rsidR="00AB272D" w:rsidP="00FF6874" w:rsidRDefault="00AB272D">
      <w:pPr>
        <w:pStyle w:val="Inhopg2"/>
        <w:rPr>
          <w:rFonts w:asciiTheme="minorHAnsi" w:hAnsiTheme="minorHAnsi" w:eastAsiaTheme="minorEastAsia" w:cstheme="minorBidi"/>
          <w:kern w:val="0"/>
          <w:sz w:val="22"/>
          <w:szCs w:val="22"/>
          <w:lang w:eastAsia="nl-NL" w:bidi="ar-SA"/>
        </w:rPr>
      </w:pPr>
      <w:r>
        <w:t>5.2</w:t>
      </w:r>
      <w:r>
        <w:rPr>
          <w:rFonts w:asciiTheme="minorHAnsi" w:hAnsiTheme="minorHAnsi" w:eastAsiaTheme="minorEastAsia" w:cstheme="minorBidi"/>
          <w:kern w:val="0"/>
          <w:sz w:val="22"/>
          <w:szCs w:val="22"/>
          <w:lang w:eastAsia="nl-NL" w:bidi="ar-SA"/>
        </w:rPr>
        <w:tab/>
      </w:r>
      <w:r>
        <w:t>Bevorderen van een veilige omgeving en omstandigheden</w:t>
      </w:r>
      <w:r>
        <w:tab/>
      </w:r>
      <w:r w:rsidR="003368B3">
        <w:fldChar w:fldCharType="begin"/>
      </w:r>
      <w:r>
        <w:instrText xml:space="preserve"> PAGEREF _Toc351626673 \h </w:instrText>
      </w:r>
      <w:r w:rsidR="003368B3">
        <w:fldChar w:fldCharType="separate"/>
      </w:r>
      <w:r w:rsidR="005563FA">
        <w:t>26</w:t>
      </w:r>
      <w:r w:rsidR="003368B3">
        <w:fldChar w:fldCharType="end"/>
      </w:r>
    </w:p>
    <w:p w:rsidR="00AB272D" w:rsidP="00FF6874" w:rsidRDefault="00AB272D">
      <w:pPr>
        <w:pStyle w:val="Inhopg2"/>
        <w:rPr>
          <w:rFonts w:asciiTheme="minorHAnsi" w:hAnsiTheme="minorHAnsi" w:eastAsiaTheme="minorEastAsia" w:cstheme="minorBidi"/>
          <w:kern w:val="0"/>
          <w:sz w:val="22"/>
          <w:szCs w:val="22"/>
          <w:lang w:eastAsia="nl-NL" w:bidi="ar-SA"/>
        </w:rPr>
      </w:pPr>
      <w:r>
        <w:t>5.3</w:t>
      </w:r>
      <w:r>
        <w:rPr>
          <w:rFonts w:asciiTheme="minorHAnsi" w:hAnsiTheme="minorHAnsi" w:eastAsiaTheme="minorEastAsia" w:cstheme="minorBidi"/>
          <w:kern w:val="0"/>
          <w:sz w:val="22"/>
          <w:szCs w:val="22"/>
          <w:lang w:eastAsia="nl-NL" w:bidi="ar-SA"/>
        </w:rPr>
        <w:tab/>
      </w:r>
      <w:r>
        <w:t>Bevorderen van veilig gedrag</w:t>
      </w:r>
      <w:r>
        <w:tab/>
      </w:r>
      <w:r w:rsidR="003368B3">
        <w:fldChar w:fldCharType="begin"/>
      </w:r>
      <w:r>
        <w:instrText xml:space="preserve"> PAGEREF _Toc351626674 \h </w:instrText>
      </w:r>
      <w:r w:rsidR="003368B3">
        <w:fldChar w:fldCharType="separate"/>
      </w:r>
      <w:r w:rsidR="005563FA">
        <w:t>27</w:t>
      </w:r>
      <w:r w:rsidR="003368B3">
        <w:fldChar w:fldCharType="end"/>
      </w:r>
    </w:p>
    <w:p w:rsidR="00AB272D" w:rsidP="00FF6874" w:rsidRDefault="00AB272D">
      <w:pPr>
        <w:pStyle w:val="Inhopg2"/>
        <w:rPr>
          <w:rFonts w:asciiTheme="minorHAnsi" w:hAnsiTheme="minorHAnsi" w:eastAsiaTheme="minorEastAsia" w:cstheme="minorBidi"/>
          <w:kern w:val="0"/>
          <w:sz w:val="22"/>
          <w:szCs w:val="22"/>
          <w:lang w:eastAsia="nl-NL" w:bidi="ar-SA"/>
        </w:rPr>
      </w:pPr>
      <w:r>
        <w:t>5.4</w:t>
      </w:r>
      <w:r>
        <w:rPr>
          <w:rFonts w:asciiTheme="minorHAnsi" w:hAnsiTheme="minorHAnsi" w:eastAsiaTheme="minorEastAsia" w:cstheme="minorBidi"/>
          <w:kern w:val="0"/>
          <w:sz w:val="22"/>
          <w:szCs w:val="22"/>
          <w:lang w:eastAsia="nl-NL" w:bidi="ar-SA"/>
        </w:rPr>
        <w:tab/>
      </w:r>
      <w:r>
        <w:t>Realisatie voornemens beleidsbrief</w:t>
      </w:r>
      <w:r>
        <w:tab/>
      </w:r>
      <w:r w:rsidR="003368B3">
        <w:fldChar w:fldCharType="begin"/>
      </w:r>
      <w:r>
        <w:instrText xml:space="preserve"> PAGEREF _Toc351626675 \h </w:instrText>
      </w:r>
      <w:r w:rsidR="003368B3">
        <w:fldChar w:fldCharType="separate"/>
      </w:r>
      <w:r w:rsidR="005563FA">
        <w:t>27</w:t>
      </w:r>
      <w:r w:rsidR="003368B3">
        <w:fldChar w:fldCharType="end"/>
      </w:r>
    </w:p>
    <w:p w:rsidR="00AB272D" w:rsidP="00FF6874" w:rsidRDefault="00AB272D">
      <w:pPr>
        <w:pStyle w:val="Inhopg1"/>
        <w:rPr>
          <w:rFonts w:asciiTheme="minorHAnsi" w:hAnsiTheme="minorHAnsi" w:eastAsiaTheme="minorEastAsia" w:cstheme="minorBidi"/>
          <w:kern w:val="0"/>
          <w:sz w:val="22"/>
          <w:szCs w:val="22"/>
          <w:lang w:eastAsia="nl-NL" w:bidi="ar-SA"/>
        </w:rPr>
      </w:pPr>
      <w:r>
        <w:t>6</w:t>
      </w:r>
      <w:r>
        <w:rPr>
          <w:rFonts w:asciiTheme="minorHAnsi" w:hAnsiTheme="minorHAnsi" w:eastAsiaTheme="minorEastAsia" w:cstheme="minorBidi"/>
          <w:kern w:val="0"/>
          <w:sz w:val="22"/>
          <w:szCs w:val="22"/>
          <w:lang w:eastAsia="nl-NL" w:bidi="ar-SA"/>
        </w:rPr>
        <w:tab/>
      </w:r>
      <w:r>
        <w:t>Financiën</w:t>
      </w:r>
      <w:r>
        <w:tab/>
      </w:r>
      <w:r w:rsidR="003368B3">
        <w:fldChar w:fldCharType="begin"/>
      </w:r>
      <w:r>
        <w:instrText xml:space="preserve"> PAGEREF _Toc351626676 \h </w:instrText>
      </w:r>
      <w:r w:rsidR="003368B3">
        <w:fldChar w:fldCharType="separate"/>
      </w:r>
      <w:r w:rsidR="005563FA">
        <w:t>31</w:t>
      </w:r>
      <w:r w:rsidR="003368B3">
        <w:fldChar w:fldCharType="end"/>
      </w:r>
    </w:p>
    <w:p w:rsidR="00AB272D" w:rsidP="00FF6874" w:rsidRDefault="00AB272D">
      <w:pPr>
        <w:pStyle w:val="Inhopg1"/>
        <w:rPr>
          <w:rFonts w:asciiTheme="minorHAnsi" w:hAnsiTheme="minorHAnsi" w:eastAsiaTheme="minorEastAsia" w:cstheme="minorBidi"/>
          <w:kern w:val="0"/>
          <w:sz w:val="22"/>
          <w:szCs w:val="22"/>
          <w:lang w:eastAsia="nl-NL" w:bidi="ar-SA"/>
        </w:rPr>
      </w:pPr>
      <w:r>
        <w:t>7</w:t>
      </w:r>
      <w:r>
        <w:rPr>
          <w:rFonts w:asciiTheme="minorHAnsi" w:hAnsiTheme="minorHAnsi" w:eastAsiaTheme="minorEastAsia" w:cstheme="minorBidi"/>
          <w:kern w:val="0"/>
          <w:sz w:val="22"/>
          <w:szCs w:val="22"/>
          <w:lang w:eastAsia="nl-NL" w:bidi="ar-SA"/>
        </w:rPr>
        <w:tab/>
      </w:r>
      <w:r>
        <w:t>Percepties belanghebbenden (klankbordgroep)</w:t>
      </w:r>
      <w:r>
        <w:tab/>
      </w:r>
      <w:r w:rsidR="003368B3">
        <w:fldChar w:fldCharType="begin"/>
      </w:r>
      <w:r>
        <w:instrText xml:space="preserve"> PAGEREF _Toc351626677 \h </w:instrText>
      </w:r>
      <w:r w:rsidR="003368B3">
        <w:fldChar w:fldCharType="separate"/>
      </w:r>
      <w:r w:rsidR="005563FA">
        <w:t>33</w:t>
      </w:r>
      <w:r w:rsidR="003368B3">
        <w:fldChar w:fldCharType="end"/>
      </w:r>
    </w:p>
    <w:p w:rsidR="00AB272D" w:rsidP="00FF6874" w:rsidRDefault="00AB272D">
      <w:pPr>
        <w:pStyle w:val="Inhopg2"/>
        <w:rPr>
          <w:rFonts w:asciiTheme="minorHAnsi" w:hAnsiTheme="minorHAnsi" w:eastAsiaTheme="minorEastAsia" w:cstheme="minorBidi"/>
          <w:kern w:val="0"/>
          <w:sz w:val="22"/>
          <w:szCs w:val="22"/>
          <w:lang w:eastAsia="nl-NL" w:bidi="ar-SA"/>
        </w:rPr>
      </w:pPr>
      <w:r>
        <w:t>7.1</w:t>
      </w:r>
      <w:r>
        <w:rPr>
          <w:rFonts w:asciiTheme="minorHAnsi" w:hAnsiTheme="minorHAnsi" w:eastAsiaTheme="minorEastAsia" w:cstheme="minorBidi"/>
          <w:kern w:val="0"/>
          <w:sz w:val="22"/>
          <w:szCs w:val="22"/>
          <w:lang w:eastAsia="nl-NL" w:bidi="ar-SA"/>
        </w:rPr>
        <w:tab/>
      </w:r>
      <w:r>
        <w:t>Legitimiteit</w:t>
      </w:r>
      <w:r>
        <w:tab/>
      </w:r>
      <w:r w:rsidR="003368B3">
        <w:fldChar w:fldCharType="begin"/>
      </w:r>
      <w:r>
        <w:instrText xml:space="preserve"> PAGEREF _Toc351626678 \h </w:instrText>
      </w:r>
      <w:r w:rsidR="003368B3">
        <w:fldChar w:fldCharType="separate"/>
      </w:r>
      <w:r w:rsidR="005563FA">
        <w:t>33</w:t>
      </w:r>
      <w:r w:rsidR="003368B3">
        <w:fldChar w:fldCharType="end"/>
      </w:r>
    </w:p>
    <w:p w:rsidR="00AB272D" w:rsidP="00FF6874" w:rsidRDefault="00AB272D">
      <w:pPr>
        <w:pStyle w:val="Inhopg2"/>
        <w:rPr>
          <w:rFonts w:asciiTheme="minorHAnsi" w:hAnsiTheme="minorHAnsi" w:eastAsiaTheme="minorEastAsia" w:cstheme="minorBidi"/>
          <w:kern w:val="0"/>
          <w:sz w:val="22"/>
          <w:szCs w:val="22"/>
          <w:lang w:eastAsia="nl-NL" w:bidi="ar-SA"/>
        </w:rPr>
      </w:pPr>
      <w:r>
        <w:t>7.2</w:t>
      </w:r>
      <w:r>
        <w:rPr>
          <w:rFonts w:asciiTheme="minorHAnsi" w:hAnsiTheme="minorHAnsi" w:eastAsiaTheme="minorEastAsia" w:cstheme="minorBidi"/>
          <w:kern w:val="0"/>
          <w:sz w:val="22"/>
          <w:szCs w:val="22"/>
          <w:lang w:eastAsia="nl-NL" w:bidi="ar-SA"/>
        </w:rPr>
        <w:tab/>
      </w:r>
      <w:r>
        <w:t>Doeltreffendheid en doelmatigheid</w:t>
      </w:r>
      <w:r>
        <w:tab/>
      </w:r>
      <w:r w:rsidR="003368B3">
        <w:fldChar w:fldCharType="begin"/>
      </w:r>
      <w:r>
        <w:instrText xml:space="preserve"> PAGEREF _Toc351626679 \h </w:instrText>
      </w:r>
      <w:r w:rsidR="003368B3">
        <w:fldChar w:fldCharType="separate"/>
      </w:r>
      <w:r w:rsidR="005563FA">
        <w:t>33</w:t>
      </w:r>
      <w:r w:rsidR="003368B3">
        <w:fldChar w:fldCharType="end"/>
      </w:r>
    </w:p>
    <w:p w:rsidR="00AB272D" w:rsidP="00FF6874" w:rsidRDefault="00AB272D">
      <w:pPr>
        <w:pStyle w:val="Inhopg2"/>
        <w:rPr>
          <w:rFonts w:asciiTheme="minorHAnsi" w:hAnsiTheme="minorHAnsi" w:eastAsiaTheme="minorEastAsia" w:cstheme="minorBidi"/>
          <w:kern w:val="0"/>
          <w:sz w:val="22"/>
          <w:szCs w:val="22"/>
          <w:lang w:eastAsia="nl-NL" w:bidi="ar-SA"/>
        </w:rPr>
      </w:pPr>
      <w:r>
        <w:t>7.3</w:t>
      </w:r>
      <w:r>
        <w:rPr>
          <w:rFonts w:asciiTheme="minorHAnsi" w:hAnsiTheme="minorHAnsi" w:eastAsiaTheme="minorEastAsia" w:cstheme="minorBidi"/>
          <w:kern w:val="0"/>
          <w:sz w:val="22"/>
          <w:szCs w:val="22"/>
          <w:lang w:eastAsia="nl-NL" w:bidi="ar-SA"/>
        </w:rPr>
        <w:tab/>
      </w:r>
      <w:r>
        <w:t>Aanbevelingen</w:t>
      </w:r>
      <w:r>
        <w:tab/>
      </w:r>
      <w:r w:rsidR="003368B3">
        <w:fldChar w:fldCharType="begin"/>
      </w:r>
      <w:r>
        <w:instrText xml:space="preserve"> PAGEREF _Toc351626680 \h </w:instrText>
      </w:r>
      <w:r w:rsidR="003368B3">
        <w:fldChar w:fldCharType="separate"/>
      </w:r>
      <w:r w:rsidR="005563FA">
        <w:t>34</w:t>
      </w:r>
      <w:r w:rsidR="003368B3">
        <w:fldChar w:fldCharType="end"/>
      </w:r>
    </w:p>
    <w:p w:rsidR="00AB272D" w:rsidP="00FF6874" w:rsidRDefault="00AB272D">
      <w:pPr>
        <w:pStyle w:val="Inhopg1"/>
        <w:rPr>
          <w:rFonts w:asciiTheme="minorHAnsi" w:hAnsiTheme="minorHAnsi" w:eastAsiaTheme="minorEastAsia" w:cstheme="minorBidi"/>
          <w:kern w:val="0"/>
          <w:sz w:val="22"/>
          <w:szCs w:val="22"/>
          <w:lang w:eastAsia="nl-NL" w:bidi="ar-SA"/>
        </w:rPr>
      </w:pPr>
      <w:r>
        <w:t>8</w:t>
      </w:r>
      <w:r>
        <w:rPr>
          <w:rFonts w:asciiTheme="minorHAnsi" w:hAnsiTheme="minorHAnsi" w:eastAsiaTheme="minorEastAsia" w:cstheme="minorBidi"/>
          <w:kern w:val="0"/>
          <w:sz w:val="22"/>
          <w:szCs w:val="22"/>
          <w:lang w:eastAsia="nl-NL" w:bidi="ar-SA"/>
        </w:rPr>
        <w:tab/>
      </w:r>
      <w:r>
        <w:t>Conclusie</w:t>
      </w:r>
      <w:r>
        <w:tab/>
      </w:r>
      <w:r w:rsidR="003368B3">
        <w:fldChar w:fldCharType="begin"/>
      </w:r>
      <w:r>
        <w:instrText xml:space="preserve"> PAGEREF _Toc351626681 \h </w:instrText>
      </w:r>
      <w:r w:rsidR="003368B3">
        <w:fldChar w:fldCharType="separate"/>
      </w:r>
      <w:r w:rsidR="005563FA">
        <w:t>36</w:t>
      </w:r>
      <w:r w:rsidR="003368B3">
        <w:fldChar w:fldCharType="end"/>
      </w:r>
    </w:p>
    <w:p w:rsidR="00AB272D" w:rsidP="00FF6874" w:rsidRDefault="00AB272D">
      <w:pPr>
        <w:pStyle w:val="Inhopg2"/>
        <w:rPr>
          <w:rFonts w:asciiTheme="minorHAnsi" w:hAnsiTheme="minorHAnsi" w:eastAsiaTheme="minorEastAsia" w:cstheme="minorBidi"/>
          <w:kern w:val="0"/>
          <w:sz w:val="22"/>
          <w:szCs w:val="22"/>
          <w:lang w:eastAsia="nl-NL" w:bidi="ar-SA"/>
        </w:rPr>
      </w:pPr>
      <w:r>
        <w:t>8.1</w:t>
      </w:r>
      <w:r>
        <w:rPr>
          <w:rFonts w:asciiTheme="minorHAnsi" w:hAnsiTheme="minorHAnsi" w:eastAsiaTheme="minorEastAsia" w:cstheme="minorBidi"/>
          <w:kern w:val="0"/>
          <w:sz w:val="22"/>
          <w:szCs w:val="22"/>
          <w:lang w:eastAsia="nl-NL" w:bidi="ar-SA"/>
        </w:rPr>
        <w:tab/>
      </w:r>
      <w:r>
        <w:t>Aanleiding beleid</w:t>
      </w:r>
      <w:r>
        <w:tab/>
      </w:r>
      <w:r w:rsidR="003368B3">
        <w:fldChar w:fldCharType="begin"/>
      </w:r>
      <w:r>
        <w:instrText xml:space="preserve"> PAGEREF _Toc351626682 \h </w:instrText>
      </w:r>
      <w:r w:rsidR="003368B3">
        <w:fldChar w:fldCharType="separate"/>
      </w:r>
      <w:r w:rsidR="005563FA">
        <w:t>36</w:t>
      </w:r>
      <w:r w:rsidR="003368B3">
        <w:fldChar w:fldCharType="end"/>
      </w:r>
    </w:p>
    <w:p w:rsidR="00AB272D" w:rsidP="00FF6874" w:rsidRDefault="00AB272D">
      <w:pPr>
        <w:pStyle w:val="Inhopg2"/>
        <w:rPr>
          <w:rFonts w:asciiTheme="minorHAnsi" w:hAnsiTheme="minorHAnsi" w:eastAsiaTheme="minorEastAsia" w:cstheme="minorBidi"/>
          <w:kern w:val="0"/>
          <w:sz w:val="22"/>
          <w:szCs w:val="22"/>
          <w:lang w:eastAsia="nl-NL" w:bidi="ar-SA"/>
        </w:rPr>
      </w:pPr>
      <w:r>
        <w:t>8.2</w:t>
      </w:r>
      <w:r>
        <w:rPr>
          <w:rFonts w:asciiTheme="minorHAnsi" w:hAnsiTheme="minorHAnsi" w:eastAsiaTheme="minorEastAsia" w:cstheme="minorBidi"/>
          <w:kern w:val="0"/>
          <w:sz w:val="22"/>
          <w:szCs w:val="22"/>
          <w:lang w:eastAsia="nl-NL" w:bidi="ar-SA"/>
        </w:rPr>
        <w:tab/>
      </w:r>
      <w:r>
        <w:t>Rol van de overheid</w:t>
      </w:r>
      <w:r>
        <w:tab/>
      </w:r>
      <w:r w:rsidR="003368B3">
        <w:fldChar w:fldCharType="begin"/>
      </w:r>
      <w:r>
        <w:instrText xml:space="preserve"> PAGEREF _Toc351626683 \h </w:instrText>
      </w:r>
      <w:r w:rsidR="003368B3">
        <w:fldChar w:fldCharType="separate"/>
      </w:r>
      <w:r w:rsidR="005563FA">
        <w:t>36</w:t>
      </w:r>
      <w:r w:rsidR="003368B3">
        <w:fldChar w:fldCharType="end"/>
      </w:r>
    </w:p>
    <w:p w:rsidR="00AB272D" w:rsidP="00FF6874" w:rsidRDefault="00AB272D">
      <w:pPr>
        <w:pStyle w:val="Inhopg2"/>
        <w:rPr>
          <w:rFonts w:asciiTheme="minorHAnsi" w:hAnsiTheme="minorHAnsi" w:eastAsiaTheme="minorEastAsia" w:cstheme="minorBidi"/>
          <w:kern w:val="0"/>
          <w:sz w:val="22"/>
          <w:szCs w:val="22"/>
          <w:lang w:eastAsia="nl-NL" w:bidi="ar-SA"/>
        </w:rPr>
      </w:pPr>
      <w:r>
        <w:t>8.3</w:t>
      </w:r>
      <w:r>
        <w:rPr>
          <w:rFonts w:asciiTheme="minorHAnsi" w:hAnsiTheme="minorHAnsi" w:eastAsiaTheme="minorEastAsia" w:cstheme="minorBidi"/>
          <w:kern w:val="0"/>
          <w:sz w:val="22"/>
          <w:szCs w:val="22"/>
          <w:lang w:eastAsia="nl-NL" w:bidi="ar-SA"/>
        </w:rPr>
        <w:tab/>
      </w:r>
      <w:r>
        <w:t>Doeltreffendheid en doelmatigheid</w:t>
      </w:r>
      <w:r>
        <w:tab/>
      </w:r>
      <w:r w:rsidR="003368B3">
        <w:fldChar w:fldCharType="begin"/>
      </w:r>
      <w:r>
        <w:instrText xml:space="preserve"> PAGEREF _Toc351626684 \h </w:instrText>
      </w:r>
      <w:r w:rsidR="003368B3">
        <w:fldChar w:fldCharType="separate"/>
      </w:r>
      <w:r w:rsidR="005563FA">
        <w:t>37</w:t>
      </w:r>
      <w:r w:rsidR="003368B3">
        <w:fldChar w:fldCharType="end"/>
      </w:r>
    </w:p>
    <w:p w:rsidR="00AB272D" w:rsidP="00FF6874" w:rsidRDefault="00AB272D">
      <w:pPr>
        <w:pStyle w:val="Inhopg1"/>
        <w:rPr>
          <w:rFonts w:asciiTheme="minorHAnsi" w:hAnsiTheme="minorHAnsi" w:eastAsiaTheme="minorEastAsia" w:cstheme="minorBidi"/>
          <w:kern w:val="0"/>
          <w:sz w:val="22"/>
          <w:szCs w:val="22"/>
          <w:lang w:eastAsia="nl-NL" w:bidi="ar-SA"/>
        </w:rPr>
      </w:pPr>
      <w:r>
        <w:t>Afkortingen</w:t>
      </w:r>
      <w:r>
        <w:tab/>
      </w:r>
      <w:r w:rsidR="003368B3">
        <w:fldChar w:fldCharType="begin"/>
      </w:r>
      <w:r>
        <w:instrText xml:space="preserve"> PAGEREF _Toc351626685 \h </w:instrText>
      </w:r>
      <w:r w:rsidR="003368B3">
        <w:fldChar w:fldCharType="separate"/>
      </w:r>
      <w:r w:rsidR="005563FA">
        <w:t>39</w:t>
      </w:r>
      <w:r w:rsidR="003368B3">
        <w:fldChar w:fldCharType="end"/>
      </w:r>
    </w:p>
    <w:p w:rsidR="00AB272D" w:rsidP="00FF6874" w:rsidRDefault="00AB272D">
      <w:pPr>
        <w:pStyle w:val="Inhopg1"/>
        <w:rPr>
          <w:rFonts w:asciiTheme="minorHAnsi" w:hAnsiTheme="minorHAnsi" w:eastAsiaTheme="minorEastAsia" w:cstheme="minorBidi"/>
          <w:kern w:val="0"/>
          <w:sz w:val="22"/>
          <w:szCs w:val="22"/>
          <w:lang w:eastAsia="nl-NL" w:bidi="ar-SA"/>
        </w:rPr>
      </w:pPr>
      <w:r>
        <w:t>Referenties</w:t>
      </w:r>
      <w:r>
        <w:tab/>
      </w:r>
      <w:r w:rsidR="003368B3">
        <w:fldChar w:fldCharType="begin"/>
      </w:r>
      <w:r>
        <w:instrText xml:space="preserve"> PAGEREF _Toc351626686 \h </w:instrText>
      </w:r>
      <w:r w:rsidR="003368B3">
        <w:fldChar w:fldCharType="separate"/>
      </w:r>
      <w:r w:rsidR="005563FA">
        <w:t>40</w:t>
      </w:r>
      <w:r w:rsidR="003368B3">
        <w:fldChar w:fldCharType="end"/>
      </w:r>
    </w:p>
    <w:p w:rsidR="00AB272D" w:rsidP="00FF6874" w:rsidRDefault="00AB272D">
      <w:pPr>
        <w:pStyle w:val="Inhopg1"/>
        <w:rPr>
          <w:rFonts w:asciiTheme="minorHAnsi" w:hAnsiTheme="minorHAnsi" w:eastAsiaTheme="minorEastAsia" w:cstheme="minorBidi"/>
          <w:kern w:val="0"/>
          <w:sz w:val="22"/>
          <w:szCs w:val="22"/>
          <w:lang w:eastAsia="nl-NL" w:bidi="ar-SA"/>
        </w:rPr>
      </w:pPr>
      <w:r>
        <w:t>Bijlage 1: Samenstelling klankbordgroep en begeleidingsgroep</w:t>
      </w:r>
      <w:r>
        <w:tab/>
      </w:r>
      <w:r w:rsidR="003368B3">
        <w:fldChar w:fldCharType="begin"/>
      </w:r>
      <w:r>
        <w:instrText xml:space="preserve"> PAGEREF _Toc351626687 \h </w:instrText>
      </w:r>
      <w:r w:rsidR="003368B3">
        <w:fldChar w:fldCharType="separate"/>
      </w:r>
      <w:r w:rsidR="005563FA">
        <w:t>42</w:t>
      </w:r>
      <w:r w:rsidR="003368B3">
        <w:fldChar w:fldCharType="end"/>
      </w:r>
    </w:p>
    <w:p w:rsidR="00AB272D" w:rsidP="00FF6874" w:rsidRDefault="00AB272D">
      <w:pPr>
        <w:pStyle w:val="Inhopg1"/>
        <w:rPr>
          <w:rFonts w:asciiTheme="minorHAnsi" w:hAnsiTheme="minorHAnsi" w:eastAsiaTheme="minorEastAsia" w:cstheme="minorBidi"/>
          <w:kern w:val="0"/>
          <w:sz w:val="22"/>
          <w:szCs w:val="22"/>
          <w:lang w:eastAsia="nl-NL" w:bidi="ar-SA"/>
        </w:rPr>
      </w:pPr>
      <w:r>
        <w:t>Bijlage 2: Lijst geïnterviewden</w:t>
      </w:r>
      <w:r>
        <w:tab/>
      </w:r>
      <w:r w:rsidR="003368B3">
        <w:fldChar w:fldCharType="begin"/>
      </w:r>
      <w:r>
        <w:instrText xml:space="preserve"> PAGEREF _Toc351626688 \h </w:instrText>
      </w:r>
      <w:r w:rsidR="003368B3">
        <w:fldChar w:fldCharType="separate"/>
      </w:r>
      <w:r w:rsidR="005563FA">
        <w:t>43</w:t>
      </w:r>
      <w:r w:rsidR="003368B3">
        <w:fldChar w:fldCharType="end"/>
      </w:r>
    </w:p>
    <w:p w:rsidR="00F27B76" w:rsidP="00FF6874" w:rsidRDefault="00AB272D">
      <w:pPr>
        <w:pStyle w:val="Inhopg1"/>
        <w:rPr>
          <w:sz w:val="24"/>
        </w:rPr>
      </w:pPr>
      <w:r>
        <w:t>Bijlage 3: specifieke informatie realisatie beleidsbrief 2008 - 2012</w:t>
      </w:r>
      <w:r>
        <w:tab/>
      </w:r>
      <w:r w:rsidR="003368B3">
        <w:fldChar w:fldCharType="begin"/>
      </w:r>
      <w:r>
        <w:instrText xml:space="preserve"> PAGEREF _Toc351626689 \h </w:instrText>
      </w:r>
      <w:r w:rsidR="003368B3">
        <w:fldChar w:fldCharType="separate"/>
      </w:r>
      <w:r w:rsidR="005563FA">
        <w:t>44</w:t>
      </w:r>
      <w:r w:rsidR="003368B3">
        <w:fldChar w:fldCharType="end"/>
      </w:r>
      <w:r w:rsidR="003368B3">
        <w:fldChar w:fldCharType="end"/>
      </w:r>
      <w:r w:rsidR="00F27B76">
        <w:br w:type="page"/>
      </w:r>
    </w:p>
    <w:p w:rsidR="00F630E1" w:rsidP="0016573E" w:rsidRDefault="00DD37E9">
      <w:pPr>
        <w:pStyle w:val="Huisstijl-Kop1"/>
      </w:pPr>
      <w:bookmarkStart w:name="_Toc351626657" w:id="1"/>
      <w:r>
        <w:lastRenderedPageBreak/>
        <w:t>Inleiding</w:t>
      </w:r>
      <w:bookmarkEnd w:id="1"/>
    </w:p>
    <w:p w:rsidR="00DD37E9" w:rsidP="0016573E" w:rsidRDefault="00DD37E9">
      <w:pPr>
        <w:pStyle w:val="Huisstijl-Kop2"/>
      </w:pPr>
      <w:bookmarkStart w:name="_Toc351626658" w:id="2"/>
      <w:r>
        <w:t>Aanleiding beleidsdoorlichting</w:t>
      </w:r>
      <w:bookmarkEnd w:id="2"/>
    </w:p>
    <w:p w:rsidR="00DB70B8" w:rsidP="0016573E" w:rsidRDefault="00DB70B8">
      <w:r>
        <w:t>Letselpreventie valt onder artikel 41</w:t>
      </w:r>
      <w:r w:rsidR="00255A37">
        <w:rPr>
          <w:rStyle w:val="Voetnootmarkering"/>
        </w:rPr>
        <w:footnoteReference w:id="2"/>
      </w:r>
      <w:r>
        <w:t xml:space="preserve"> Volksgezondheid van het ministerie van VWS</w:t>
      </w:r>
      <w:r w:rsidR="00C863BC">
        <w:t xml:space="preserve">, </w:t>
      </w:r>
      <w:r>
        <w:t xml:space="preserve">dat zich richt op een goede volksgezondheid, waarbij mensen gezond leven en zo min mogelijk bloot staan aan bedreigingen van hun gezondheid. </w:t>
      </w:r>
      <w:r w:rsidR="00C863BC">
        <w:t xml:space="preserve">Letselpreventie </w:t>
      </w:r>
      <w:r w:rsidR="00107DBA">
        <w:t xml:space="preserve">viel voorheen </w:t>
      </w:r>
      <w:r>
        <w:t xml:space="preserve">onder de operationele doelstelling </w:t>
      </w:r>
      <w:r w:rsidR="00107DBA">
        <w:t xml:space="preserve">‘het voorkomen van gezondheidsschade door ongevallen’. Sinds 2011 is </w:t>
      </w:r>
      <w:r w:rsidR="00255A37">
        <w:t>deze doelstelling ondergebracht</w:t>
      </w:r>
      <w:r w:rsidR="00107DBA">
        <w:t xml:space="preserve"> in de operationele doelstelling </w:t>
      </w:r>
      <w:r>
        <w:t>‘meer mensen kiezen voor een gezonde leefstijl (41.3.5)</w:t>
      </w:r>
      <w:r w:rsidR="00107DBA">
        <w:t>. Letselpreventie</w:t>
      </w:r>
      <w:r>
        <w:t xml:space="preserve"> is één van de acht leefstijlonderwerpen waar het ministerie verantwoordelijk voor is. In de begroting staat het </w:t>
      </w:r>
      <w:r w:rsidR="00107DBA">
        <w:t xml:space="preserve">vermeld </w:t>
      </w:r>
      <w:r>
        <w:t>onder 41.5 Stic</w:t>
      </w:r>
      <w:r w:rsidR="00EA760C">
        <w:t xml:space="preserve">hting Consument en Veiligheid – </w:t>
      </w:r>
      <w:r>
        <w:t>nu VeiligheidNL</w:t>
      </w:r>
      <w:r w:rsidR="009E34A7">
        <w:rPr>
          <w:rStyle w:val="Voetnootmarkering"/>
        </w:rPr>
        <w:footnoteReference w:id="3"/>
      </w:r>
      <w:r w:rsidR="00EA760C">
        <w:t xml:space="preserve"> </w:t>
      </w:r>
      <w:r>
        <w:t>- en letsel.</w:t>
      </w:r>
    </w:p>
    <w:p w:rsidR="00DB70B8" w:rsidP="0016573E" w:rsidRDefault="00DB70B8"/>
    <w:p w:rsidRPr="00ED4F37" w:rsidR="00ED4F37" w:rsidP="0016573E" w:rsidRDefault="00107DBA">
      <w:r>
        <w:rPr>
          <w:szCs w:val="18"/>
        </w:rPr>
        <w:t xml:space="preserve">Ter invulling van de diverse begrotingen zijn er </w:t>
      </w:r>
      <w:r w:rsidR="001A78AF">
        <w:rPr>
          <w:szCs w:val="18"/>
        </w:rPr>
        <w:t>meerdere</w:t>
      </w:r>
      <w:r>
        <w:rPr>
          <w:szCs w:val="18"/>
        </w:rPr>
        <w:t xml:space="preserve"> specifieke beleidsbrieven verschenen over letselpreventie. </w:t>
      </w:r>
      <w:r w:rsidRPr="00ED4F37" w:rsidR="00100B31">
        <w:rPr>
          <w:szCs w:val="18"/>
        </w:rPr>
        <w:t>De eerste beleidsbrief over letselpreventie in de privésfeer dateert van 1984 (Kamerstuk 18453, nummer 2, vergaderjaar 1983-1984), gevolgd door een tweede beleidsbrief in 1997 (Kamerstuk 25825, nummers 1-2, vergaderjaar 1997-1998). De huidige beleidsbrief letselpreventie 2008 – 2012 (Kamerstuk 22894, nr 211, vergaderjaar 2009-2009) is net als de vorige beleidsbrieven gericht op privéongevallen, maar richt zich daarnaast op de regierol van het ministerie van VWS</w:t>
      </w:r>
      <w:r>
        <w:rPr>
          <w:szCs w:val="18"/>
        </w:rPr>
        <w:t>. Ook worden in de huidige beleidsbrief</w:t>
      </w:r>
      <w:r w:rsidR="00FE661F">
        <w:rPr>
          <w:szCs w:val="18"/>
        </w:rPr>
        <w:t xml:space="preserve"> </w:t>
      </w:r>
      <w:r w:rsidRPr="00ED4F37" w:rsidR="00100B31">
        <w:rPr>
          <w:szCs w:val="18"/>
        </w:rPr>
        <w:t xml:space="preserve">drie domeinen </w:t>
      </w:r>
      <w:r>
        <w:rPr>
          <w:szCs w:val="18"/>
        </w:rPr>
        <w:t xml:space="preserve">benoemd </w:t>
      </w:r>
      <w:r w:rsidRPr="00ED4F37" w:rsidR="00100B31">
        <w:rPr>
          <w:szCs w:val="18"/>
        </w:rPr>
        <w:t>waar nog relatief veel gezondheidswinst te behalen valt.</w:t>
      </w:r>
      <w:r w:rsidRPr="00ED4F37" w:rsidR="00ED4F37">
        <w:rPr>
          <w:szCs w:val="18"/>
        </w:rPr>
        <w:t xml:space="preserve"> </w:t>
      </w:r>
      <w:r w:rsidRPr="00ED4F37" w:rsidR="00ED4F37">
        <w:t xml:space="preserve">Deze beleidsbrief verscheen naar aanleiding van het RIVM Themarapport </w:t>
      </w:r>
      <w:r w:rsidR="009E34A7">
        <w:t>‘Let op letsels’</w:t>
      </w:r>
      <w:r w:rsidRPr="00ED4F37" w:rsidR="00ED4F37">
        <w:t xml:space="preserve"> (Lanting LC, Hoeymans N, 2008), dat in opdracht van het ministerie van VWS werd geschreven. Het doel van dit rapport was het verschaffen van inzicht in o.a. de omvang van letsels, de risicofactoren, het preventie-aanbod en het beleid daaromtrent. In reactie op dit rapport verwoordde de minister, mede namens de staatssecretaris van VWS, de minister van Justitie, de minister en staatssecretaris van Verkeer en Waterstaat en in afstemming met het ministerie van Sociale Zaken en Werkgelegenheid, standpunten op de aanbevelingen uit het RIVM Themarapport </w:t>
      </w:r>
      <w:r w:rsidR="009E34A7">
        <w:t>‘Let op letsels’</w:t>
      </w:r>
      <w:r w:rsidRPr="00ED4F37" w:rsidR="00ED4F37">
        <w:t xml:space="preserve">. </w:t>
      </w:r>
    </w:p>
    <w:p w:rsidR="00100B31" w:rsidP="0016573E" w:rsidRDefault="00100B31"/>
    <w:p w:rsidR="00DD37E9" w:rsidP="0016573E" w:rsidRDefault="00DD37E9">
      <w:r>
        <w:t>In dit rapport worden de resultaten van</w:t>
      </w:r>
      <w:r w:rsidR="0057672A">
        <w:t xml:space="preserve"> de beleidsdoorlichting</w:t>
      </w:r>
      <w:r w:rsidR="00ED4F37">
        <w:t xml:space="preserve"> 2008-2012 </w:t>
      </w:r>
      <w:r w:rsidR="00C84F3D">
        <w:t xml:space="preserve">beschreven, waarbij specifiek wordt ingegaan op </w:t>
      </w:r>
      <w:r w:rsidR="0057672A">
        <w:t>de</w:t>
      </w:r>
      <w:r w:rsidR="00ED4F37">
        <w:t xml:space="preserve"> resultaten van de geformuleerde voornemens in de beleidsbrief </w:t>
      </w:r>
      <w:r>
        <w:t>letselpreventie 2008-2012.</w:t>
      </w:r>
    </w:p>
    <w:p w:rsidR="0057672A" w:rsidP="0016573E" w:rsidRDefault="0057672A"/>
    <w:p w:rsidR="00BE3872" w:rsidP="0016573E" w:rsidRDefault="00BE3872">
      <w:pPr>
        <w:pStyle w:val="Huisstijl-Kop2"/>
      </w:pPr>
      <w:bookmarkStart w:name="_Toc351626659" w:id="3"/>
      <w:r>
        <w:t>Afbakening</w:t>
      </w:r>
      <w:bookmarkEnd w:id="3"/>
    </w:p>
    <w:p w:rsidR="00BE3872" w:rsidP="0016573E" w:rsidRDefault="00BE3872">
      <w:r>
        <w:t xml:space="preserve">Niet een hersenschudding vormt het aangrijpingspunt voor preventie, maar bijvoorbeeld de val van een trap die de oorzaak van een hersenschudding is. De oorzaken en niet de aard van letsels waren daarom het vertrekpunt van het RIVM Themarapport </w:t>
      </w:r>
      <w:r w:rsidR="009E34A7">
        <w:t>‘Let op letsels’</w:t>
      </w:r>
      <w:r>
        <w:t xml:space="preserve"> en de beleidsbrief. De preventie van lichamelijke letsels als gevolg van privéongevallen, verkeersongevallen, </w:t>
      </w:r>
      <w:r w:rsidR="001A78AF">
        <w:t xml:space="preserve">arbeidsongevallen, </w:t>
      </w:r>
      <w:r>
        <w:t xml:space="preserve">sportblessures, geweld en suïcide staat centraal. </w:t>
      </w:r>
      <w:r w:rsidR="0073354F">
        <w:t>D</w:t>
      </w:r>
      <w:r>
        <w:t xml:space="preserve">eze categorieën </w:t>
      </w:r>
      <w:r w:rsidR="0073354F">
        <w:t>omvatten e</w:t>
      </w:r>
      <w:r>
        <w:t xml:space="preserve">en breed scala aan onderwerpen, bijvoorbeeld fietsongevallen, publiek geweld, brandwonden bij kinderen. De psychische en sociale gevolgen van letsels zijn niet meegenomen in de beleidsevaluatie letselpreventie 2008-2012. Evenals complicaties (medische fouten en onbedoelde schade) als gevolg van genees- en heelkundige </w:t>
      </w:r>
      <w:r>
        <w:lastRenderedPageBreak/>
        <w:t>behandeling. Ook productveiligheid wordt buiten beschouwing gelaten, o</w:t>
      </w:r>
      <w:r w:rsidR="00DB70B8">
        <w:t>mdat dit valt onder de Warenwet en in 201</w:t>
      </w:r>
      <w:r w:rsidR="00AB7878">
        <w:t>4</w:t>
      </w:r>
      <w:r w:rsidR="00DB70B8">
        <w:t xml:space="preserve"> als apart onderwerp zal worden doorgelicht</w:t>
      </w:r>
      <w:r w:rsidR="00B25590">
        <w:t>.</w:t>
      </w:r>
    </w:p>
    <w:p w:rsidR="00BE3872" w:rsidP="0016573E" w:rsidRDefault="00863B9D">
      <w:r>
        <w:t xml:space="preserve">Naast het ministerie van Volksgezondheid, Welzijn en Sport (VWS) </w:t>
      </w:r>
      <w:r w:rsidR="00C863BC">
        <w:t>zijn</w:t>
      </w:r>
      <w:r>
        <w:t xml:space="preserve"> ook de ministeries van Infrastructuur en Milieu (I&amp;M, verkeer), Sociale Zaken en Werkgelegenheid (SZW, arbeid) en Veiligheid</w:t>
      </w:r>
      <w:r w:rsidR="0073354F">
        <w:t xml:space="preserve"> en Justitie</w:t>
      </w:r>
      <w:r>
        <w:t xml:space="preserve"> (V&amp;J, geweld) beleid</w:t>
      </w:r>
      <w:r w:rsidR="00C863BC">
        <w:t>sverantwoordelijk</w:t>
      </w:r>
      <w:r>
        <w:t xml:space="preserve"> op het vlak van letselpreventie</w:t>
      </w:r>
      <w:r w:rsidR="00C863BC">
        <w:t xml:space="preserve"> binnen de genoemde domeinen</w:t>
      </w:r>
      <w:r>
        <w:t xml:space="preserve">. </w:t>
      </w:r>
      <w:r w:rsidR="0073354F">
        <w:t>D</w:t>
      </w:r>
      <w:r>
        <w:t xml:space="preserve">eze </w:t>
      </w:r>
      <w:r w:rsidR="00C863BC">
        <w:t xml:space="preserve">domeinen </w:t>
      </w:r>
      <w:r>
        <w:t xml:space="preserve">worden in </w:t>
      </w:r>
      <w:r w:rsidR="00C863BC">
        <w:t xml:space="preserve">voorliggende </w:t>
      </w:r>
      <w:r>
        <w:t xml:space="preserve">beleidsdoorlichting </w:t>
      </w:r>
      <w:r w:rsidR="001A78AF">
        <w:t>meegenomen voor zover</w:t>
      </w:r>
      <w:r w:rsidR="00C863BC">
        <w:t xml:space="preserve"> ze</w:t>
      </w:r>
      <w:r w:rsidR="0073354F">
        <w:t xml:space="preserve"> genoemd worden in de beleidsbrief letselpreventie 2008-2012. </w:t>
      </w:r>
    </w:p>
    <w:p w:rsidR="00BE3872" w:rsidP="0016573E" w:rsidRDefault="00BE3872">
      <w:pPr>
        <w:pStyle w:val="Huisstijl-Kop2"/>
      </w:pPr>
      <w:bookmarkStart w:name="_Toc351626660" w:id="4"/>
      <w:r>
        <w:t>Aanpak</w:t>
      </w:r>
      <w:bookmarkEnd w:id="4"/>
    </w:p>
    <w:p w:rsidR="00BE3872" w:rsidP="0016573E" w:rsidRDefault="00D408C3">
      <w:r>
        <w:t xml:space="preserve">Periodiek evalueren draagt bij aan de doeltreffendheid en doelmatigheid van het beleid, doordat inzicht ontstaat in de werking van het beleid. </w:t>
      </w:r>
      <w:r w:rsidR="00B540A5">
        <w:t>Het instrument van beleidsdoorlichting staat beschreven in de Regeling Periodiek Evaluatieonderzoek (Rpe)</w:t>
      </w:r>
      <w:r w:rsidR="00B540A5">
        <w:rPr>
          <w:rStyle w:val="Voetnootmarkering"/>
        </w:rPr>
        <w:footnoteReference w:id="4"/>
      </w:r>
      <w:r w:rsidR="00B540A5">
        <w:t xml:space="preserve"> </w:t>
      </w:r>
      <w:r w:rsidR="00BE3872">
        <w:t xml:space="preserve">en maakt onderdeel uit van de Rijksbegrotingsvoorschriften. In de Rpe zijn eisen gesteld aan een beleidsdoorlichting en onderzoeksvragen die beantwoord moeten worden. In eerste instantie is de Rpe bedoeld voor </w:t>
      </w:r>
      <w:r w:rsidR="00B540A5">
        <w:t xml:space="preserve">een </w:t>
      </w:r>
      <w:r w:rsidR="00BE3872">
        <w:t>he</w:t>
      </w:r>
      <w:r w:rsidR="00B540A5">
        <w:t>e</w:t>
      </w:r>
      <w:r w:rsidR="00BE3872">
        <w:t>l beleidsartikel, maar vanwege diversiteit van de thema’s binnen artikel 41 heeft VWS er voor gekozen om de verschillende thema’s in dit artikel apart door te lichten.</w:t>
      </w:r>
    </w:p>
    <w:p w:rsidR="00BE3872" w:rsidP="0016573E" w:rsidRDefault="00BE3872"/>
    <w:p w:rsidR="00BE3872" w:rsidP="0016573E" w:rsidRDefault="00755FE4">
      <w:r>
        <w:t xml:space="preserve">In deze beleidsdoorlichting staat de operationele doelstelling </w:t>
      </w:r>
      <w:r w:rsidR="00255A37">
        <w:t xml:space="preserve">‘het voorkomen van gezondheidsschade door ongevallen’ centraal </w:t>
      </w:r>
      <w:r>
        <w:t xml:space="preserve">(zie hoofdstuk 3). De beleidsbrief en de daarin geformuleerde voornemens leveren een bijdrage aan deze doelstelling. </w:t>
      </w:r>
      <w:r w:rsidR="00BE3872">
        <w:t>Per voornemen uit de beleidsbrief is een analyse van de behaalde resultaten uitgevoerd. Daarvoor zijn diverse (beleids)documenten bestudeerd</w:t>
      </w:r>
      <w:r w:rsidR="00825B02">
        <w:t xml:space="preserve"> (zie referenties)</w:t>
      </w:r>
      <w:r w:rsidR="00BE3872">
        <w:t xml:space="preserve"> en personen van organisaties, die in de beleidsbrief genoemd zijn, geraadpleegd (zie bijlage </w:t>
      </w:r>
      <w:r w:rsidR="00107DBA">
        <w:t>2</w:t>
      </w:r>
      <w:r w:rsidR="00BE3872">
        <w:t>). Daarnaast is een begeleidingsgroep, bestaande uit ambtenaren van het ministerie van VWS, ministerie van SZW, ministerie van I&amp;M en het ministerie van V&amp;J, geformeerd</w:t>
      </w:r>
      <w:r w:rsidR="00197F69">
        <w:t xml:space="preserve"> (zie bijlage 1)</w:t>
      </w:r>
      <w:r w:rsidR="00BE3872">
        <w:t>. Deze begeleidingsgroep is in totaal driemaal bijeen geweest en heeft een inhoudelijke bijdrage geleverd aan d</w:t>
      </w:r>
      <w:r>
        <w:t>eze beleidsdoorlichting</w:t>
      </w:r>
      <w:r w:rsidR="00BE3872">
        <w:t>.</w:t>
      </w:r>
    </w:p>
    <w:p w:rsidR="00BE3872" w:rsidP="0016573E" w:rsidRDefault="00BE3872"/>
    <w:p w:rsidRPr="00266734" w:rsidR="00BE3872" w:rsidP="0016573E" w:rsidRDefault="00BE3872">
      <w:pPr>
        <w:rPr>
          <w:i/>
        </w:rPr>
      </w:pPr>
      <w:r w:rsidRPr="00266734">
        <w:rPr>
          <w:i/>
        </w:rPr>
        <w:t>Onafhankelijkheid en begeleiding klankbordgroep</w:t>
      </w:r>
    </w:p>
    <w:p w:rsidRPr="00CD6B44" w:rsidR="00BE3872" w:rsidP="0016573E" w:rsidRDefault="00BE3872">
      <w:r>
        <w:t>De Rpe schrijft voor dat een onafhankelijke derde betrokken is bij een beleidsdoor</w:t>
      </w:r>
      <w:r w:rsidR="00BF4F93">
        <w:t>-</w:t>
      </w:r>
      <w:r>
        <w:t>lichting. Het ministerie van VWS heeft daartoe een klankbordgroep geformeerd. Aan deze klankbordgroep namen inhoudelijk deskundigen uit het veld deel</w:t>
      </w:r>
      <w:r w:rsidR="00197F69">
        <w:t xml:space="preserve"> (zie bijlage 1)</w:t>
      </w:r>
      <w:r>
        <w:t xml:space="preserve">. Deze deskundigen zijn zijdelings betrokken bij letselpreventie en hebben geen direct belang bij </w:t>
      </w:r>
      <w:r w:rsidR="00825B02">
        <w:t>de uitkomsten van het onderzoek</w:t>
      </w:r>
      <w:r>
        <w:t>. De klankbordgroep werd voorgezeten door een onafhankelijk voorzitter, die niet werkzaam is in het werkveld en derhalve geen belang heeft bij de uitkomsten van de beleidsevaluatie. De klankbordgroep is in totaal driemaal bijeen geweest en heeft de totstandkoming van dit rapport begeleid.</w:t>
      </w:r>
    </w:p>
    <w:p w:rsidR="00DD37E9" w:rsidP="0016573E" w:rsidRDefault="00BE3872">
      <w:pPr>
        <w:pStyle w:val="Huisstijl-Kop2"/>
      </w:pPr>
      <w:bookmarkStart w:name="_Toc351626661" w:id="5"/>
      <w:r>
        <w:t>Leeswijzer</w:t>
      </w:r>
      <w:bookmarkEnd w:id="5"/>
    </w:p>
    <w:p w:rsidR="00B73A84" w:rsidP="00417309" w:rsidRDefault="00100B31">
      <w:pPr>
        <w:rPr>
          <w:sz w:val="24"/>
        </w:rPr>
      </w:pPr>
      <w:r>
        <w:t xml:space="preserve">In hoofdstuk </w:t>
      </w:r>
      <w:r w:rsidR="00417309">
        <w:t>2</w:t>
      </w:r>
      <w:r>
        <w:t xml:space="preserve"> </w:t>
      </w:r>
      <w:r w:rsidR="000937B5">
        <w:t>beschrijven wij de aanleiding voor het letselpreventiebeleid en rol van de overheid en andere partijen daarin. De belangrijkste uitgangspunten die de basis vormen voor de beleidsdoelstellingen in de evaluatieperiode 2008-2012 beschrijven wij in hoofdstuk 3. In hoofdstuk 4 lichten wij de ingezette instrumenten toe. De resultaten ten aanzien van de realisatie van beleidsdoelstellingen beschrijven wij in hoofdstuk 5, gevolgd door de ingezette budgetten in hoofdstuk 6. De percepties van belanghebbenden hebben wij in hoofdstuk 7 in beeld gebracht. Tenslotte volgen in hoofdstuk 8 de conclusies</w:t>
      </w:r>
      <w:r w:rsidR="00825B02">
        <w:t>. Het rapport sluit af met afkortingen, geraadpleegde literatuur en enkele bijlagen.</w:t>
      </w:r>
      <w:bookmarkStart w:name="_Toc269806636" w:id="6"/>
      <w:bookmarkStart w:name="_Toc269808436" w:id="7"/>
      <w:bookmarkStart w:name="_Toc269808953" w:id="8"/>
      <w:bookmarkStart w:name="_Toc269811991" w:id="9"/>
      <w:r w:rsidR="00B73A84">
        <w:br w:type="page"/>
      </w:r>
    </w:p>
    <w:p w:rsidRPr="00F37876" w:rsidR="00DA3FE9" w:rsidP="0016573E" w:rsidRDefault="0056616B">
      <w:pPr>
        <w:pStyle w:val="Huisstijl-Kop1"/>
      </w:pPr>
      <w:bookmarkStart w:name="_Toc351626662" w:id="10"/>
      <w:r>
        <w:lastRenderedPageBreak/>
        <w:t>Achter</w:t>
      </w:r>
      <w:bookmarkEnd w:id="6"/>
      <w:bookmarkEnd w:id="7"/>
      <w:bookmarkEnd w:id="8"/>
      <w:bookmarkEnd w:id="9"/>
      <w:r>
        <w:t>grond en legitimiteit letselpreventiebeleid</w:t>
      </w:r>
      <w:bookmarkEnd w:id="10"/>
    </w:p>
    <w:p w:rsidR="00DA3FE9" w:rsidP="0016573E" w:rsidRDefault="0056616B">
      <w:pPr>
        <w:pStyle w:val="Huisstijl-Kop2"/>
      </w:pPr>
      <w:bookmarkStart w:name="_Toc351626663" w:id="11"/>
      <w:r>
        <w:t>Aanleiding letselpreventiebeleid</w:t>
      </w:r>
      <w:bookmarkEnd w:id="11"/>
    </w:p>
    <w:p w:rsidR="0056616B" w:rsidP="0016573E" w:rsidRDefault="0056616B">
      <w:r w:rsidRPr="0056616B">
        <w:t xml:space="preserve">Ongevallen, geweld en suïcidaal gedrag leiden tot een breed scala aan kleine en grote letsels. Deze variëren van verstuikte enkels en kleine snijwonden tot hersenletsel en sterfte. Alles bij elkaar vormen letsels een substantieel volksgezondheidsprobleem. </w:t>
      </w:r>
      <w:r w:rsidR="00ED4F37">
        <w:t xml:space="preserve">Uit het </w:t>
      </w:r>
      <w:r w:rsidR="009E34A7">
        <w:t>RIVM Thema</w:t>
      </w:r>
      <w:r w:rsidR="00ED4F37">
        <w:t xml:space="preserve">rapport ‘Let op letsels’ </w:t>
      </w:r>
      <w:r w:rsidR="002F4401">
        <w:t>blijkt</w:t>
      </w:r>
      <w:r w:rsidR="00ED4F37">
        <w:t xml:space="preserve"> dat op de spoedeisende hulp (SEH) afdelingen van ziekenhuizen </w:t>
      </w:r>
      <w:r w:rsidR="002F4401">
        <w:t>jaarlijks</w:t>
      </w:r>
      <w:r w:rsidR="00ED4F37">
        <w:t xml:space="preserve"> bijna 900.000 letsels w</w:t>
      </w:r>
      <w:r w:rsidR="002F4401">
        <w:t>o</w:t>
      </w:r>
      <w:r w:rsidR="00ED4F37">
        <w:t xml:space="preserve">rden behandeld en in 120.000 gevallen </w:t>
      </w:r>
      <w:r w:rsidR="002F4401">
        <w:t>zijn</w:t>
      </w:r>
      <w:r w:rsidR="00ED4F37">
        <w:t xml:space="preserve"> deze zo ernstig dat ziekenhuisopname noodzakelijk</w:t>
      </w:r>
      <w:r w:rsidR="002F4401">
        <w:t xml:space="preserve"> is (gemiddelde over de periode 2001-2005)</w:t>
      </w:r>
      <w:r w:rsidR="002F4401">
        <w:rPr>
          <w:rStyle w:val="Voetnootmarkering"/>
        </w:rPr>
        <w:footnoteReference w:id="5"/>
      </w:r>
      <w:r w:rsidR="00ED4F37">
        <w:t xml:space="preserve">. Elk jaar </w:t>
      </w:r>
      <w:r w:rsidR="002F4401">
        <w:t>sterven</w:t>
      </w:r>
      <w:r w:rsidR="00ED4F37">
        <w:t xml:space="preserve"> ongeveer 5.300 mensen door een ongeval of opzettelijk toegebracht letsel. Jongeren </w:t>
      </w:r>
      <w:r w:rsidR="002F4401">
        <w:t>verliezen</w:t>
      </w:r>
      <w:r w:rsidR="00ED4F37">
        <w:t xml:space="preserve"> zelfs meer levensjaren door een ongeval, geweld of suïcide dan door alle andere doodsoorzaken samen. In de rangorde van de belangrijkste doodsoorzaken (uitgedrukt in verloren levensjaren) </w:t>
      </w:r>
      <w:r w:rsidR="002F4401">
        <w:t>staan</w:t>
      </w:r>
      <w:r w:rsidR="00ED4F37">
        <w:t xml:space="preserve"> letsels door ongevallen, geweld en suïcidaal gedrag op de derde plaats, direct na hart- en vaatziekten en kanker. </w:t>
      </w:r>
    </w:p>
    <w:p w:rsidR="00ED4F37" w:rsidP="0016573E" w:rsidRDefault="00ED4F37"/>
    <w:p w:rsidRPr="00C4002D" w:rsidR="00ED4F37" w:rsidP="0016573E" w:rsidRDefault="00ED4F37">
      <w:r>
        <w:t>Letsels kosten de samenleving tenminste 3,6 miljard euro per jaar (gemiddelde over de periode 2001-2005)</w:t>
      </w:r>
      <w:r w:rsidR="005A72C2">
        <w:rPr>
          <w:rStyle w:val="Voetnootmarkering"/>
        </w:rPr>
        <w:footnoteReference w:id="6"/>
      </w:r>
      <w:r>
        <w:t xml:space="preserve">. Hierin </w:t>
      </w:r>
      <w:r w:rsidR="007E03F6">
        <w:t>zijn alle</w:t>
      </w:r>
      <w:r w:rsidR="00825B02">
        <w:t>en de direct</w:t>
      </w:r>
      <w:r w:rsidR="007E03F6">
        <w:t>e medische kosten (1,6 miljard euro per jaar) en de verzuimkosten (2,1 miljard euro per jaar) meegenomen. Andere kosten, bijvoorbeeld de materiële kosten en de economische schade die ontstaan door een file na een verkeersongeval, zijn niet meegenomen, maar vormen gemakkelijk een veelvoud van de medische kosten.</w:t>
      </w:r>
    </w:p>
    <w:p w:rsidR="00DA3FE9" w:rsidP="0016573E" w:rsidRDefault="00DA3FE9"/>
    <w:p w:rsidR="00C7157F" w:rsidP="0016573E" w:rsidRDefault="00C7157F">
      <w:r>
        <w:t>Letsels ontstaan als gevolg van een ongeval of doordat mensen elkaar of zichzelf verwonden en hebben dus per definitie een externe oorzaak. De mate van invloed door aanleg of genetische factoren is bij letsels klein. Hierdoor ontstaat een belangrijk uitgangspunt voor preventie van letsel, namelijk dat letsels (grotendeels) vermijdbaar zijn. Aangezien letsels veel voorkomen, kan preventie van letsels daarom veel opleveren.</w:t>
      </w:r>
    </w:p>
    <w:p w:rsidR="00B73A84" w:rsidP="0016573E" w:rsidRDefault="00B73A84"/>
    <w:p w:rsidR="0056616B" w:rsidP="0016573E" w:rsidRDefault="0056616B">
      <w:pPr>
        <w:pStyle w:val="Huisstijl-Kop2"/>
      </w:pPr>
      <w:bookmarkStart w:name="_Toc351626664" w:id="12"/>
      <w:r>
        <w:t>Rol van de overheid</w:t>
      </w:r>
      <w:r w:rsidR="00E23469">
        <w:t xml:space="preserve"> en andere partijen</w:t>
      </w:r>
      <w:bookmarkEnd w:id="12"/>
    </w:p>
    <w:p w:rsidR="001507F2" w:rsidP="0016573E" w:rsidRDefault="001507F2">
      <w:pPr>
        <w:pStyle w:val="Huisstijl-Colofon"/>
      </w:pPr>
      <w:r w:rsidRPr="001507F2">
        <w:t xml:space="preserve">In deze paragraaf lichten wij toe op welke wijze het ministerie van VWS </w:t>
      </w:r>
      <w:r w:rsidR="00662DBA">
        <w:t>zijn</w:t>
      </w:r>
      <w:r w:rsidRPr="001507F2">
        <w:t xml:space="preserve"> rol met betrekking tot letselpreventie heeft opgevat (legitimiteit). Dit kan echter niet zonder een beschrijving van de institutionele omgeving van VWS waarbinnen </w:t>
      </w:r>
      <w:r w:rsidR="00662DBA">
        <w:t xml:space="preserve">het ministerie </w:t>
      </w:r>
      <w:r w:rsidRPr="001507F2">
        <w:t>zij</w:t>
      </w:r>
      <w:r w:rsidR="00662DBA">
        <w:t>n</w:t>
      </w:r>
      <w:r w:rsidRPr="001507F2">
        <w:t xml:space="preserve"> rol uitvoert, aangezien </w:t>
      </w:r>
      <w:r w:rsidR="00600BCD">
        <w:t>letselpreventie</w:t>
      </w:r>
      <w:r w:rsidR="00D97D1F">
        <w:t xml:space="preserve"> </w:t>
      </w:r>
      <w:r w:rsidR="008233D2">
        <w:t>tot de verantwoordelijkheid van</w:t>
      </w:r>
      <w:r w:rsidR="00D97D1F">
        <w:t xml:space="preserve"> vele domeinen</w:t>
      </w:r>
      <w:r w:rsidR="008233D2">
        <w:t xml:space="preserve"> behoort</w:t>
      </w:r>
      <w:r w:rsidRPr="001507F2">
        <w:t xml:space="preserve">. </w:t>
      </w:r>
    </w:p>
    <w:p w:rsidR="00D97D1F" w:rsidP="0016573E" w:rsidRDefault="00D97D1F">
      <w:pPr>
        <w:pStyle w:val="Huisstijl-Colofon"/>
      </w:pPr>
    </w:p>
    <w:p w:rsidRPr="001507F2" w:rsidR="001507F2" w:rsidP="0016573E" w:rsidRDefault="001507F2">
      <w:pPr>
        <w:pStyle w:val="Huisstijl-Colofon"/>
      </w:pPr>
      <w:r w:rsidRPr="001507F2">
        <w:t>In artikel 22 van de Nederlandse Grondwet staat dat de overheid maatregelen treft ter bevordering van de volksgezondheid. Preventie van letsels door ongevallen, geweld en suïcide levert een bedrage aan de gezonde levensverwachting en het voorkomen van vermijdbare sterfte en is daarmee een belangrijk onderdeel van het volksgezondheidsbeleid.</w:t>
      </w:r>
    </w:p>
    <w:p w:rsidRPr="00D867BF" w:rsidR="008777A1" w:rsidP="0016573E" w:rsidRDefault="001507F2">
      <w:pPr>
        <w:pStyle w:val="Huisstijl-Colofon"/>
      </w:pPr>
      <w:r w:rsidRPr="001507F2">
        <w:t xml:space="preserve">Maar letsels zijn niet alleen een probleem uit het oogpunt van volksgezondheid. Ook vanuit het oogpunt van maatschappelijke participatie (arbeid, sport, etc.), mobiliteit en veiligheid is het voorkomen van ongevallen en opzettelijk toegebracht letsel (geweld, suïcide) van belang. Dit betekent dat </w:t>
      </w:r>
      <w:r w:rsidR="00E01C41">
        <w:t xml:space="preserve">het </w:t>
      </w:r>
      <w:r w:rsidRPr="001507F2">
        <w:t xml:space="preserve">rijksoverheidbeleid </w:t>
      </w:r>
      <w:r w:rsidR="006B36EB">
        <w:t>en</w:t>
      </w:r>
      <w:r w:rsidR="00E01C41">
        <w:t xml:space="preserve"> de</w:t>
      </w:r>
      <w:r w:rsidR="006B36EB">
        <w:t xml:space="preserve"> </w:t>
      </w:r>
      <w:r w:rsidR="00447617">
        <w:lastRenderedPageBreak/>
        <w:t>rijks</w:t>
      </w:r>
      <w:r w:rsidR="006B36EB">
        <w:t xml:space="preserve">verantwoordelijkheid </w:t>
      </w:r>
      <w:r w:rsidRPr="001507F2">
        <w:t xml:space="preserve">ten aanzien van letselpreventie </w:t>
      </w:r>
      <w:r w:rsidR="00D97D1F">
        <w:t>verdeeld</w:t>
      </w:r>
      <w:r w:rsidRPr="001507F2">
        <w:t xml:space="preserve"> is over meerdere ministeries. Naast het ministerie van Volksgezondheid, Welzijn en Sport (VWS</w:t>
      </w:r>
      <w:r w:rsidR="00005D09">
        <w:t xml:space="preserve">, </w:t>
      </w:r>
      <w:r w:rsidR="00163422">
        <w:t>privéongevallen,</w:t>
      </w:r>
      <w:r w:rsidR="00005D09">
        <w:t xml:space="preserve"> sport</w:t>
      </w:r>
      <w:r w:rsidR="00163422">
        <w:t>, huiselijk geweld, brandveiligheid in zorginstellingen, valpreventie ouderen</w:t>
      </w:r>
      <w:r w:rsidR="00005D09">
        <w:t xml:space="preserve"> en suïcide</w:t>
      </w:r>
      <w:r w:rsidRPr="001507F2">
        <w:t xml:space="preserve">) </w:t>
      </w:r>
      <w:r w:rsidR="00D97D1F">
        <w:t xml:space="preserve">zijn </w:t>
      </w:r>
      <w:r w:rsidRPr="001507F2">
        <w:t xml:space="preserve">de ministeries </w:t>
      </w:r>
      <w:r w:rsidR="009331AF">
        <w:t>van Infrastructuur en Milieu (Ien</w:t>
      </w:r>
      <w:r w:rsidRPr="001507F2">
        <w:t>M, verkeer</w:t>
      </w:r>
      <w:r w:rsidR="00A84819">
        <w:t xml:space="preserve"> en milieu</w:t>
      </w:r>
      <w:r w:rsidRPr="001507F2">
        <w:t>), Sociale Zaken e</w:t>
      </w:r>
      <w:r w:rsidR="00163422">
        <w:t>n Werkgelegenheid (SZW, arbeid</w:t>
      </w:r>
      <w:r w:rsidR="00A84819">
        <w:t xml:space="preserve"> en kinderopvang)</w:t>
      </w:r>
      <w:r w:rsidR="00163422">
        <w:t xml:space="preserve">, </w:t>
      </w:r>
      <w:r w:rsidRPr="001507F2">
        <w:t>Veiligheid en Justitie (V</w:t>
      </w:r>
      <w:r w:rsidR="009331AF">
        <w:t>en</w:t>
      </w:r>
      <w:r w:rsidRPr="001507F2">
        <w:t>J, geweld</w:t>
      </w:r>
      <w:r w:rsidR="00A84819">
        <w:t xml:space="preserve"> en illegaal vuurwerk</w:t>
      </w:r>
      <w:r w:rsidRPr="001507F2">
        <w:t>)</w:t>
      </w:r>
      <w:r w:rsidR="00A84819">
        <w:t>, ministerie van Onderwijs, Cultuur en Wetenschap (OCW, veiligheid op scholen) en het ministerie van Binnenlandse Zaken en Koninkrijksrelaties (BZK, veiligheid professionals met Publieke Taak)</w:t>
      </w:r>
      <w:r w:rsidRPr="001507F2">
        <w:t xml:space="preserve"> </w:t>
      </w:r>
      <w:r w:rsidR="00D97D1F">
        <w:t xml:space="preserve">verantwoordelijk voor </w:t>
      </w:r>
      <w:r w:rsidRPr="001507F2">
        <w:t>beleid op het vlak van letselpreventie</w:t>
      </w:r>
      <w:r w:rsidR="00137D4D">
        <w:t xml:space="preserve"> (zie onderstaande figuur voor schematische weergave)</w:t>
      </w:r>
      <w:r w:rsidRPr="001507F2">
        <w:t>.</w:t>
      </w:r>
    </w:p>
    <w:p w:rsidR="004D721B" w:rsidP="0016573E" w:rsidRDefault="004D721B">
      <w:pPr>
        <w:pStyle w:val="Huisstijl-Colofon"/>
        <w:rPr>
          <w:i/>
        </w:rPr>
      </w:pPr>
      <w:r>
        <w:rPr>
          <w:i/>
          <w:noProof/>
          <w:lang w:val="en-US" w:eastAsia="en-US" w:bidi="ar-SA"/>
        </w:rPr>
        <w:drawing>
          <wp:anchor distT="0" distB="0" distL="114300" distR="114300" simplePos="0" relativeHeight="251658240" behindDoc="0" locked="0" layoutInCell="1" allowOverlap="1">
            <wp:simplePos x="0" y="0"/>
            <wp:positionH relativeFrom="column">
              <wp:posOffset>85725</wp:posOffset>
            </wp:positionH>
            <wp:positionV relativeFrom="paragraph">
              <wp:posOffset>-2615</wp:posOffset>
            </wp:positionV>
            <wp:extent cx="5067300" cy="3802455"/>
            <wp:effectExtent l="19050" t="0" r="0" b="0"/>
            <wp:wrapNone/>
            <wp:docPr id="18" name="Afbeelding 17" descr="plaatje betrokken minister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atje betrokken ministeries.jpg"/>
                    <pic:cNvPicPr/>
                  </pic:nvPicPr>
                  <pic:blipFill>
                    <a:blip r:embed="rId9" cstate="print"/>
                    <a:stretch>
                      <a:fillRect/>
                    </a:stretch>
                  </pic:blipFill>
                  <pic:spPr>
                    <a:xfrm>
                      <a:off x="0" y="0"/>
                      <a:ext cx="5067300" cy="3802455"/>
                    </a:xfrm>
                    <a:prstGeom prst="rect">
                      <a:avLst/>
                    </a:prstGeom>
                  </pic:spPr>
                </pic:pic>
              </a:graphicData>
            </a:graphic>
          </wp:anchor>
        </w:drawing>
      </w:r>
    </w:p>
    <w:p w:rsidR="004D721B" w:rsidP="0016573E" w:rsidRDefault="004D721B">
      <w:pPr>
        <w:pStyle w:val="Huisstijl-Colofon"/>
        <w:rPr>
          <w:i/>
        </w:rPr>
      </w:pPr>
    </w:p>
    <w:p w:rsidR="004D721B" w:rsidP="0016573E" w:rsidRDefault="004D721B">
      <w:pPr>
        <w:pStyle w:val="Huisstijl-Colofon"/>
        <w:rPr>
          <w:i/>
        </w:rPr>
      </w:pPr>
    </w:p>
    <w:p w:rsidR="004D721B" w:rsidP="0016573E" w:rsidRDefault="004D721B">
      <w:pPr>
        <w:pStyle w:val="Huisstijl-Colofon"/>
        <w:rPr>
          <w:i/>
        </w:rPr>
      </w:pPr>
    </w:p>
    <w:p w:rsidR="004D721B" w:rsidP="0016573E" w:rsidRDefault="004D721B">
      <w:pPr>
        <w:pStyle w:val="Huisstijl-Colofon"/>
        <w:rPr>
          <w:i/>
        </w:rPr>
      </w:pPr>
    </w:p>
    <w:p w:rsidR="004D721B" w:rsidP="0016573E" w:rsidRDefault="004D721B">
      <w:pPr>
        <w:pStyle w:val="Huisstijl-Colofon"/>
        <w:rPr>
          <w:i/>
        </w:rPr>
      </w:pPr>
    </w:p>
    <w:p w:rsidR="004D721B" w:rsidP="0016573E" w:rsidRDefault="004D721B">
      <w:pPr>
        <w:pStyle w:val="Huisstijl-Colofon"/>
        <w:rPr>
          <w:i/>
        </w:rPr>
      </w:pPr>
    </w:p>
    <w:p w:rsidR="004D721B" w:rsidP="0016573E" w:rsidRDefault="004D721B">
      <w:pPr>
        <w:pStyle w:val="Huisstijl-Colofon"/>
        <w:rPr>
          <w:i/>
        </w:rPr>
      </w:pPr>
    </w:p>
    <w:p w:rsidR="004D721B" w:rsidP="0016573E" w:rsidRDefault="004D721B">
      <w:pPr>
        <w:pStyle w:val="Huisstijl-Colofon"/>
        <w:rPr>
          <w:i/>
        </w:rPr>
      </w:pPr>
    </w:p>
    <w:p w:rsidR="004D721B" w:rsidP="0016573E" w:rsidRDefault="004D721B">
      <w:pPr>
        <w:pStyle w:val="Huisstijl-Colofon"/>
        <w:rPr>
          <w:i/>
        </w:rPr>
      </w:pPr>
    </w:p>
    <w:p w:rsidR="004D721B" w:rsidP="0016573E" w:rsidRDefault="004D721B">
      <w:pPr>
        <w:pStyle w:val="Huisstijl-Colofon"/>
        <w:rPr>
          <w:i/>
        </w:rPr>
      </w:pPr>
    </w:p>
    <w:p w:rsidR="004D721B" w:rsidP="0016573E" w:rsidRDefault="004D721B">
      <w:pPr>
        <w:pStyle w:val="Huisstijl-Colofon"/>
        <w:rPr>
          <w:i/>
        </w:rPr>
      </w:pPr>
    </w:p>
    <w:p w:rsidR="004D721B" w:rsidP="0016573E" w:rsidRDefault="004D721B">
      <w:pPr>
        <w:pStyle w:val="Huisstijl-Colofon"/>
        <w:rPr>
          <w:i/>
        </w:rPr>
      </w:pPr>
    </w:p>
    <w:p w:rsidR="004D721B" w:rsidP="0016573E" w:rsidRDefault="004D721B">
      <w:pPr>
        <w:pStyle w:val="Huisstijl-Colofon"/>
        <w:rPr>
          <w:i/>
        </w:rPr>
      </w:pPr>
    </w:p>
    <w:p w:rsidR="004D721B" w:rsidP="0016573E" w:rsidRDefault="004D721B">
      <w:pPr>
        <w:pStyle w:val="Huisstijl-Colofon"/>
        <w:rPr>
          <w:i/>
        </w:rPr>
      </w:pPr>
    </w:p>
    <w:p w:rsidR="004D721B" w:rsidP="0016573E" w:rsidRDefault="004D721B">
      <w:pPr>
        <w:pStyle w:val="Huisstijl-Colofon"/>
        <w:rPr>
          <w:i/>
        </w:rPr>
      </w:pPr>
    </w:p>
    <w:p w:rsidR="004D721B" w:rsidP="0016573E" w:rsidRDefault="004D721B">
      <w:pPr>
        <w:pStyle w:val="Huisstijl-Colofon"/>
        <w:rPr>
          <w:i/>
        </w:rPr>
      </w:pPr>
    </w:p>
    <w:p w:rsidR="004D721B" w:rsidP="0016573E" w:rsidRDefault="004D721B">
      <w:pPr>
        <w:pStyle w:val="Huisstijl-Colofon"/>
        <w:rPr>
          <w:i/>
        </w:rPr>
      </w:pPr>
    </w:p>
    <w:p w:rsidR="004D721B" w:rsidP="0016573E" w:rsidRDefault="004D721B">
      <w:pPr>
        <w:pStyle w:val="Huisstijl-Colofon"/>
        <w:rPr>
          <w:i/>
        </w:rPr>
      </w:pPr>
    </w:p>
    <w:p w:rsidR="004D721B" w:rsidP="0016573E" w:rsidRDefault="004D721B">
      <w:pPr>
        <w:pStyle w:val="Huisstijl-Colofon"/>
        <w:rPr>
          <w:i/>
        </w:rPr>
      </w:pPr>
    </w:p>
    <w:p w:rsidR="004D721B" w:rsidP="0016573E" w:rsidRDefault="004D721B">
      <w:pPr>
        <w:pStyle w:val="Huisstijl-Colofon"/>
        <w:rPr>
          <w:i/>
        </w:rPr>
      </w:pPr>
    </w:p>
    <w:p w:rsidR="004D721B" w:rsidP="0016573E" w:rsidRDefault="004D721B">
      <w:pPr>
        <w:pStyle w:val="Huisstijl-Colofon"/>
        <w:rPr>
          <w:i/>
        </w:rPr>
      </w:pPr>
    </w:p>
    <w:p w:rsidR="004D721B" w:rsidP="0016573E" w:rsidRDefault="004D721B">
      <w:pPr>
        <w:pStyle w:val="Huisstijl-Colofon"/>
        <w:rPr>
          <w:i/>
        </w:rPr>
      </w:pPr>
    </w:p>
    <w:p w:rsidR="004D721B" w:rsidP="0016573E" w:rsidRDefault="004D721B">
      <w:pPr>
        <w:pStyle w:val="Huisstijl-Colofon"/>
        <w:rPr>
          <w:i/>
        </w:rPr>
      </w:pPr>
    </w:p>
    <w:p w:rsidR="004D721B" w:rsidP="0016573E" w:rsidRDefault="004D721B">
      <w:pPr>
        <w:pStyle w:val="Huisstijl-Colofon"/>
        <w:rPr>
          <w:i/>
        </w:rPr>
      </w:pPr>
    </w:p>
    <w:p w:rsidRPr="00C3325C" w:rsidR="00863B24" w:rsidP="0016573E" w:rsidRDefault="00137D4D">
      <w:pPr>
        <w:pStyle w:val="Huisstijl-Colofon"/>
        <w:rPr>
          <w:b/>
        </w:rPr>
      </w:pPr>
      <w:r w:rsidRPr="00C3325C">
        <w:rPr>
          <w:b/>
        </w:rPr>
        <w:t xml:space="preserve">Figuur </w:t>
      </w:r>
      <w:r w:rsidRPr="00C3325C" w:rsidR="00B430F3">
        <w:rPr>
          <w:b/>
        </w:rPr>
        <w:t>1</w:t>
      </w:r>
      <w:r w:rsidRPr="00C3325C">
        <w:rPr>
          <w:b/>
        </w:rPr>
        <w:t xml:space="preserve"> Betrokken ministeries bij letselpreventie</w:t>
      </w:r>
      <w:r w:rsidRPr="00C3325C" w:rsidR="00863B24">
        <w:rPr>
          <w:b/>
        </w:rPr>
        <w:t xml:space="preserve"> </w:t>
      </w:r>
    </w:p>
    <w:p w:rsidR="00137D4D" w:rsidP="0016573E" w:rsidRDefault="00137D4D">
      <w:pPr>
        <w:pStyle w:val="Huisstijl-Colofon"/>
      </w:pPr>
    </w:p>
    <w:p w:rsidR="00C3325C" w:rsidP="0016573E" w:rsidRDefault="00C3325C"/>
    <w:p w:rsidR="0058742E" w:rsidP="0016573E" w:rsidRDefault="009A2BB8">
      <w:r>
        <w:t xml:space="preserve">Voor letselpreventiebeleid </w:t>
      </w:r>
      <w:r w:rsidR="0015202B">
        <w:t xml:space="preserve">zijn </w:t>
      </w:r>
      <w:r>
        <w:t xml:space="preserve">er </w:t>
      </w:r>
      <w:r w:rsidR="0015202B">
        <w:t>drie rollen te onderscheiden voor de overheid, waarbij de zwaarte van de rollen onderling verschil</w:t>
      </w:r>
      <w:r w:rsidR="00B338A9">
        <w:t>t</w:t>
      </w:r>
      <w:r w:rsidR="0015202B">
        <w:t xml:space="preserve">. De </w:t>
      </w:r>
      <w:r w:rsidR="00F2137C">
        <w:t xml:space="preserve">eerste </w:t>
      </w:r>
      <w:r w:rsidR="0015202B">
        <w:t>overheids</w:t>
      </w:r>
      <w:r w:rsidR="0075358C">
        <w:t>rol</w:t>
      </w:r>
      <w:r w:rsidR="00F2137C">
        <w:t xml:space="preserve"> </w:t>
      </w:r>
      <w:r w:rsidRPr="001507F2" w:rsidR="001507F2">
        <w:t xml:space="preserve">is </w:t>
      </w:r>
      <w:r w:rsidRPr="000D60C9" w:rsidR="001507F2">
        <w:rPr>
          <w:u w:val="single"/>
        </w:rPr>
        <w:t>bescherming van burgers</w:t>
      </w:r>
      <w:r w:rsidR="00005D09">
        <w:t>. Dit gebeurt</w:t>
      </w:r>
      <w:r w:rsidRPr="001507F2" w:rsidR="001507F2">
        <w:t xml:space="preserve"> door eisen te stellen aan producten en infrastructuur</w:t>
      </w:r>
      <w:r w:rsidR="002B2F17">
        <w:t xml:space="preserve">; </w:t>
      </w:r>
      <w:r w:rsidR="00F2137C">
        <w:t xml:space="preserve">taken, verantwoordelijkheden en </w:t>
      </w:r>
      <w:r w:rsidRPr="001507F2" w:rsidR="001507F2">
        <w:t>bevoegdheden</w:t>
      </w:r>
      <w:r w:rsidR="002B2F17">
        <w:t xml:space="preserve"> vast te leggen en de uitvoering van wet- en regelgeving op dit vlak te controleren</w:t>
      </w:r>
      <w:r w:rsidRPr="001507F2" w:rsidR="001507F2">
        <w:t xml:space="preserve">. Voorbeelden </w:t>
      </w:r>
      <w:r w:rsidR="002B2F17">
        <w:t xml:space="preserve">van bescherming </w:t>
      </w:r>
      <w:r w:rsidRPr="001507F2" w:rsidR="001507F2">
        <w:t xml:space="preserve">zijn het verplicht gebruik van autogordels, eisen aan traphekjes en speeltoestellen, het verplicht dragen van veiligheidshelmen op bouwplaatsen en het vergunningstelsel voor wapenbezit. </w:t>
      </w:r>
      <w:r w:rsidR="001E7BD5">
        <w:t xml:space="preserve">De bescherming van burgers is een belangrijke </w:t>
      </w:r>
      <w:r w:rsidR="0015202B">
        <w:t xml:space="preserve">en duidelijke, ook uitvoerende </w:t>
      </w:r>
      <w:r w:rsidR="001E7BD5">
        <w:t xml:space="preserve">rol voor de overheid, aangezien </w:t>
      </w:r>
      <w:r w:rsidR="006B5621">
        <w:t>burgers sommige risicofactoren niet of moeilijk zelf kunnen beïnvloeden</w:t>
      </w:r>
      <w:r w:rsidR="001E7BD5">
        <w:t xml:space="preserve">. </w:t>
      </w:r>
      <w:r w:rsidR="0015202B">
        <w:t xml:space="preserve">Er is veel sturing vanuit de Europese Unie </w:t>
      </w:r>
      <w:r w:rsidR="001356CC">
        <w:t>ten aanzien van</w:t>
      </w:r>
      <w:r w:rsidR="0015202B">
        <w:t xml:space="preserve"> deze rol. </w:t>
      </w:r>
      <w:r w:rsidR="002B2F17">
        <w:t>Relevante</w:t>
      </w:r>
      <w:r w:rsidR="00863B24">
        <w:t xml:space="preserve"> wet- en regelgeving ter bescherming van burgers </w:t>
      </w:r>
      <w:r w:rsidR="002B2F17">
        <w:t xml:space="preserve">is bijvoorbeeld </w:t>
      </w:r>
      <w:r w:rsidR="00863B24">
        <w:t xml:space="preserve">de Warenwet, Wapenwet, Verkeerswet en </w:t>
      </w:r>
      <w:r w:rsidR="00355BDA">
        <w:t>Arbo-wet</w:t>
      </w:r>
      <w:r w:rsidR="00863B24">
        <w:t xml:space="preserve">. </w:t>
      </w:r>
      <w:r w:rsidR="005F0BFF">
        <w:t xml:space="preserve">Hierin schept de overheid de kaders waarbinnen bedrijven en professionals </w:t>
      </w:r>
      <w:r w:rsidR="003B4171">
        <w:t>moeten opereren en hun verantwoordelijkheid moeten nemen</w:t>
      </w:r>
      <w:r w:rsidR="0058742E">
        <w:t xml:space="preserve"> als aanbieders van </w:t>
      </w:r>
      <w:r w:rsidR="0058742E">
        <w:lastRenderedPageBreak/>
        <w:t xml:space="preserve">producten en diensten. </w:t>
      </w:r>
    </w:p>
    <w:p w:rsidR="00A26D80" w:rsidP="0016573E" w:rsidRDefault="001356CC">
      <w:pPr>
        <w:pStyle w:val="Huisstijl-Colofon"/>
      </w:pPr>
      <w:r>
        <w:t xml:space="preserve">Toezicht op de uitvoering van de wet- en regelgeving maakt ook onderdeel uit van deze rol. </w:t>
      </w:r>
      <w:r w:rsidR="00A26D80">
        <w:t>De Warenwet is voor VWS de relevante wetgeving ter bescherming van burgers. De Warenwet</w:t>
      </w:r>
      <w:r w:rsidRPr="001507F2" w:rsidR="00A26D80">
        <w:t xml:space="preserve"> wordt </w:t>
      </w:r>
      <w:r w:rsidR="00C863BC">
        <w:t xml:space="preserve">zoals eerder aangegeven </w:t>
      </w:r>
      <w:r w:rsidRPr="001507F2" w:rsidR="00A26D80">
        <w:t xml:space="preserve">niet in deze beleidsdoorlichting meegenomen, aangezien </w:t>
      </w:r>
      <w:r w:rsidR="00A26D80">
        <w:t xml:space="preserve">deze wetgeving </w:t>
      </w:r>
      <w:r w:rsidRPr="001507F2" w:rsidR="00A26D80">
        <w:t>apart wordt doorgelicht.</w:t>
      </w:r>
    </w:p>
    <w:p w:rsidRPr="001507F2" w:rsidR="001507F2" w:rsidP="0016573E" w:rsidRDefault="001507F2">
      <w:pPr>
        <w:pStyle w:val="Huisstijl-Colofon"/>
      </w:pPr>
    </w:p>
    <w:p w:rsidR="001507F2" w:rsidP="0016573E" w:rsidRDefault="001507F2">
      <w:pPr>
        <w:pStyle w:val="Huisstijl-Colofon"/>
      </w:pPr>
      <w:r w:rsidRPr="001507F2">
        <w:t xml:space="preserve">Ten tweede heeft de rijksoverheid een </w:t>
      </w:r>
      <w:r w:rsidRPr="000D60C9">
        <w:rPr>
          <w:u w:val="single"/>
        </w:rPr>
        <w:t>stimulerende en faciliterende rol</w:t>
      </w:r>
      <w:r w:rsidRPr="001507F2">
        <w:t xml:space="preserve"> in de preventie van letsels</w:t>
      </w:r>
      <w:r w:rsidR="00965AF1">
        <w:t xml:space="preserve"> door </w:t>
      </w:r>
      <w:r w:rsidR="002513EB">
        <w:t>bevordering van gezond gedrag</w:t>
      </w:r>
      <w:r w:rsidRPr="001507F2">
        <w:t xml:space="preserve">. </w:t>
      </w:r>
      <w:r w:rsidR="003C7039">
        <w:t xml:space="preserve">Handhaving is hier niet aan de orde. </w:t>
      </w:r>
      <w:r w:rsidRPr="001507F2">
        <w:t xml:space="preserve">Het gaat hierbij om het verbinden van partijen in het veld ter ontwikkeling en/of uitvoering van activiteiten </w:t>
      </w:r>
      <w:r w:rsidR="00C75586">
        <w:t xml:space="preserve">op het terrein </w:t>
      </w:r>
      <w:r w:rsidRPr="001507F2">
        <w:t>van letselpreventie</w:t>
      </w:r>
      <w:r w:rsidR="004056C8">
        <w:t>;</w:t>
      </w:r>
      <w:r w:rsidRPr="001507F2">
        <w:t xml:space="preserve"> </w:t>
      </w:r>
      <w:r w:rsidRPr="001507F2" w:rsidR="004056C8">
        <w:t>het (late</w:t>
      </w:r>
      <w:r w:rsidR="004056C8">
        <w:t xml:space="preserve">n) ontwikkelen van instrumenten als interventies, richtlijnen en (zorg)protocollen; en </w:t>
      </w:r>
      <w:r w:rsidRPr="001507F2">
        <w:t xml:space="preserve">het </w:t>
      </w:r>
      <w:r w:rsidR="00863B24">
        <w:t xml:space="preserve">landelijk </w:t>
      </w:r>
      <w:r w:rsidRPr="001507F2">
        <w:t>beschikbaar stellen van kwalitatief goede informatie over</w:t>
      </w:r>
      <w:r w:rsidR="00C93770">
        <w:t xml:space="preserve"> </w:t>
      </w:r>
      <w:r w:rsidRPr="001507F2">
        <w:t xml:space="preserve">instrumenten </w:t>
      </w:r>
      <w:r w:rsidR="00965AF1">
        <w:t>die gedrag kunnen beïnvloeden</w:t>
      </w:r>
      <w:r w:rsidR="00C86D92">
        <w:t>.</w:t>
      </w:r>
      <w:r w:rsidR="002B2F17">
        <w:t xml:space="preserve"> Relevante wet- en regelgeving </w:t>
      </w:r>
      <w:r w:rsidR="00BC6A5B">
        <w:t>voor VWS is</w:t>
      </w:r>
      <w:r w:rsidR="002B2F17">
        <w:t xml:space="preserve"> de Wet publieke gezondheid</w:t>
      </w:r>
      <w:r w:rsidR="004E6540">
        <w:t xml:space="preserve"> (Wpg)</w:t>
      </w:r>
      <w:r w:rsidR="00D5473A">
        <w:rPr>
          <w:rStyle w:val="Voetnootmarkering"/>
        </w:rPr>
        <w:footnoteReference w:id="7"/>
      </w:r>
      <w:r w:rsidR="002B2F17">
        <w:t xml:space="preserve">. </w:t>
      </w:r>
      <w:r w:rsidR="00A26D80">
        <w:t>In de Wpg heeft VWS de taak om elke vier jaar een landelijke nota</w:t>
      </w:r>
      <w:r w:rsidR="00C75586">
        <w:t xml:space="preserve"> gezondheidsbeleid</w:t>
      </w:r>
      <w:r w:rsidR="00A26D80">
        <w:t xml:space="preserve"> uit te brengen waarin de landelijke prioriteiten benoemd worden, die aanknopingspunten zijn voor gemeentelijk gezondheidsbeleid.</w:t>
      </w:r>
      <w:r w:rsidR="0015202B">
        <w:t xml:space="preserve"> </w:t>
      </w:r>
      <w:r w:rsidR="00A06C0A">
        <w:t xml:space="preserve">In 2011 is de landelijke nota </w:t>
      </w:r>
      <w:r w:rsidR="00C75586">
        <w:t>‘</w:t>
      </w:r>
      <w:r w:rsidR="00A06C0A">
        <w:t>Gezondheid dichtbij</w:t>
      </w:r>
      <w:r w:rsidR="00C75586">
        <w:t>’</w:t>
      </w:r>
      <w:r w:rsidR="00A06C0A">
        <w:t xml:space="preserve"> verschenen. </w:t>
      </w:r>
      <w:r w:rsidR="00F40178">
        <w:t>In hetzelfde jaar is ook d</w:t>
      </w:r>
      <w:r w:rsidR="00A06C0A">
        <w:t>e beleidsbrief Sport uitgebracht</w:t>
      </w:r>
      <w:r w:rsidR="007C442D">
        <w:t>, waar sportblessurepreventie</w:t>
      </w:r>
      <w:r w:rsidR="00F40178">
        <w:t xml:space="preserve"> in opgenomen is</w:t>
      </w:r>
      <w:r w:rsidR="00A06C0A">
        <w:t xml:space="preserve">. </w:t>
      </w:r>
      <w:r w:rsidR="00C93770">
        <w:t xml:space="preserve">Voor zowel </w:t>
      </w:r>
      <w:r w:rsidR="00C75586">
        <w:t>gezondheidsbevordering (leefstijl)</w:t>
      </w:r>
      <w:r w:rsidR="00A06C0A">
        <w:t xml:space="preserve"> </w:t>
      </w:r>
      <w:r w:rsidR="00C93770">
        <w:t xml:space="preserve">als </w:t>
      </w:r>
      <w:r w:rsidR="00A06C0A">
        <w:t xml:space="preserve">sport </w:t>
      </w:r>
      <w:r w:rsidR="00C93770">
        <w:t xml:space="preserve">zijn </w:t>
      </w:r>
      <w:r w:rsidR="00A06C0A">
        <w:t>de verantwoordelijkheden voor het uitvoeren van beleid decentraal belegd.</w:t>
      </w:r>
      <w:r w:rsidR="00C93770">
        <w:t xml:space="preserve"> </w:t>
      </w:r>
      <w:r w:rsidR="00F40178">
        <w:t>Dit betekent dat het aan gemeenten, professionals en (lokale) organisaties</w:t>
      </w:r>
      <w:r w:rsidR="00A06C0A">
        <w:t xml:space="preserve"> </w:t>
      </w:r>
      <w:r w:rsidR="00F40178">
        <w:t>en/of bedrijven is om (landelijk) beschikbare inst</w:t>
      </w:r>
      <w:r w:rsidR="00E07DD1">
        <w:t xml:space="preserve">rumenten voor </w:t>
      </w:r>
      <w:r w:rsidR="002513EB">
        <w:t>bevordering van gezond gedrag</w:t>
      </w:r>
      <w:r w:rsidR="00E07DD1">
        <w:t xml:space="preserve"> te gebruiken ten behoeve van</w:t>
      </w:r>
      <w:r w:rsidR="00C75586">
        <w:t xml:space="preserve"> het lokaal gezondheidsbeleid. L</w:t>
      </w:r>
      <w:r w:rsidR="00E07DD1">
        <w:t>etselpreventie</w:t>
      </w:r>
      <w:r w:rsidR="00C75586">
        <w:t xml:space="preserve"> maakt daar onderdeel van uit.</w:t>
      </w:r>
      <w:r w:rsidR="00270B5B">
        <w:t xml:space="preserve"> </w:t>
      </w:r>
      <w:r w:rsidR="00F20511">
        <w:t>Het ministerie</w:t>
      </w:r>
      <w:r w:rsidR="00C75586">
        <w:t xml:space="preserve"> van VWS</w:t>
      </w:r>
      <w:r w:rsidR="00F20511">
        <w:t xml:space="preserve"> is systeemverantwoordelijk, zoals weergegeven in de </w:t>
      </w:r>
      <w:r w:rsidR="00C04F6D">
        <w:t>Wpg.</w:t>
      </w:r>
      <w:r w:rsidR="00EE5BCD">
        <w:t xml:space="preserve"> De stimulerende en faciliterende rol geeft VWS </w:t>
      </w:r>
      <w:r w:rsidR="00EE74BB">
        <w:t xml:space="preserve">vooral </w:t>
      </w:r>
      <w:r w:rsidR="00EE5BCD">
        <w:t>vorm</w:t>
      </w:r>
      <w:r w:rsidR="00DB7015">
        <w:t xml:space="preserve"> door</w:t>
      </w:r>
      <w:r w:rsidR="00EE5BCD">
        <w:t xml:space="preserve"> </w:t>
      </w:r>
      <w:r w:rsidR="00C75586">
        <w:t>het in stand houden van een kennisinfrastructuur</w:t>
      </w:r>
      <w:r w:rsidR="00DB7015">
        <w:t xml:space="preserve"> via onder andere het</w:t>
      </w:r>
      <w:r w:rsidR="00EE74BB">
        <w:t xml:space="preserve"> </w:t>
      </w:r>
      <w:r w:rsidR="00DB7015">
        <w:t>RIVM, ZonMw en VeiligheidNL</w:t>
      </w:r>
      <w:r w:rsidR="00C75586">
        <w:t>.</w:t>
      </w:r>
      <w:r w:rsidR="00EE5BCD">
        <w:t xml:space="preserve"> VeiligheidNL</w:t>
      </w:r>
      <w:r w:rsidR="00EE74BB">
        <w:t xml:space="preserve"> voert specifieke</w:t>
      </w:r>
      <w:r w:rsidR="00EE5BCD">
        <w:t xml:space="preserve"> activiteiten </w:t>
      </w:r>
      <w:r w:rsidR="00EE74BB">
        <w:t xml:space="preserve">uit </w:t>
      </w:r>
      <w:r w:rsidR="00EE5BCD">
        <w:t xml:space="preserve">gericht op gedragsverandering om letsels te voorkomen (zoals interventies en campagnes). VeiligheidNL is ook actief met andere partijen in het verbeteren van de veiligheid van de Nederlandse bevolking (zoals taskforce vuurwerkbommenmakers en samenwerking met </w:t>
      </w:r>
      <w:r w:rsidR="00F03263">
        <w:t>het ministerie van VenJ, de politie en het OM</w:t>
      </w:r>
      <w:r w:rsidR="00EE5BCD">
        <w:t xml:space="preserve">). Voor andere domeinen (en ministeries) zijn andere </w:t>
      </w:r>
      <w:r w:rsidR="00EE74BB">
        <w:t>(kennis)</w:t>
      </w:r>
      <w:r w:rsidR="00EE5BCD">
        <w:t>organisaties actief op het gebied van veiligheid en/of letselpreventie, zoals de Stichting Wetenschappelijk Onderzoek Verkeersveiligheid (SWOV), het Centrum School en Veiligheid (CSV)</w:t>
      </w:r>
      <w:r w:rsidR="004050EB">
        <w:t xml:space="preserve">, </w:t>
      </w:r>
      <w:r w:rsidR="00EE5BCD">
        <w:t>het Centrum voor Criminaliteitspreventie en Veiligheid</w:t>
      </w:r>
      <w:r w:rsidR="00825B02">
        <w:t xml:space="preserve"> (CCV)</w:t>
      </w:r>
      <w:r w:rsidR="004050EB">
        <w:t>, Nederlandse Organisatie voor toegepast-natuurwetenschappelijk onderzoek (TNO) en het RIVM</w:t>
      </w:r>
      <w:r w:rsidR="00EE5BCD">
        <w:t>.</w:t>
      </w:r>
      <w:r w:rsidR="00FE661F">
        <w:t xml:space="preserve"> </w:t>
      </w:r>
      <w:r w:rsidR="00EE5BCD">
        <w:t>Daarnaast zijn er tal van publieke en private partijen die initiatieven ontwikkelen in het kader van letselpreventie, bijvoorbeeld ANWB, Veilig Verkeer Nederland, NOC*NSF, GGD’en, verpleeg- en verzorgingshuizen, 1</w:t>
      </w:r>
      <w:r w:rsidRPr="00434666" w:rsidR="00EE5BCD">
        <w:rPr>
          <w:vertAlign w:val="superscript"/>
        </w:rPr>
        <w:t>e</w:t>
      </w:r>
      <w:r w:rsidR="00EE5BCD">
        <w:t xml:space="preserve"> lijn zor</w:t>
      </w:r>
      <w:r w:rsidR="004176D3">
        <w:t>gsector, (zorg</w:t>
      </w:r>
      <w:r w:rsidR="008F17CC">
        <w:t>- en schade</w:t>
      </w:r>
      <w:r w:rsidR="004176D3">
        <w:t xml:space="preserve">)verzekeraars en fabrikanten (producten en </w:t>
      </w:r>
      <w:r w:rsidR="004176D3">
        <w:lastRenderedPageBreak/>
        <w:t>beschermingsmiddelen)</w:t>
      </w:r>
      <w:r w:rsidR="00EE5BCD">
        <w:t>.</w:t>
      </w:r>
    </w:p>
    <w:p w:rsidRPr="009C225F" w:rsidR="005A72C2" w:rsidP="0016573E" w:rsidRDefault="005A72C2">
      <w:pPr>
        <w:rPr>
          <w:szCs w:val="18"/>
        </w:rPr>
      </w:pPr>
      <w:r>
        <w:rPr>
          <w:szCs w:val="18"/>
        </w:rPr>
        <w:t>Relevante inspectiediensten kunnen normen en regels opstellen zodat professionals worden gestimuleerd tot het nemen van preventieve en gezondheidsbevorderende maatregelen (stimulerend toezicht). Als voorbeeld kan de Staat van de Gezondheidszorg 2012 genoemd worden, waarin de Inspectie voor de Gezondheidszorg (IGZ) in zes projecten onderzocht heeft hoe preventie en gezondheidsbevordering in de curatieve en langdurige zorg kan worden vormgegeven en gestimuleerd.</w:t>
      </w:r>
    </w:p>
    <w:p w:rsidR="00863B24" w:rsidP="0016573E" w:rsidRDefault="00863B24">
      <w:pPr>
        <w:pStyle w:val="Huisstijl-Colofon"/>
      </w:pPr>
    </w:p>
    <w:p w:rsidRPr="001507F2" w:rsidR="001507F2" w:rsidP="0016573E" w:rsidRDefault="001507F2">
      <w:r w:rsidRPr="001507F2">
        <w:t xml:space="preserve">Ten derde heeft de rijksoverheid een </w:t>
      </w:r>
      <w:r w:rsidRPr="000D60C9">
        <w:rPr>
          <w:u w:val="single"/>
        </w:rPr>
        <w:t>coördinerende ro</w:t>
      </w:r>
      <w:r w:rsidRPr="001507F2">
        <w:t>l. Zowel binnen een bepaald domein (zoals verkeer, geweld, privéongevallen</w:t>
      </w:r>
      <w:r w:rsidR="00C863BC">
        <w:t>) als</w:t>
      </w:r>
      <w:r w:rsidRPr="001507F2">
        <w:t xml:space="preserve"> tussen de verschillende domeinen. De Wereldgezondheidsorganisatie </w:t>
      </w:r>
      <w:r w:rsidR="00C863BC">
        <w:t xml:space="preserve">(WHO) </w:t>
      </w:r>
      <w:r w:rsidRPr="001507F2">
        <w:t xml:space="preserve">vindt deze regierol bij de ministeries van </w:t>
      </w:r>
      <w:r w:rsidR="00825B02">
        <w:t>volks</w:t>
      </w:r>
      <w:r w:rsidRPr="001507F2">
        <w:t>gezondheid horen. De minister van VWS heeft daarom ook de regierol op zich genomen voor afstemming tussen de</w:t>
      </w:r>
      <w:r w:rsidR="00C86D92">
        <w:t>ze</w:t>
      </w:r>
      <w:r w:rsidRPr="001507F2">
        <w:t xml:space="preserve"> verschillende domeinen.</w:t>
      </w:r>
      <w:r w:rsidR="0058742E">
        <w:t xml:space="preserve"> Dit houdt in het bevorderen van verbindingen en samenwerking waar deze zinvol zijn.</w:t>
      </w:r>
    </w:p>
    <w:p w:rsidR="008E65A3" w:rsidP="0016573E" w:rsidRDefault="001877E1">
      <w:pPr>
        <w:pStyle w:val="Huisstijl-Colofon"/>
        <w:rPr>
          <w:b/>
        </w:rPr>
      </w:pPr>
      <w:r>
        <w:t xml:space="preserve">Deze coördinerende rol geldt ook voor de Nederlandse inbreng in internationale fora. Er zijn namelijk </w:t>
      </w:r>
      <w:r w:rsidRPr="001507F2">
        <w:t xml:space="preserve">internationale afspraken gemaakt over letselpreventie in een aanbeveling van de EU Volksgezondheidsraad over letselpreventie en bevordering van veiligheid (2007/C164/01) en in een resolutie van de Wereld Gezondheidsorganisatie, de </w:t>
      </w:r>
      <w:r w:rsidRPr="001507F2">
        <w:rPr>
          <w:i/>
        </w:rPr>
        <w:t>Resolution on the prevention of injuries in the WHO European Region</w:t>
      </w:r>
      <w:r w:rsidRPr="001507F2">
        <w:t xml:space="preserve"> (EUR/RC55/R9, 2005). Zowel de aanbeveling als de resolutie benadrukken de regierol voor de ministers van volksgezondheid.</w:t>
      </w:r>
      <w:r w:rsidR="008E65A3">
        <w:rPr>
          <w:b/>
        </w:rPr>
        <w:br w:type="page"/>
      </w:r>
    </w:p>
    <w:p w:rsidR="0042440C" w:rsidP="0016573E" w:rsidRDefault="00AE0F5E">
      <w:pPr>
        <w:pStyle w:val="Huisstijl-Kop1"/>
      </w:pPr>
      <w:bookmarkStart w:name="_Toc351626665" w:id="13"/>
      <w:r>
        <w:t>B</w:t>
      </w:r>
      <w:r w:rsidR="00365201">
        <w:t>eleidsdoelstellingen</w:t>
      </w:r>
      <w:bookmarkEnd w:id="13"/>
    </w:p>
    <w:p w:rsidR="00322EFD" w:rsidP="0016573E" w:rsidRDefault="00322EFD">
      <w:pPr>
        <w:rPr>
          <w:iCs/>
          <w:szCs w:val="18"/>
        </w:rPr>
      </w:pPr>
      <w:r>
        <w:rPr>
          <w:szCs w:val="18"/>
        </w:rPr>
        <w:t>Letselpreventiebeleid valt onder artikel 41</w:t>
      </w:r>
      <w:r w:rsidR="00DA06E9">
        <w:rPr>
          <w:rStyle w:val="Voetnootmarkering"/>
          <w:szCs w:val="18"/>
        </w:rPr>
        <w:footnoteReference w:id="8"/>
      </w:r>
      <w:r>
        <w:rPr>
          <w:szCs w:val="18"/>
        </w:rPr>
        <w:t xml:space="preserve"> van de begroting van VWS</w:t>
      </w:r>
      <w:r w:rsidR="00B257F2">
        <w:rPr>
          <w:rStyle w:val="Voetnootmarkering"/>
          <w:szCs w:val="18"/>
        </w:rPr>
        <w:footnoteReference w:id="9"/>
      </w:r>
      <w:r>
        <w:rPr>
          <w:szCs w:val="18"/>
        </w:rPr>
        <w:t xml:space="preserve">. De </w:t>
      </w:r>
      <w:r w:rsidR="00EF2E71">
        <w:rPr>
          <w:szCs w:val="18"/>
        </w:rPr>
        <w:t xml:space="preserve">algemene </w:t>
      </w:r>
      <w:r>
        <w:rPr>
          <w:szCs w:val="18"/>
        </w:rPr>
        <w:t>doelstelling van dit artikel is e</w:t>
      </w:r>
      <w:r w:rsidRPr="00322EFD">
        <w:rPr>
          <w:iCs/>
          <w:szCs w:val="18"/>
        </w:rPr>
        <w:t>en goede volksgezondheid, waarbij mensen gezond leven en zo min mogelijk bloot staan aan bedreigingen van hun gezondheid.</w:t>
      </w:r>
    </w:p>
    <w:p w:rsidR="00322EFD" w:rsidP="0016573E" w:rsidRDefault="00322EFD">
      <w:pPr>
        <w:rPr>
          <w:iCs/>
          <w:szCs w:val="18"/>
        </w:rPr>
      </w:pPr>
    </w:p>
    <w:p w:rsidR="005B380F" w:rsidP="0016573E" w:rsidRDefault="0001670C">
      <w:pPr>
        <w:rPr>
          <w:szCs w:val="18"/>
        </w:rPr>
      </w:pPr>
      <w:r w:rsidRPr="00CE5144">
        <w:rPr>
          <w:szCs w:val="18"/>
        </w:rPr>
        <w:t xml:space="preserve">Binnen deze algemene doelstelling geldt voor </w:t>
      </w:r>
      <w:r w:rsidRPr="00CE5144" w:rsidR="006942D4">
        <w:rPr>
          <w:szCs w:val="18"/>
        </w:rPr>
        <w:t xml:space="preserve">letselpreventie </w:t>
      </w:r>
      <w:r w:rsidRPr="00CE5144">
        <w:rPr>
          <w:szCs w:val="18"/>
        </w:rPr>
        <w:t xml:space="preserve">de </w:t>
      </w:r>
      <w:r w:rsidR="003B6516">
        <w:rPr>
          <w:szCs w:val="18"/>
        </w:rPr>
        <w:t xml:space="preserve">operationele </w:t>
      </w:r>
      <w:r w:rsidRPr="00CE5144">
        <w:rPr>
          <w:szCs w:val="18"/>
        </w:rPr>
        <w:t xml:space="preserve">doelstelling: </w:t>
      </w:r>
      <w:r w:rsidRPr="001F554F">
        <w:rPr>
          <w:szCs w:val="18"/>
          <w:u w:val="single"/>
        </w:rPr>
        <w:t>h</w:t>
      </w:r>
      <w:r w:rsidRPr="001F554F" w:rsidR="006942D4">
        <w:rPr>
          <w:szCs w:val="18"/>
          <w:u w:val="single"/>
        </w:rPr>
        <w:t>e</w:t>
      </w:r>
      <w:r w:rsidRPr="00CE5144" w:rsidR="006942D4">
        <w:rPr>
          <w:szCs w:val="18"/>
          <w:u w:val="single"/>
        </w:rPr>
        <w:t>t voorkomen van gezondheidsschade door ongevallen</w:t>
      </w:r>
      <w:r w:rsidRPr="00CE5144" w:rsidR="006942D4">
        <w:rPr>
          <w:szCs w:val="18"/>
        </w:rPr>
        <w:t xml:space="preserve">. </w:t>
      </w:r>
      <w:r w:rsidR="000C7D5F">
        <w:rPr>
          <w:szCs w:val="18"/>
        </w:rPr>
        <w:t xml:space="preserve">De motivering van deze doelstelling is het beschermen van </w:t>
      </w:r>
      <w:r w:rsidR="00C65383">
        <w:rPr>
          <w:szCs w:val="18"/>
        </w:rPr>
        <w:t>burgers</w:t>
      </w:r>
      <w:r w:rsidR="000C7D5F">
        <w:rPr>
          <w:szCs w:val="18"/>
        </w:rPr>
        <w:t xml:space="preserve"> tegen gezondheidsschade als gevolg van ongevallen</w:t>
      </w:r>
      <w:r w:rsidRPr="000C7D5F" w:rsidR="000C7D5F">
        <w:rPr>
          <w:szCs w:val="18"/>
        </w:rPr>
        <w:t xml:space="preserve">. Burgers hebben een eigen verantwoordelijkheid om zich te beschermen tegen risico’s die ze zelf kunnen beperken. Dat neemt niet weg dat de overheid door gerichte voorlichting en </w:t>
      </w:r>
      <w:r w:rsidR="002513EB">
        <w:rPr>
          <w:szCs w:val="18"/>
        </w:rPr>
        <w:t>stimulering van gezond gedrag</w:t>
      </w:r>
      <w:r w:rsidRPr="000C7D5F" w:rsidR="000C7D5F">
        <w:rPr>
          <w:szCs w:val="18"/>
        </w:rPr>
        <w:t xml:space="preserve"> onnodig letsel kan beperken. </w:t>
      </w:r>
      <w:r w:rsidRPr="000C7D5F" w:rsidR="00AC0E7D">
        <w:rPr>
          <w:szCs w:val="18"/>
        </w:rPr>
        <w:t>Realisatie van deze doelstelling wor</w:t>
      </w:r>
      <w:r w:rsidRPr="000C7D5F" w:rsidR="00212210">
        <w:rPr>
          <w:szCs w:val="18"/>
        </w:rPr>
        <w:t xml:space="preserve">dt jaarlijks </w:t>
      </w:r>
      <w:r w:rsidRPr="000C7D5F" w:rsidR="00FA054A">
        <w:rPr>
          <w:szCs w:val="18"/>
        </w:rPr>
        <w:t>gevolgd</w:t>
      </w:r>
      <w:r w:rsidRPr="000C7D5F" w:rsidR="00212210">
        <w:rPr>
          <w:szCs w:val="18"/>
        </w:rPr>
        <w:t xml:space="preserve"> met </w:t>
      </w:r>
      <w:r w:rsidRPr="000C7D5F" w:rsidR="00AC0E7D">
        <w:rPr>
          <w:szCs w:val="18"/>
        </w:rPr>
        <w:t>de prestatie-indicator aantal SEH-behandelingen</w:t>
      </w:r>
      <w:r w:rsidRPr="000C7D5F" w:rsidR="00F63298">
        <w:rPr>
          <w:szCs w:val="18"/>
        </w:rPr>
        <w:t xml:space="preserve"> </w:t>
      </w:r>
      <w:r w:rsidRPr="000C7D5F" w:rsidR="00AC0E7D">
        <w:rPr>
          <w:szCs w:val="18"/>
        </w:rPr>
        <w:t xml:space="preserve">in ziekenhuizen </w:t>
      </w:r>
      <w:r w:rsidRPr="000C7D5F" w:rsidR="00841665">
        <w:rPr>
          <w:szCs w:val="18"/>
        </w:rPr>
        <w:t>door privé</w:t>
      </w:r>
      <w:r w:rsidRPr="000C7D5F" w:rsidR="00F63298">
        <w:rPr>
          <w:szCs w:val="18"/>
        </w:rPr>
        <w:t xml:space="preserve">ongevallen en sportblessures. </w:t>
      </w:r>
      <w:r w:rsidRPr="000C7D5F" w:rsidR="00841665">
        <w:rPr>
          <w:szCs w:val="18"/>
        </w:rPr>
        <w:t>In 2008 betrof het 650.000 ongevallen, met als streefcijfer 610.000 privéongevallen</w:t>
      </w:r>
      <w:r w:rsidR="00841665">
        <w:rPr>
          <w:szCs w:val="18"/>
        </w:rPr>
        <w:t xml:space="preserve"> en sportblessures</w:t>
      </w:r>
      <w:r w:rsidRPr="00C52895" w:rsidR="00C52895">
        <w:rPr>
          <w:szCs w:val="18"/>
        </w:rPr>
        <w:t xml:space="preserve"> </w:t>
      </w:r>
      <w:r w:rsidRPr="000C7D5F" w:rsidR="00C52895">
        <w:rPr>
          <w:szCs w:val="18"/>
        </w:rPr>
        <w:t>voor 2012</w:t>
      </w:r>
      <w:r w:rsidR="00C52895">
        <w:rPr>
          <w:szCs w:val="18"/>
        </w:rPr>
        <w:t xml:space="preserve"> (VWS, begroting 2009)</w:t>
      </w:r>
      <w:r w:rsidR="00841665">
        <w:rPr>
          <w:szCs w:val="18"/>
        </w:rPr>
        <w:t>.</w:t>
      </w:r>
      <w:r w:rsidRPr="005B380F" w:rsidR="005B380F">
        <w:rPr>
          <w:szCs w:val="18"/>
        </w:rPr>
        <w:t xml:space="preserve"> </w:t>
      </w:r>
    </w:p>
    <w:p w:rsidR="00F63298" w:rsidP="0016573E" w:rsidRDefault="005B380F">
      <w:pPr>
        <w:rPr>
          <w:szCs w:val="18"/>
        </w:rPr>
      </w:pPr>
      <w:r>
        <w:rPr>
          <w:szCs w:val="18"/>
        </w:rPr>
        <w:t>De operationele doelstelling is in 2011 ondergebracht bij de operationele doelstelling ‘</w:t>
      </w:r>
      <w:r w:rsidRPr="003B6516">
        <w:rPr>
          <w:szCs w:val="18"/>
          <w:u w:val="single"/>
        </w:rPr>
        <w:t>meer mensen kiezen voor een gezonde leefstijl’</w:t>
      </w:r>
      <w:r>
        <w:rPr>
          <w:rStyle w:val="Voetnootmarkering"/>
          <w:szCs w:val="18"/>
        </w:rPr>
        <w:footnoteReference w:id="10"/>
      </w:r>
      <w:r>
        <w:rPr>
          <w:szCs w:val="18"/>
        </w:rPr>
        <w:t>.</w:t>
      </w:r>
    </w:p>
    <w:p w:rsidR="009559E0" w:rsidP="0016573E" w:rsidRDefault="009559E0">
      <w:pPr>
        <w:rPr>
          <w:szCs w:val="18"/>
        </w:rPr>
      </w:pPr>
      <w:r>
        <w:rPr>
          <w:szCs w:val="18"/>
        </w:rPr>
        <w:t>De operationele doelstelling ‘</w:t>
      </w:r>
      <w:r>
        <w:t xml:space="preserve">Het voorkomen van gezondheidsschade door onveilig voedsel </w:t>
      </w:r>
      <w:r w:rsidR="00825B02">
        <w:t xml:space="preserve">en </w:t>
      </w:r>
      <w:r>
        <w:t>onveilige producten’ (behorend bij de rol burgers te beschermen) wordt niet in deze beleidsdoorlichting meegenomen.</w:t>
      </w:r>
    </w:p>
    <w:p w:rsidR="00F63298" w:rsidP="0016573E" w:rsidRDefault="00F63298">
      <w:pPr>
        <w:rPr>
          <w:szCs w:val="18"/>
        </w:rPr>
      </w:pPr>
    </w:p>
    <w:p w:rsidRPr="00322EFD" w:rsidR="00322EFD" w:rsidP="0016573E" w:rsidRDefault="006942D4">
      <w:pPr>
        <w:rPr>
          <w:szCs w:val="18"/>
        </w:rPr>
      </w:pPr>
      <w:r w:rsidRPr="00CE5144">
        <w:rPr>
          <w:szCs w:val="18"/>
        </w:rPr>
        <w:t>De doelstelling</w:t>
      </w:r>
      <w:r w:rsidR="00212210">
        <w:rPr>
          <w:szCs w:val="18"/>
        </w:rPr>
        <w:t xml:space="preserve"> voor letselpreventie</w:t>
      </w:r>
      <w:r w:rsidRPr="00CE5144">
        <w:rPr>
          <w:szCs w:val="18"/>
        </w:rPr>
        <w:t xml:space="preserve"> </w:t>
      </w:r>
      <w:r w:rsidR="00987115">
        <w:rPr>
          <w:szCs w:val="18"/>
        </w:rPr>
        <w:t>bestaat uit</w:t>
      </w:r>
      <w:r w:rsidRPr="00CE5144" w:rsidR="0001670C">
        <w:rPr>
          <w:szCs w:val="18"/>
        </w:rPr>
        <w:t xml:space="preserve"> </w:t>
      </w:r>
      <w:r w:rsidRPr="00CE5144">
        <w:rPr>
          <w:szCs w:val="18"/>
        </w:rPr>
        <w:t>twee subdoelstellingen:</w:t>
      </w:r>
      <w:r>
        <w:rPr>
          <w:szCs w:val="18"/>
        </w:rPr>
        <w:t xml:space="preserve"> </w:t>
      </w:r>
    </w:p>
    <w:p w:rsidRPr="00F051EE" w:rsidR="00304094" w:rsidP="0016573E" w:rsidRDefault="00304094">
      <w:pPr>
        <w:rPr>
          <w:szCs w:val="18"/>
        </w:rPr>
      </w:pPr>
    </w:p>
    <w:p w:rsidRPr="001A0D2A" w:rsidR="00304094" w:rsidP="0016573E" w:rsidRDefault="00304094">
      <w:pPr>
        <w:pStyle w:val="Lijstalinea"/>
        <w:numPr>
          <w:ilvl w:val="0"/>
          <w:numId w:val="10"/>
        </w:numPr>
        <w:spacing w:after="0" w:line="240" w:lineRule="exact"/>
        <w:ind w:left="0"/>
        <w:rPr>
          <w:rFonts w:ascii="Verdana" w:hAnsi="Verdana"/>
          <w:sz w:val="18"/>
          <w:szCs w:val="18"/>
          <w:u w:val="single"/>
        </w:rPr>
      </w:pPr>
      <w:r w:rsidRPr="001A0D2A">
        <w:rPr>
          <w:rFonts w:ascii="Verdana" w:hAnsi="Verdana"/>
          <w:sz w:val="18"/>
          <w:szCs w:val="18"/>
          <w:u w:val="single"/>
        </w:rPr>
        <w:t>Bevorderen van een veilige en gezonde omgeving en omstandigheden</w:t>
      </w:r>
      <w:r>
        <w:rPr>
          <w:rFonts w:ascii="Verdana" w:hAnsi="Verdana"/>
          <w:sz w:val="18"/>
          <w:szCs w:val="18"/>
          <w:u w:val="single"/>
        </w:rPr>
        <w:t xml:space="preserve"> </w:t>
      </w:r>
    </w:p>
    <w:p w:rsidR="00304094" w:rsidP="0016573E" w:rsidRDefault="00304094">
      <w:pPr>
        <w:rPr>
          <w:szCs w:val="18"/>
        </w:rPr>
      </w:pPr>
      <w:r>
        <w:rPr>
          <w:szCs w:val="18"/>
        </w:rPr>
        <w:t>Via diverse wetten en r</w:t>
      </w:r>
      <w:r w:rsidR="001877E1">
        <w:rPr>
          <w:szCs w:val="18"/>
        </w:rPr>
        <w:t>egelingen heeft de overheid</w:t>
      </w:r>
      <w:r>
        <w:rPr>
          <w:szCs w:val="18"/>
        </w:rPr>
        <w:t xml:space="preserve"> randvoorwaarden geschapen waarbinnen een veilige en gezonde (of maatschappelijke participatiebevorderende) omgeving en omstandigheden gecreëerd </w:t>
      </w:r>
      <w:r w:rsidR="00C65383">
        <w:rPr>
          <w:szCs w:val="18"/>
        </w:rPr>
        <w:t xml:space="preserve">moeten </w:t>
      </w:r>
      <w:r>
        <w:rPr>
          <w:szCs w:val="18"/>
        </w:rPr>
        <w:t xml:space="preserve">worden. Deze randvoorwaarden vragen om continue aanpassing aan veranderende factoren als demografische, technische, economische en sociaal-culturele ontwikkelingen. </w:t>
      </w:r>
    </w:p>
    <w:p w:rsidR="006C22AC" w:rsidP="0016573E" w:rsidRDefault="006C22AC">
      <w:pPr>
        <w:rPr>
          <w:szCs w:val="18"/>
        </w:rPr>
      </w:pPr>
      <w:r>
        <w:rPr>
          <w:szCs w:val="18"/>
        </w:rPr>
        <w:t xml:space="preserve">Voor letselpreventie betekent dit op het terrein van VWS aandacht voor een veilige en gezonde </w:t>
      </w:r>
      <w:r w:rsidR="00825B02">
        <w:rPr>
          <w:szCs w:val="18"/>
        </w:rPr>
        <w:t>(</w:t>
      </w:r>
      <w:r>
        <w:rPr>
          <w:szCs w:val="18"/>
        </w:rPr>
        <w:t>zorg</w:t>
      </w:r>
      <w:r w:rsidR="00825B02">
        <w:rPr>
          <w:szCs w:val="18"/>
        </w:rPr>
        <w:t>)</w:t>
      </w:r>
      <w:r>
        <w:rPr>
          <w:szCs w:val="18"/>
        </w:rPr>
        <w:t xml:space="preserve">omgeving en een veilig sportklimaat. Het creëren van een veilige en gezonde omgeving in de privésfeer kan alleen op indirecte wijze bevorderd worden via fabrikanten </w:t>
      </w:r>
      <w:r w:rsidR="0001670C">
        <w:rPr>
          <w:szCs w:val="18"/>
        </w:rPr>
        <w:t xml:space="preserve">van producten en randvoorwaarden in </w:t>
      </w:r>
      <w:r>
        <w:rPr>
          <w:szCs w:val="18"/>
        </w:rPr>
        <w:t>andere domeinen (milieu, infrastructuur).</w:t>
      </w:r>
      <w:r w:rsidR="00926799">
        <w:rPr>
          <w:szCs w:val="18"/>
        </w:rPr>
        <w:t xml:space="preserve"> </w:t>
      </w:r>
      <w:r w:rsidR="00C65383">
        <w:rPr>
          <w:szCs w:val="18"/>
        </w:rPr>
        <w:t>Ook lokale partijen en overheden vervullen hier een belangrijke rol.</w:t>
      </w:r>
    </w:p>
    <w:p w:rsidRPr="00F27F00" w:rsidR="00304094" w:rsidP="0016573E" w:rsidRDefault="00304094">
      <w:pPr>
        <w:rPr>
          <w:szCs w:val="18"/>
        </w:rPr>
      </w:pPr>
    </w:p>
    <w:p w:rsidRPr="001A0D2A" w:rsidR="00304094" w:rsidP="0016573E" w:rsidRDefault="00304094">
      <w:pPr>
        <w:pStyle w:val="Lijstalinea"/>
        <w:numPr>
          <w:ilvl w:val="0"/>
          <w:numId w:val="10"/>
        </w:numPr>
        <w:spacing w:after="0" w:line="240" w:lineRule="exact"/>
        <w:ind w:left="0"/>
        <w:rPr>
          <w:rFonts w:ascii="Verdana" w:hAnsi="Verdana"/>
          <w:sz w:val="18"/>
          <w:szCs w:val="18"/>
          <w:u w:val="single"/>
        </w:rPr>
      </w:pPr>
      <w:r w:rsidRPr="001A0D2A">
        <w:rPr>
          <w:rFonts w:ascii="Verdana" w:hAnsi="Verdana"/>
          <w:sz w:val="18"/>
          <w:szCs w:val="18"/>
          <w:u w:val="single"/>
        </w:rPr>
        <w:t xml:space="preserve">Bevorderen van veilig </w:t>
      </w:r>
      <w:r w:rsidR="001B49FD">
        <w:rPr>
          <w:rFonts w:ascii="Verdana" w:hAnsi="Verdana"/>
          <w:sz w:val="18"/>
          <w:szCs w:val="18"/>
          <w:u w:val="single"/>
        </w:rPr>
        <w:t xml:space="preserve">en </w:t>
      </w:r>
      <w:r w:rsidRPr="001A0D2A" w:rsidR="001B49FD">
        <w:rPr>
          <w:rFonts w:ascii="Verdana" w:hAnsi="Verdana"/>
          <w:sz w:val="18"/>
          <w:szCs w:val="18"/>
          <w:u w:val="single"/>
        </w:rPr>
        <w:t xml:space="preserve">gezond </w:t>
      </w:r>
      <w:r w:rsidRPr="001A0D2A">
        <w:rPr>
          <w:rFonts w:ascii="Verdana" w:hAnsi="Verdana"/>
          <w:sz w:val="18"/>
          <w:szCs w:val="18"/>
          <w:u w:val="single"/>
        </w:rPr>
        <w:t>gedrag</w:t>
      </w:r>
      <w:r>
        <w:rPr>
          <w:rFonts w:ascii="Verdana" w:hAnsi="Verdana"/>
          <w:sz w:val="18"/>
          <w:szCs w:val="18"/>
          <w:u w:val="single"/>
        </w:rPr>
        <w:t xml:space="preserve"> </w:t>
      </w:r>
    </w:p>
    <w:p w:rsidRPr="00AC0E7D" w:rsidR="00E156AF" w:rsidP="0016573E" w:rsidRDefault="00C83F50">
      <w:pPr>
        <w:rPr>
          <w:szCs w:val="18"/>
        </w:rPr>
      </w:pPr>
      <w:r>
        <w:rPr>
          <w:szCs w:val="18"/>
        </w:rPr>
        <w:t>Deze doelstelling vormt het zwaartepunt in het VWS-beleid ten aanzien van letselpreventie</w:t>
      </w:r>
      <w:r w:rsidRPr="00C83F50">
        <w:rPr>
          <w:szCs w:val="18"/>
        </w:rPr>
        <w:t xml:space="preserve"> </w:t>
      </w:r>
      <w:r>
        <w:rPr>
          <w:szCs w:val="18"/>
        </w:rPr>
        <w:t xml:space="preserve">en kan </w:t>
      </w:r>
      <w:r w:rsidR="00825B02">
        <w:rPr>
          <w:szCs w:val="18"/>
        </w:rPr>
        <w:t xml:space="preserve">slechts voor een klein deel </w:t>
      </w:r>
      <w:r>
        <w:rPr>
          <w:szCs w:val="18"/>
        </w:rPr>
        <w:t xml:space="preserve">door wetten en regels bereikt worden. Belangrijker instrumenten zijn het informeren van burgers/consumenten en het ontwikkelen en uitvoeren van effectieve interventies. Burgers hebben een eigen verantwoordelijkheid om zich te beschermen tegen risico’s die ze zelf kunnen beperken. Hiermee wordt bedoeld </w:t>
      </w:r>
      <w:r w:rsidR="00C65383">
        <w:rPr>
          <w:szCs w:val="18"/>
        </w:rPr>
        <w:t xml:space="preserve">het vertonen van </w:t>
      </w:r>
      <w:r>
        <w:rPr>
          <w:szCs w:val="18"/>
        </w:rPr>
        <w:t xml:space="preserve">veilig </w:t>
      </w:r>
      <w:r w:rsidR="00304094">
        <w:rPr>
          <w:szCs w:val="18"/>
        </w:rPr>
        <w:t xml:space="preserve">en gezond gedrag. </w:t>
      </w:r>
      <w:r w:rsidR="00926799">
        <w:rPr>
          <w:szCs w:val="18"/>
        </w:rPr>
        <w:t xml:space="preserve">Gerichte voorlichting en </w:t>
      </w:r>
      <w:r w:rsidR="00CD5CAF">
        <w:rPr>
          <w:szCs w:val="18"/>
        </w:rPr>
        <w:t>gezondheidsbevordering k</w:t>
      </w:r>
      <w:r w:rsidR="00926799">
        <w:rPr>
          <w:szCs w:val="18"/>
        </w:rPr>
        <w:t xml:space="preserve">an </w:t>
      </w:r>
      <w:r>
        <w:rPr>
          <w:szCs w:val="18"/>
        </w:rPr>
        <w:t xml:space="preserve">daar </w:t>
      </w:r>
      <w:r w:rsidR="00926799">
        <w:rPr>
          <w:szCs w:val="18"/>
        </w:rPr>
        <w:t xml:space="preserve">een goede bijdrage </w:t>
      </w:r>
      <w:r>
        <w:rPr>
          <w:szCs w:val="18"/>
        </w:rPr>
        <w:t xml:space="preserve">aan </w:t>
      </w:r>
      <w:r w:rsidR="00926799">
        <w:rPr>
          <w:szCs w:val="18"/>
        </w:rPr>
        <w:t>leveren</w:t>
      </w:r>
      <w:r>
        <w:rPr>
          <w:szCs w:val="18"/>
        </w:rPr>
        <w:t xml:space="preserve"> en </w:t>
      </w:r>
      <w:r w:rsidR="00825B02">
        <w:rPr>
          <w:szCs w:val="18"/>
        </w:rPr>
        <w:t>daar</w:t>
      </w:r>
      <w:r w:rsidRPr="00AC0E7D">
        <w:rPr>
          <w:szCs w:val="18"/>
        </w:rPr>
        <w:t>mee aan het voorkomen van letsels door ongevallen</w:t>
      </w:r>
      <w:r w:rsidRPr="00AC0E7D" w:rsidR="00926799">
        <w:rPr>
          <w:szCs w:val="18"/>
        </w:rPr>
        <w:t>.</w:t>
      </w:r>
      <w:r w:rsidRPr="00AC0E7D" w:rsidR="00E156AF">
        <w:rPr>
          <w:szCs w:val="18"/>
        </w:rPr>
        <w:t xml:space="preserve"> </w:t>
      </w:r>
    </w:p>
    <w:p w:rsidR="001F554F" w:rsidP="0016573E" w:rsidRDefault="001F554F">
      <w:pPr>
        <w:rPr>
          <w:szCs w:val="18"/>
        </w:rPr>
      </w:pPr>
    </w:p>
    <w:p w:rsidRPr="009559E0" w:rsidR="001B49FD" w:rsidP="0016573E" w:rsidRDefault="001B49FD">
      <w:pPr>
        <w:rPr>
          <w:b/>
          <w:szCs w:val="18"/>
        </w:rPr>
      </w:pPr>
      <w:r w:rsidRPr="009559E0">
        <w:rPr>
          <w:b/>
          <w:szCs w:val="18"/>
        </w:rPr>
        <w:t>Beleidsbrief 2008-2012</w:t>
      </w:r>
    </w:p>
    <w:p w:rsidR="0014394F" w:rsidP="0016573E" w:rsidRDefault="0014394F">
      <w:pPr>
        <w:rPr>
          <w:szCs w:val="18"/>
        </w:rPr>
      </w:pPr>
      <w:r>
        <w:rPr>
          <w:szCs w:val="18"/>
        </w:rPr>
        <w:t xml:space="preserve">Met de beleidsbrief 2008-2012 is een aantal accenten gelegd binnen de operationele doelstelling ter verbetering van het letselpreventiebeleid in de privésfeer. Deze accenten zijn verwoord in </w:t>
      </w:r>
      <w:r w:rsidR="00D04B5D">
        <w:rPr>
          <w:szCs w:val="18"/>
        </w:rPr>
        <w:t xml:space="preserve">de volgende </w:t>
      </w:r>
      <w:r>
        <w:rPr>
          <w:szCs w:val="18"/>
        </w:rPr>
        <w:t>voornemens</w:t>
      </w:r>
      <w:r w:rsidR="00D04B5D">
        <w:rPr>
          <w:szCs w:val="18"/>
        </w:rPr>
        <w:t>:</w:t>
      </w:r>
      <w:r>
        <w:rPr>
          <w:szCs w:val="18"/>
        </w:rPr>
        <w:t xml:space="preserve"> </w:t>
      </w:r>
    </w:p>
    <w:p w:rsidR="0014394F" w:rsidP="0016573E" w:rsidRDefault="0014394F">
      <w:pPr>
        <w:rPr>
          <w:szCs w:val="18"/>
        </w:rPr>
      </w:pPr>
    </w:p>
    <w:p w:rsidRPr="00FA054A" w:rsidR="0014394F" w:rsidP="0016573E" w:rsidRDefault="0014394F">
      <w:pPr>
        <w:rPr>
          <w:i/>
          <w:szCs w:val="18"/>
        </w:rPr>
      </w:pPr>
      <w:r>
        <w:rPr>
          <w:i/>
          <w:szCs w:val="18"/>
        </w:rPr>
        <w:t>Optimalisatie van de r</w:t>
      </w:r>
      <w:r w:rsidRPr="00FA054A">
        <w:rPr>
          <w:i/>
          <w:szCs w:val="18"/>
        </w:rPr>
        <w:t>egistratie</w:t>
      </w:r>
      <w:r w:rsidR="0074095C">
        <w:rPr>
          <w:i/>
          <w:szCs w:val="18"/>
        </w:rPr>
        <w:t xml:space="preserve"> (basis voor belei</w:t>
      </w:r>
      <w:r w:rsidR="000416FA">
        <w:rPr>
          <w:i/>
          <w:szCs w:val="18"/>
        </w:rPr>
        <w:t>d</w:t>
      </w:r>
      <w:r w:rsidR="0074095C">
        <w:rPr>
          <w:i/>
          <w:szCs w:val="18"/>
        </w:rPr>
        <w:t>;</w:t>
      </w:r>
      <w:r w:rsidR="001B49FD">
        <w:rPr>
          <w:i/>
          <w:szCs w:val="18"/>
        </w:rPr>
        <w:t xml:space="preserve"> alle rollen)</w:t>
      </w:r>
    </w:p>
    <w:p w:rsidRPr="00C00BC2" w:rsidR="0014394F" w:rsidP="00FF6874" w:rsidRDefault="0014394F">
      <w:pPr>
        <w:pStyle w:val="Lijstalinea"/>
        <w:numPr>
          <w:ilvl w:val="0"/>
          <w:numId w:val="19"/>
        </w:numPr>
        <w:ind w:left="284" w:hanging="284"/>
        <w:rPr>
          <w:rFonts w:ascii="Verdana" w:hAnsi="Verdana"/>
          <w:sz w:val="18"/>
          <w:szCs w:val="18"/>
        </w:rPr>
      </w:pPr>
      <w:r>
        <w:rPr>
          <w:rFonts w:ascii="Verdana" w:hAnsi="Verdana"/>
          <w:sz w:val="18"/>
          <w:szCs w:val="18"/>
        </w:rPr>
        <w:t>gegevens</w:t>
      </w:r>
      <w:r w:rsidRPr="00C00BC2">
        <w:rPr>
          <w:rFonts w:ascii="Verdana" w:hAnsi="Verdana"/>
          <w:sz w:val="18"/>
          <w:szCs w:val="18"/>
        </w:rPr>
        <w:t xml:space="preserve">verzameling door middel van </w:t>
      </w:r>
      <w:r>
        <w:rPr>
          <w:rFonts w:ascii="Verdana" w:hAnsi="Verdana"/>
          <w:sz w:val="18"/>
          <w:szCs w:val="18"/>
        </w:rPr>
        <w:t>het Letselinformatiesysteem (</w:t>
      </w:r>
      <w:r w:rsidRPr="00C00BC2">
        <w:rPr>
          <w:rFonts w:ascii="Verdana" w:hAnsi="Verdana"/>
          <w:sz w:val="18"/>
          <w:szCs w:val="18"/>
        </w:rPr>
        <w:t>LIS</w:t>
      </w:r>
      <w:r>
        <w:rPr>
          <w:rFonts w:ascii="Verdana" w:hAnsi="Verdana"/>
          <w:sz w:val="18"/>
          <w:szCs w:val="18"/>
        </w:rPr>
        <w:t>)</w:t>
      </w:r>
      <w:r w:rsidRPr="00C00BC2">
        <w:rPr>
          <w:rFonts w:ascii="Verdana" w:hAnsi="Verdana"/>
          <w:sz w:val="18"/>
          <w:szCs w:val="18"/>
        </w:rPr>
        <w:t xml:space="preserve"> en </w:t>
      </w:r>
      <w:r>
        <w:rPr>
          <w:rFonts w:ascii="Verdana" w:hAnsi="Verdana"/>
          <w:sz w:val="18"/>
          <w:szCs w:val="18"/>
        </w:rPr>
        <w:t>Ongevallen en Bewegen in Nederland (</w:t>
      </w:r>
      <w:r w:rsidRPr="00C00BC2">
        <w:rPr>
          <w:rFonts w:ascii="Verdana" w:hAnsi="Verdana"/>
          <w:sz w:val="18"/>
          <w:szCs w:val="18"/>
        </w:rPr>
        <w:t>OBiN</w:t>
      </w:r>
      <w:r>
        <w:rPr>
          <w:rFonts w:ascii="Verdana" w:hAnsi="Verdana"/>
          <w:sz w:val="18"/>
          <w:szCs w:val="18"/>
        </w:rPr>
        <w:t>)</w:t>
      </w:r>
      <w:r w:rsidRPr="00C00BC2">
        <w:rPr>
          <w:rFonts w:ascii="Verdana" w:hAnsi="Verdana"/>
          <w:sz w:val="18"/>
          <w:szCs w:val="18"/>
        </w:rPr>
        <w:t xml:space="preserve"> continueren, als basis voor het preventiebeleid</w:t>
      </w:r>
      <w:r w:rsidR="001B49FD">
        <w:rPr>
          <w:rFonts w:ascii="Verdana" w:hAnsi="Verdana"/>
          <w:sz w:val="18"/>
          <w:szCs w:val="18"/>
        </w:rPr>
        <w:t>;</w:t>
      </w:r>
    </w:p>
    <w:p w:rsidRPr="00C00BC2" w:rsidR="0014394F" w:rsidP="00FF6874" w:rsidRDefault="0014394F">
      <w:pPr>
        <w:pStyle w:val="Lijstalinea"/>
        <w:numPr>
          <w:ilvl w:val="0"/>
          <w:numId w:val="19"/>
        </w:numPr>
        <w:ind w:left="284" w:hanging="284"/>
        <w:rPr>
          <w:rFonts w:ascii="Verdana" w:hAnsi="Verdana"/>
          <w:sz w:val="18"/>
          <w:szCs w:val="18"/>
        </w:rPr>
      </w:pPr>
      <w:r w:rsidRPr="00C00BC2">
        <w:rPr>
          <w:rFonts w:ascii="Verdana" w:hAnsi="Verdana"/>
          <w:sz w:val="18"/>
          <w:szCs w:val="18"/>
        </w:rPr>
        <w:t>betrokken partijen vragen om</w:t>
      </w:r>
      <w:r>
        <w:rPr>
          <w:rFonts w:ascii="Verdana" w:hAnsi="Verdana"/>
          <w:sz w:val="18"/>
          <w:szCs w:val="18"/>
        </w:rPr>
        <w:t xml:space="preserve"> betere afstemming tussen</w:t>
      </w:r>
      <w:r w:rsidRPr="00C00BC2">
        <w:rPr>
          <w:rFonts w:ascii="Verdana" w:hAnsi="Verdana"/>
          <w:sz w:val="18"/>
          <w:szCs w:val="18"/>
        </w:rPr>
        <w:t xml:space="preserve"> LIS en de traumaregistraties </w:t>
      </w:r>
      <w:r>
        <w:rPr>
          <w:rFonts w:ascii="Verdana" w:hAnsi="Verdana"/>
          <w:sz w:val="18"/>
          <w:szCs w:val="18"/>
        </w:rPr>
        <w:t>met als doel</w:t>
      </w:r>
      <w:r w:rsidRPr="00C00BC2">
        <w:rPr>
          <w:rFonts w:ascii="Verdana" w:hAnsi="Verdana"/>
          <w:sz w:val="18"/>
          <w:szCs w:val="18"/>
        </w:rPr>
        <w:t xml:space="preserve"> meer inzicht </w:t>
      </w:r>
      <w:r>
        <w:rPr>
          <w:rFonts w:ascii="Verdana" w:hAnsi="Verdana"/>
          <w:sz w:val="18"/>
          <w:szCs w:val="18"/>
        </w:rPr>
        <w:t>in</w:t>
      </w:r>
      <w:r w:rsidRPr="00C00BC2">
        <w:rPr>
          <w:rFonts w:ascii="Verdana" w:hAnsi="Verdana"/>
          <w:sz w:val="18"/>
          <w:szCs w:val="18"/>
        </w:rPr>
        <w:t xml:space="preserve"> het ontstaan en de gevolgen van ernstige letsels</w:t>
      </w:r>
      <w:r w:rsidR="001B49FD">
        <w:rPr>
          <w:rFonts w:ascii="Verdana" w:hAnsi="Verdana"/>
          <w:sz w:val="18"/>
          <w:szCs w:val="18"/>
        </w:rPr>
        <w:t>;</w:t>
      </w:r>
    </w:p>
    <w:p w:rsidR="0014394F" w:rsidP="00FF6874" w:rsidRDefault="0014394F">
      <w:pPr>
        <w:pStyle w:val="Lijstalinea"/>
        <w:numPr>
          <w:ilvl w:val="0"/>
          <w:numId w:val="19"/>
        </w:numPr>
        <w:ind w:left="284" w:hanging="284"/>
        <w:rPr>
          <w:rFonts w:ascii="Verdana" w:hAnsi="Verdana"/>
          <w:sz w:val="18"/>
          <w:szCs w:val="18"/>
        </w:rPr>
      </w:pPr>
      <w:r w:rsidRPr="00C00BC2">
        <w:rPr>
          <w:rFonts w:ascii="Verdana" w:hAnsi="Verdana"/>
          <w:sz w:val="18"/>
          <w:szCs w:val="18"/>
        </w:rPr>
        <w:t>in overleg met RIVM treden over verbeterde berekeningen van DALY’s voor geweld en suïcide</w:t>
      </w:r>
      <w:r w:rsidR="001B49FD">
        <w:rPr>
          <w:rFonts w:ascii="Verdana" w:hAnsi="Verdana"/>
          <w:sz w:val="18"/>
          <w:szCs w:val="18"/>
        </w:rPr>
        <w:t>;</w:t>
      </w:r>
    </w:p>
    <w:p w:rsidRPr="00C00BC2" w:rsidR="0014394F" w:rsidP="00FF6874" w:rsidRDefault="0014394F">
      <w:pPr>
        <w:pStyle w:val="Lijstalinea"/>
        <w:numPr>
          <w:ilvl w:val="0"/>
          <w:numId w:val="19"/>
        </w:numPr>
        <w:ind w:left="284" w:hanging="284"/>
        <w:rPr>
          <w:rFonts w:ascii="Verdana" w:hAnsi="Verdana"/>
          <w:sz w:val="18"/>
          <w:szCs w:val="18"/>
        </w:rPr>
      </w:pPr>
      <w:r>
        <w:rPr>
          <w:rFonts w:ascii="Verdana" w:hAnsi="Verdana"/>
          <w:sz w:val="18"/>
          <w:szCs w:val="18"/>
        </w:rPr>
        <w:t>de mogelijkheid laten onderzoeken om letsels door vallen te registreren in de eerstelijnszorg, om meer inzicht te krijgen in de risicofactoren.</w:t>
      </w:r>
    </w:p>
    <w:p w:rsidRPr="00FA054A" w:rsidR="0014394F" w:rsidP="0016573E" w:rsidRDefault="0014394F">
      <w:pPr>
        <w:rPr>
          <w:i/>
          <w:szCs w:val="18"/>
        </w:rPr>
      </w:pPr>
      <w:r w:rsidRPr="00FA054A">
        <w:rPr>
          <w:i/>
          <w:szCs w:val="18"/>
        </w:rPr>
        <w:t>Agendering</w:t>
      </w:r>
      <w:r w:rsidR="001B49FD">
        <w:rPr>
          <w:i/>
          <w:szCs w:val="18"/>
        </w:rPr>
        <w:t xml:space="preserve"> (stimulerende en faciliterende rol)</w:t>
      </w:r>
    </w:p>
    <w:p w:rsidR="0014394F" w:rsidP="00FF6874" w:rsidRDefault="0014394F">
      <w:pPr>
        <w:pStyle w:val="Lijstalinea"/>
        <w:numPr>
          <w:ilvl w:val="0"/>
          <w:numId w:val="19"/>
        </w:numPr>
        <w:ind w:left="284" w:hanging="284"/>
        <w:rPr>
          <w:rFonts w:ascii="Verdana" w:hAnsi="Verdana"/>
          <w:sz w:val="18"/>
          <w:szCs w:val="18"/>
        </w:rPr>
      </w:pPr>
      <w:r>
        <w:rPr>
          <w:rFonts w:ascii="Verdana" w:hAnsi="Verdana"/>
          <w:sz w:val="18"/>
          <w:szCs w:val="18"/>
        </w:rPr>
        <w:t>overwegen om letselpreventie in de volgende preventienota te prioriteren, omdat het om een groot en soms onderschat volksgezondheidsprobleem gaat met evenwel veel vermijdbare ziektelast en andere schade</w:t>
      </w:r>
      <w:r w:rsidR="001B49FD">
        <w:rPr>
          <w:rFonts w:ascii="Verdana" w:hAnsi="Verdana"/>
          <w:sz w:val="18"/>
          <w:szCs w:val="18"/>
        </w:rPr>
        <w:t>;</w:t>
      </w:r>
    </w:p>
    <w:p w:rsidRPr="00AC0E7D" w:rsidR="0014394F" w:rsidP="00FF6874" w:rsidRDefault="0014394F">
      <w:pPr>
        <w:pStyle w:val="Lijstalinea"/>
        <w:numPr>
          <w:ilvl w:val="0"/>
          <w:numId w:val="19"/>
        </w:numPr>
        <w:ind w:left="284" w:hanging="284"/>
        <w:rPr>
          <w:rFonts w:ascii="Verdana" w:hAnsi="Verdana"/>
          <w:sz w:val="18"/>
          <w:szCs w:val="18"/>
        </w:rPr>
      </w:pPr>
      <w:r>
        <w:rPr>
          <w:rFonts w:ascii="Verdana" w:hAnsi="Verdana"/>
          <w:sz w:val="18"/>
          <w:szCs w:val="18"/>
        </w:rPr>
        <w:t>k</w:t>
      </w:r>
      <w:r w:rsidRPr="00AC0E7D">
        <w:rPr>
          <w:rFonts w:ascii="Verdana" w:hAnsi="Verdana"/>
          <w:sz w:val="18"/>
          <w:szCs w:val="18"/>
        </w:rPr>
        <w:t>etenzorg versterken ten behoeve van valpreventie, om de daarin gelegen kansen v</w:t>
      </w:r>
      <w:r>
        <w:rPr>
          <w:rFonts w:ascii="Verdana" w:hAnsi="Verdana"/>
          <w:sz w:val="18"/>
          <w:szCs w:val="18"/>
        </w:rPr>
        <w:t>oor preventie beter te benutten</w:t>
      </w:r>
      <w:r w:rsidR="001B49FD">
        <w:rPr>
          <w:rFonts w:ascii="Verdana" w:hAnsi="Verdana"/>
          <w:sz w:val="18"/>
          <w:szCs w:val="18"/>
        </w:rPr>
        <w:t>;</w:t>
      </w:r>
    </w:p>
    <w:p w:rsidR="0014394F" w:rsidP="00FF6874" w:rsidRDefault="0014394F">
      <w:pPr>
        <w:pStyle w:val="Lijstalinea"/>
        <w:numPr>
          <w:ilvl w:val="0"/>
          <w:numId w:val="19"/>
        </w:numPr>
        <w:ind w:left="284" w:hanging="284"/>
        <w:rPr>
          <w:rFonts w:ascii="Verdana" w:hAnsi="Verdana"/>
          <w:sz w:val="18"/>
          <w:szCs w:val="18"/>
        </w:rPr>
      </w:pPr>
      <w:r>
        <w:rPr>
          <w:rFonts w:ascii="Verdana" w:hAnsi="Verdana"/>
          <w:sz w:val="18"/>
          <w:szCs w:val="18"/>
        </w:rPr>
        <w:t>valpreventie agenderen in de lopende verkenning van de preventieve rol van verzekeraars om hun mogelijke rol daarbij optimaal te benutten.</w:t>
      </w:r>
    </w:p>
    <w:p w:rsidRPr="00FA054A" w:rsidR="0014394F" w:rsidP="0016573E" w:rsidRDefault="0014394F">
      <w:pPr>
        <w:rPr>
          <w:i/>
          <w:szCs w:val="18"/>
        </w:rPr>
      </w:pPr>
      <w:r>
        <w:rPr>
          <w:i/>
          <w:szCs w:val="18"/>
        </w:rPr>
        <w:t>Interdepartementale s</w:t>
      </w:r>
      <w:r w:rsidRPr="00FA054A">
        <w:rPr>
          <w:i/>
          <w:szCs w:val="18"/>
        </w:rPr>
        <w:t>amenwerking</w:t>
      </w:r>
      <w:r w:rsidR="001B49FD">
        <w:rPr>
          <w:i/>
          <w:szCs w:val="18"/>
        </w:rPr>
        <w:t xml:space="preserve"> (coördinerende rol)</w:t>
      </w:r>
    </w:p>
    <w:p w:rsidRPr="00F63298" w:rsidR="0014394F" w:rsidP="00FF6874" w:rsidRDefault="001B49FD">
      <w:pPr>
        <w:pStyle w:val="Lijstalinea"/>
        <w:numPr>
          <w:ilvl w:val="0"/>
          <w:numId w:val="19"/>
        </w:numPr>
        <w:ind w:left="284" w:hanging="284"/>
        <w:rPr>
          <w:rFonts w:ascii="Verdana" w:hAnsi="Verdana"/>
          <w:sz w:val="18"/>
          <w:szCs w:val="18"/>
        </w:rPr>
      </w:pPr>
      <w:r>
        <w:rPr>
          <w:rFonts w:ascii="Verdana" w:hAnsi="Verdana"/>
          <w:sz w:val="18"/>
          <w:szCs w:val="18"/>
        </w:rPr>
        <w:t>s</w:t>
      </w:r>
      <w:r w:rsidRPr="00F63298" w:rsidR="0014394F">
        <w:rPr>
          <w:rFonts w:ascii="Verdana" w:hAnsi="Verdana"/>
          <w:sz w:val="18"/>
          <w:szCs w:val="18"/>
        </w:rPr>
        <w:t>amenwerken</w:t>
      </w:r>
      <w:r w:rsidR="0014394F">
        <w:rPr>
          <w:rFonts w:ascii="Verdana" w:hAnsi="Verdana"/>
          <w:sz w:val="18"/>
          <w:szCs w:val="18"/>
        </w:rPr>
        <w:t xml:space="preserve"> met andere departementen</w:t>
      </w:r>
      <w:r w:rsidRPr="00F63298" w:rsidR="0014394F">
        <w:rPr>
          <w:rFonts w:ascii="Verdana" w:hAnsi="Verdana"/>
          <w:sz w:val="18"/>
          <w:szCs w:val="18"/>
        </w:rPr>
        <w:t xml:space="preserve"> ten aanzien van letselpreventie</w:t>
      </w:r>
      <w:r w:rsidR="0014394F">
        <w:rPr>
          <w:rFonts w:ascii="Verdana" w:hAnsi="Verdana"/>
          <w:sz w:val="18"/>
          <w:szCs w:val="18"/>
        </w:rPr>
        <w:t>.</w:t>
      </w:r>
    </w:p>
    <w:p w:rsidRPr="00AC0E7D" w:rsidR="001F554F" w:rsidP="0016573E" w:rsidRDefault="0014394F">
      <w:pPr>
        <w:rPr>
          <w:szCs w:val="18"/>
        </w:rPr>
      </w:pPr>
      <w:r>
        <w:rPr>
          <w:i/>
          <w:szCs w:val="18"/>
        </w:rPr>
        <w:t>I</w:t>
      </w:r>
      <w:r w:rsidRPr="00C20285" w:rsidR="00987115">
        <w:rPr>
          <w:i/>
          <w:szCs w:val="18"/>
        </w:rPr>
        <w:t>nformeren en lokale ondersteuning</w:t>
      </w:r>
      <w:r w:rsidR="001B49FD">
        <w:rPr>
          <w:i/>
          <w:szCs w:val="18"/>
        </w:rPr>
        <w:t xml:space="preserve"> (stimulerende en faciliterende rol)</w:t>
      </w:r>
    </w:p>
    <w:p w:rsidR="001F554F" w:rsidP="00FF6874" w:rsidRDefault="00AC0E7D">
      <w:pPr>
        <w:pStyle w:val="Lijstalinea"/>
        <w:numPr>
          <w:ilvl w:val="0"/>
          <w:numId w:val="19"/>
        </w:numPr>
        <w:ind w:left="284" w:hanging="284"/>
        <w:rPr>
          <w:rFonts w:ascii="Verdana" w:hAnsi="Verdana"/>
          <w:sz w:val="18"/>
          <w:szCs w:val="18"/>
        </w:rPr>
      </w:pPr>
      <w:r w:rsidRPr="00AC0E7D">
        <w:rPr>
          <w:rFonts w:ascii="Verdana" w:hAnsi="Verdana"/>
          <w:sz w:val="18"/>
          <w:szCs w:val="18"/>
        </w:rPr>
        <w:t>a</w:t>
      </w:r>
      <w:r w:rsidRPr="00AC0E7D" w:rsidR="001F554F">
        <w:rPr>
          <w:rFonts w:ascii="Verdana" w:hAnsi="Verdana"/>
          <w:sz w:val="18"/>
          <w:szCs w:val="18"/>
        </w:rPr>
        <w:t xml:space="preserve">ansturen op het evalueren van preventieve maatregelen, in overleg met ZonMw </w:t>
      </w:r>
      <w:r w:rsidRPr="00AC0E7D">
        <w:rPr>
          <w:rFonts w:ascii="Verdana" w:hAnsi="Verdana"/>
          <w:sz w:val="18"/>
          <w:szCs w:val="18"/>
        </w:rPr>
        <w:t>en VeiligheidNL om meer zicht te krijgen op wat werkt en wat niet</w:t>
      </w:r>
      <w:r w:rsidR="001B49FD">
        <w:rPr>
          <w:rFonts w:ascii="Verdana" w:hAnsi="Verdana"/>
          <w:sz w:val="18"/>
          <w:szCs w:val="18"/>
        </w:rPr>
        <w:t>;</w:t>
      </w:r>
    </w:p>
    <w:p w:rsidRPr="00AC0E7D" w:rsidR="00AC0E7D" w:rsidP="00FF6874" w:rsidRDefault="00AC0E7D">
      <w:pPr>
        <w:pStyle w:val="Lijstalinea"/>
        <w:numPr>
          <w:ilvl w:val="0"/>
          <w:numId w:val="19"/>
        </w:numPr>
        <w:ind w:left="284" w:hanging="284"/>
        <w:rPr>
          <w:rFonts w:ascii="Verdana" w:hAnsi="Verdana"/>
          <w:sz w:val="18"/>
          <w:szCs w:val="18"/>
        </w:rPr>
      </w:pPr>
      <w:r>
        <w:rPr>
          <w:rFonts w:ascii="Verdana" w:hAnsi="Verdana"/>
          <w:sz w:val="18"/>
          <w:szCs w:val="18"/>
        </w:rPr>
        <w:t xml:space="preserve">in overleg met o.a. VeiligheidNL en andere relevante partijen de mogelijkheden van </w:t>
      </w:r>
      <w:r w:rsidRPr="00AC0E7D">
        <w:rPr>
          <w:rFonts w:ascii="Verdana" w:hAnsi="Verdana"/>
          <w:sz w:val="18"/>
          <w:szCs w:val="18"/>
        </w:rPr>
        <w:t>een academische werkplaats Letselpreventie verkennen om wetenschap en praktijk beter op elkaar te laten aansluiten</w:t>
      </w:r>
      <w:r w:rsidR="001B49FD">
        <w:rPr>
          <w:rFonts w:ascii="Verdana" w:hAnsi="Verdana"/>
          <w:sz w:val="18"/>
          <w:szCs w:val="18"/>
        </w:rPr>
        <w:t>;</w:t>
      </w:r>
    </w:p>
    <w:p w:rsidRPr="00AC0E7D" w:rsidR="00AC0E7D" w:rsidP="00FF6874" w:rsidRDefault="00AC0E7D">
      <w:pPr>
        <w:pStyle w:val="Lijstalinea"/>
        <w:numPr>
          <w:ilvl w:val="0"/>
          <w:numId w:val="19"/>
        </w:numPr>
        <w:ind w:left="284" w:hanging="284"/>
        <w:rPr>
          <w:rFonts w:ascii="Verdana" w:hAnsi="Verdana"/>
          <w:sz w:val="18"/>
          <w:szCs w:val="18"/>
        </w:rPr>
      </w:pPr>
      <w:r w:rsidRPr="00AC0E7D">
        <w:rPr>
          <w:rFonts w:ascii="Verdana" w:hAnsi="Verdana"/>
          <w:sz w:val="18"/>
          <w:szCs w:val="18"/>
        </w:rPr>
        <w:t>lokale partijen en overheden via het Centrum Gezond Leven ondersteunen bij het kiezen en implementeren van effectieve interventies</w:t>
      </w:r>
      <w:r w:rsidR="0014394F">
        <w:rPr>
          <w:rFonts w:ascii="Verdana" w:hAnsi="Verdana"/>
          <w:sz w:val="18"/>
          <w:szCs w:val="18"/>
        </w:rPr>
        <w:t>.</w:t>
      </w:r>
    </w:p>
    <w:p w:rsidR="00AC0E7D" w:rsidP="0016573E" w:rsidRDefault="00D5473A">
      <w:pPr>
        <w:rPr>
          <w:szCs w:val="18"/>
        </w:rPr>
      </w:pPr>
      <w:r>
        <w:rPr>
          <w:szCs w:val="18"/>
        </w:rPr>
        <w:t xml:space="preserve">Daarnaast wordt in de beleidsbrief een reactie gegeven op een drietal specifieke thema’s, die in het </w:t>
      </w:r>
      <w:r w:rsidR="009E34A7">
        <w:rPr>
          <w:szCs w:val="18"/>
        </w:rPr>
        <w:t>RIVM Thema</w:t>
      </w:r>
      <w:r>
        <w:rPr>
          <w:szCs w:val="18"/>
        </w:rPr>
        <w:t xml:space="preserve">rapport </w:t>
      </w:r>
      <w:r w:rsidR="009E34A7">
        <w:rPr>
          <w:szCs w:val="18"/>
        </w:rPr>
        <w:t>‘Let op letsels’</w:t>
      </w:r>
      <w:r>
        <w:rPr>
          <w:szCs w:val="18"/>
        </w:rPr>
        <w:t xml:space="preserve"> op basis van te behalen gezondheidswinst zijn </w:t>
      </w:r>
      <w:r w:rsidR="00977ED9">
        <w:rPr>
          <w:szCs w:val="18"/>
        </w:rPr>
        <w:t>geselecteerd</w:t>
      </w:r>
      <w:r>
        <w:rPr>
          <w:szCs w:val="18"/>
        </w:rPr>
        <w:t xml:space="preserve">, namelijk </w:t>
      </w:r>
      <w:r w:rsidR="00C00BC2">
        <w:rPr>
          <w:szCs w:val="18"/>
        </w:rPr>
        <w:t>valpreventie</w:t>
      </w:r>
      <w:r>
        <w:rPr>
          <w:szCs w:val="18"/>
        </w:rPr>
        <w:t xml:space="preserve"> bij ouderen</w:t>
      </w:r>
      <w:r w:rsidR="00C00BC2">
        <w:rPr>
          <w:szCs w:val="18"/>
        </w:rPr>
        <w:t>, suïcidepreventie</w:t>
      </w:r>
      <w:r>
        <w:rPr>
          <w:szCs w:val="18"/>
        </w:rPr>
        <w:t xml:space="preserve"> en (brom)fietsongevallen. Laatstgenoemd thema valt onder de verantwoordelijk</w:t>
      </w:r>
      <w:r w:rsidR="00825B02">
        <w:rPr>
          <w:szCs w:val="18"/>
        </w:rPr>
        <w:t>heid van het ministerie van</w:t>
      </w:r>
      <w:r w:rsidR="005B380F">
        <w:rPr>
          <w:szCs w:val="18"/>
        </w:rPr>
        <w:t xml:space="preserve"> Ien</w:t>
      </w:r>
      <w:r w:rsidR="00825B02">
        <w:rPr>
          <w:szCs w:val="18"/>
        </w:rPr>
        <w:t>M.</w:t>
      </w:r>
    </w:p>
    <w:p w:rsidR="00AC0E7D" w:rsidP="0016573E" w:rsidRDefault="00AC0E7D">
      <w:pPr>
        <w:rPr>
          <w:szCs w:val="18"/>
        </w:rPr>
      </w:pPr>
    </w:p>
    <w:p w:rsidR="0042440C" w:rsidP="0016573E" w:rsidRDefault="0042440C">
      <w:pPr>
        <w:spacing w:line="240" w:lineRule="auto"/>
        <w:rPr>
          <w:sz w:val="24"/>
        </w:rPr>
      </w:pPr>
      <w:r>
        <w:br w:type="page"/>
      </w:r>
    </w:p>
    <w:p w:rsidR="00535234" w:rsidP="0016573E" w:rsidRDefault="00535234">
      <w:pPr>
        <w:pStyle w:val="Huisstijl-Kop1"/>
      </w:pPr>
      <w:bookmarkStart w:name="_Toc351626666" w:id="14"/>
      <w:r>
        <w:t>Beleidsinstrumenten 2008 - 2012</w:t>
      </w:r>
      <w:bookmarkEnd w:id="14"/>
    </w:p>
    <w:p w:rsidRPr="00AB240D" w:rsidR="00410CAF" w:rsidP="0016573E" w:rsidRDefault="00410CAF">
      <w:r>
        <w:t xml:space="preserve">In dit hoofdstuk volgt een beschrijving van de diverse instrumenten die </w:t>
      </w:r>
      <w:r w:rsidR="0098587A">
        <w:t xml:space="preserve">door VWS </w:t>
      </w:r>
      <w:r w:rsidR="00821ABB">
        <w:t xml:space="preserve">zijn </w:t>
      </w:r>
      <w:r>
        <w:t xml:space="preserve">ingezet ter preventie van letsels door ongevallen, geweld en suïcide. </w:t>
      </w:r>
      <w:r w:rsidR="00100B31">
        <w:t>De instrumenten zijn in logische volgorde weergegeven. Dat wil zeggen dat het letselpreventiebeleid altijd begint met inzicht in de omvang van de letselproblematiek om besluiten en/of acties te kunnen onderbouwen. Het inzicht kan leiden tot het nemen van maatregelen zoals normering/regelgeving of voorlichting en communicatie. Normering en regelgeving vraagt vervolgens om toezicht en handhaving</w:t>
      </w:r>
      <w:r w:rsidR="00D5473A">
        <w:t xml:space="preserve"> </w:t>
      </w:r>
      <w:r w:rsidR="0098587A">
        <w:t>ter bevordering van de</w:t>
      </w:r>
      <w:r w:rsidR="00D5473A">
        <w:t xml:space="preserve"> naleving.</w:t>
      </w:r>
    </w:p>
    <w:p w:rsidR="00535234" w:rsidP="0016573E" w:rsidRDefault="00AB72B8">
      <w:pPr>
        <w:pStyle w:val="Huisstijl-Kop2"/>
      </w:pPr>
      <w:bookmarkStart w:name="_Toc351626667" w:id="15"/>
      <w:r>
        <w:t>Signalering en monitoring</w:t>
      </w:r>
      <w:bookmarkEnd w:id="15"/>
    </w:p>
    <w:p w:rsidR="00AB72B8" w:rsidP="0016573E" w:rsidRDefault="00AB72B8">
      <w:r>
        <w:t xml:space="preserve">Betrouwbare gegevensverzamelingen en statistieken zijn noodzakelijk om het letselpreventiebeleid te onderbouwen en te monitoren. </w:t>
      </w:r>
      <w:r w:rsidR="0054088C">
        <w:t xml:space="preserve">De belangrijkste letselregistraties voor VWS zijn </w:t>
      </w:r>
      <w:r>
        <w:t>het Letsel Informatie Systeem (LIS)</w:t>
      </w:r>
      <w:r w:rsidR="00817D25">
        <w:rPr>
          <w:rStyle w:val="Voetnootmarkering"/>
        </w:rPr>
        <w:footnoteReference w:id="11"/>
      </w:r>
      <w:r>
        <w:t xml:space="preserve"> en Ongevallen en Bewegen in Nederland (OBiN)</w:t>
      </w:r>
      <w:r w:rsidR="0054088C">
        <w:t xml:space="preserve">. </w:t>
      </w:r>
      <w:r w:rsidR="0014394F">
        <w:t>Beide registraties zijn belangrijk voor het berekenen van de letsellast, naast registraties als de Landelijke Medische Registratie voor ziekenhuisopnamen en Doodsoorzakenstatistiek van het CBS. Het LIS wordt ook door a</w:t>
      </w:r>
      <w:r w:rsidR="00D2413C">
        <w:t>ndere departementen gebruik</w:t>
      </w:r>
      <w:r w:rsidR="0014394F">
        <w:t>t</w:t>
      </w:r>
      <w:r w:rsidR="00D2413C">
        <w:t>.</w:t>
      </w:r>
      <w:r w:rsidR="00AE47FA">
        <w:rPr>
          <w:rStyle w:val="Voetnootmarkering"/>
        </w:rPr>
        <w:footnoteReference w:id="12"/>
      </w:r>
      <w:r w:rsidR="00AE5B27">
        <w:t xml:space="preserve"> Deze cijfers worden gebruikt om het letselpreventiebeleid te onderbouwen; bij welke doelgroepen is de meeste gezondheidswinst te behalen voor welk soort letsel en wat zijn de oorzaken van deze letsels. Inzicht in de oorzaken van letsels geeft ook inzicht welk beleidsinstrument het beste kan worden ingezet.</w:t>
      </w:r>
    </w:p>
    <w:p w:rsidR="00AE5B27" w:rsidP="0016573E" w:rsidRDefault="00AE5B27"/>
    <w:p w:rsidRPr="0027480A" w:rsidR="006D5513" w:rsidP="0016573E" w:rsidRDefault="006D5513">
      <w:pPr>
        <w:widowControl/>
        <w:suppressAutoHyphens w:val="0"/>
        <w:autoSpaceDE w:val="0"/>
        <w:adjustRightInd w:val="0"/>
        <w:textAlignment w:val="auto"/>
        <w:rPr>
          <w:rFonts w:cs="Arial"/>
          <w:kern w:val="0"/>
          <w:szCs w:val="18"/>
          <w:lang w:bidi="ar-SA"/>
        </w:rPr>
      </w:pPr>
      <w:r>
        <w:t xml:space="preserve">In de beleidsperiode 2008-2012 </w:t>
      </w:r>
      <w:r w:rsidRPr="0027480A">
        <w:rPr>
          <w:szCs w:val="18"/>
        </w:rPr>
        <w:t xml:space="preserve">is </w:t>
      </w:r>
      <w:r>
        <w:rPr>
          <w:szCs w:val="18"/>
        </w:rPr>
        <w:t xml:space="preserve">er </w:t>
      </w:r>
      <w:r w:rsidRPr="0027480A">
        <w:rPr>
          <w:rFonts w:cs="Arial"/>
          <w:kern w:val="0"/>
          <w:szCs w:val="18"/>
          <w:lang w:bidi="ar-SA"/>
        </w:rPr>
        <w:t xml:space="preserve">een aantal ontwikkelingen </w:t>
      </w:r>
      <w:r>
        <w:rPr>
          <w:rFonts w:cs="Arial"/>
          <w:kern w:val="0"/>
          <w:szCs w:val="18"/>
          <w:lang w:bidi="ar-SA"/>
        </w:rPr>
        <w:t xml:space="preserve">geweest </w:t>
      </w:r>
      <w:r w:rsidRPr="0027480A">
        <w:rPr>
          <w:rFonts w:cs="Arial"/>
          <w:kern w:val="0"/>
          <w:szCs w:val="18"/>
          <w:lang w:bidi="ar-SA"/>
        </w:rPr>
        <w:t>die van invloed zijn op de uitvoering en het voortbestaan van LIS</w:t>
      </w:r>
      <w:r w:rsidR="003A2B18">
        <w:rPr>
          <w:rFonts w:cs="Arial"/>
          <w:kern w:val="0"/>
          <w:szCs w:val="18"/>
          <w:lang w:bidi="ar-SA"/>
        </w:rPr>
        <w:t>:</w:t>
      </w:r>
    </w:p>
    <w:p w:rsidRPr="00626AF2" w:rsidR="006D5513" w:rsidP="00626AF2" w:rsidRDefault="006D5513">
      <w:pPr>
        <w:pStyle w:val="Lijstalinea"/>
        <w:numPr>
          <w:ilvl w:val="0"/>
          <w:numId w:val="36"/>
        </w:numPr>
        <w:autoSpaceDE w:val="0"/>
        <w:adjustRightInd w:val="0"/>
        <w:spacing w:after="0" w:line="240" w:lineRule="exact"/>
        <w:ind w:left="357" w:hanging="357"/>
        <w:rPr>
          <w:rFonts w:ascii="Verdana" w:hAnsi="Verdana" w:cs="Arial"/>
          <w:sz w:val="18"/>
          <w:szCs w:val="18"/>
        </w:rPr>
      </w:pPr>
      <w:r w:rsidRPr="00626AF2">
        <w:rPr>
          <w:rFonts w:ascii="Verdana" w:hAnsi="Verdana" w:cs="Arial"/>
          <w:sz w:val="18"/>
          <w:szCs w:val="18"/>
        </w:rPr>
        <w:t>De rijksoverheid delegeert het gezondheidsbeleid steeds meer naar gemeenten</w:t>
      </w:r>
    </w:p>
    <w:p w:rsidRPr="00626AF2" w:rsidR="006D5513" w:rsidP="00626AF2" w:rsidRDefault="006D5513">
      <w:pPr>
        <w:pStyle w:val="Lijstalinea"/>
        <w:numPr>
          <w:ilvl w:val="0"/>
          <w:numId w:val="36"/>
        </w:numPr>
        <w:autoSpaceDE w:val="0"/>
        <w:adjustRightInd w:val="0"/>
        <w:spacing w:after="0" w:line="240" w:lineRule="exact"/>
        <w:ind w:left="357" w:hanging="357"/>
        <w:rPr>
          <w:rFonts w:ascii="Verdana" w:hAnsi="Verdana" w:cs="Arial"/>
          <w:sz w:val="18"/>
          <w:szCs w:val="18"/>
        </w:rPr>
      </w:pPr>
      <w:r w:rsidRPr="00626AF2">
        <w:rPr>
          <w:rFonts w:ascii="Verdana" w:hAnsi="Verdana" w:cs="Arial"/>
          <w:sz w:val="18"/>
          <w:szCs w:val="18"/>
        </w:rPr>
        <w:t>Bestaande registraties zijn onvoldoende om de lokale actoren van informatie te voorzien</w:t>
      </w:r>
    </w:p>
    <w:p w:rsidRPr="00626AF2" w:rsidR="006D5513" w:rsidP="00626AF2" w:rsidRDefault="006D5513">
      <w:pPr>
        <w:pStyle w:val="Lijstalinea"/>
        <w:numPr>
          <w:ilvl w:val="0"/>
          <w:numId w:val="36"/>
        </w:numPr>
        <w:autoSpaceDE w:val="0"/>
        <w:adjustRightInd w:val="0"/>
        <w:spacing w:after="0" w:line="240" w:lineRule="exact"/>
        <w:ind w:left="357" w:hanging="357"/>
        <w:rPr>
          <w:rFonts w:ascii="Verdana" w:hAnsi="Verdana"/>
          <w:sz w:val="18"/>
          <w:szCs w:val="18"/>
        </w:rPr>
      </w:pPr>
      <w:r w:rsidRPr="00626AF2">
        <w:rPr>
          <w:rFonts w:ascii="Verdana" w:hAnsi="Verdana" w:cs="Arial"/>
          <w:sz w:val="18"/>
          <w:szCs w:val="18"/>
        </w:rPr>
        <w:t>De organisatie van acute zorg is sterk aan het veranderen, met bijvoorbeeld de discussie over beperking van het aantal SEH’s en de combinatie met huisartsenposten.</w:t>
      </w:r>
    </w:p>
    <w:p w:rsidR="006D5513" w:rsidP="0016573E" w:rsidRDefault="006D5513">
      <w:pPr>
        <w:widowControl/>
        <w:suppressAutoHyphens w:val="0"/>
        <w:autoSpaceDE w:val="0"/>
        <w:adjustRightInd w:val="0"/>
        <w:textAlignment w:val="auto"/>
        <w:rPr>
          <w:szCs w:val="18"/>
        </w:rPr>
      </w:pPr>
      <w:r w:rsidRPr="00151E44">
        <w:rPr>
          <w:szCs w:val="18"/>
        </w:rPr>
        <w:t xml:space="preserve">In 2012 is </w:t>
      </w:r>
      <w:r>
        <w:rPr>
          <w:szCs w:val="18"/>
        </w:rPr>
        <w:t xml:space="preserve">VeiligheidNL daarom in opdracht van VWS </w:t>
      </w:r>
      <w:r w:rsidRPr="00151E44">
        <w:rPr>
          <w:szCs w:val="18"/>
        </w:rPr>
        <w:t xml:space="preserve">gestart met een </w:t>
      </w:r>
      <w:r w:rsidR="0098587A">
        <w:rPr>
          <w:szCs w:val="18"/>
        </w:rPr>
        <w:t xml:space="preserve">meerjarig </w:t>
      </w:r>
      <w:r w:rsidRPr="00151E44">
        <w:rPr>
          <w:szCs w:val="18"/>
        </w:rPr>
        <w:t xml:space="preserve">project om LIS te regionaliseren. </w:t>
      </w:r>
      <w:r>
        <w:rPr>
          <w:szCs w:val="18"/>
        </w:rPr>
        <w:t>Het streven is om in 2015 lokale actoren op het gebied van preventie en gezondheidsbescherming (gemeenten, GGD’en, politie, Regionale Organen Verkeersveiligheid) lokale informatie te verschaffen over ongevallen en letsels.</w:t>
      </w:r>
    </w:p>
    <w:p w:rsidR="006D5513" w:rsidP="0016573E" w:rsidRDefault="006D5513"/>
    <w:p w:rsidRPr="00AB72B8" w:rsidR="006C3240" w:rsidP="0016573E" w:rsidRDefault="006C3240">
      <w:r>
        <w:t xml:space="preserve">In 2012 </w:t>
      </w:r>
      <w:r>
        <w:rPr>
          <w:szCs w:val="18"/>
        </w:rPr>
        <w:t xml:space="preserve">is VWS </w:t>
      </w:r>
      <w:r w:rsidR="00C940BA">
        <w:rPr>
          <w:szCs w:val="18"/>
        </w:rPr>
        <w:t xml:space="preserve">ook </w:t>
      </w:r>
      <w:r>
        <w:rPr>
          <w:szCs w:val="18"/>
        </w:rPr>
        <w:t xml:space="preserve">gestart met het harmoniseren van de monitoringsactiviteiten op het gebied van leefstijl door verschillende instituten. OBiN wordt in deze exercitie meegenomen. De SEH-registratie LIS blijft buiten beschouwing, omdat dit een </w:t>
      </w:r>
      <w:r w:rsidR="004175FB">
        <w:rPr>
          <w:szCs w:val="18"/>
        </w:rPr>
        <w:t>zorg</w:t>
      </w:r>
      <w:r>
        <w:rPr>
          <w:szCs w:val="18"/>
        </w:rPr>
        <w:t>registratie is en slechts indirect enig inzicht geeft in leefstijl.</w:t>
      </w:r>
    </w:p>
    <w:p w:rsidR="00DB5B32" w:rsidP="0016573E" w:rsidRDefault="00D5473A">
      <w:pPr>
        <w:pStyle w:val="Huisstijl-Kop2"/>
      </w:pPr>
      <w:bookmarkStart w:name="_Toc351626668" w:id="16"/>
      <w:r>
        <w:t>Normstelling en</w:t>
      </w:r>
      <w:r w:rsidR="008F024C">
        <w:t xml:space="preserve"> regelgeving</w:t>
      </w:r>
      <w:bookmarkEnd w:id="16"/>
    </w:p>
    <w:p w:rsidR="00A00A7E" w:rsidP="0016573E" w:rsidRDefault="00A00A7E">
      <w:r w:rsidRPr="0075598F">
        <w:rPr>
          <w:szCs w:val="18"/>
        </w:rPr>
        <w:t>De Europese richtlijn Algemene productveiligheid</w:t>
      </w:r>
      <w:r>
        <w:rPr>
          <w:szCs w:val="18"/>
        </w:rPr>
        <w:t xml:space="preserve"> 2001/95/EG</w:t>
      </w:r>
      <w:r w:rsidRPr="0075598F">
        <w:rPr>
          <w:szCs w:val="18"/>
        </w:rPr>
        <w:t xml:space="preserve"> </w:t>
      </w:r>
      <w:r w:rsidRPr="0075598F">
        <w:t>beschermt consumenten tegen onveilige of gevaarlijke producten. Hierin worden algemene veiligheidseisen en -principes geregeld.</w:t>
      </w:r>
      <w:r>
        <w:t xml:space="preserve"> Omdat productveiligheid geen onderdeel uitmaakt van deze beleidsdoorlichting</w:t>
      </w:r>
      <w:r w:rsidR="00D5473A">
        <w:t>,</w:t>
      </w:r>
      <w:r>
        <w:t xml:space="preserve"> wordt dit niet verder uitgewerkt in dit rapport.</w:t>
      </w:r>
    </w:p>
    <w:p w:rsidR="00A00A7E" w:rsidP="0016573E" w:rsidRDefault="00A00A7E"/>
    <w:p w:rsidR="00DB5B32" w:rsidP="0016573E" w:rsidRDefault="00054797">
      <w:pPr>
        <w:rPr>
          <w:szCs w:val="18"/>
        </w:rPr>
      </w:pPr>
      <w:r w:rsidRPr="00054797">
        <w:t xml:space="preserve">Daarnaast </w:t>
      </w:r>
      <w:r w:rsidR="00C940BA">
        <w:t xml:space="preserve">is </w:t>
      </w:r>
      <w:r w:rsidRPr="00054797">
        <w:t>er een aantal wetten die indirect invloed hebben op het letselpreventiebeleid</w:t>
      </w:r>
      <w:r>
        <w:t>, bijvoorbeeld de Kwaliteitswet zorginstellingen (KWZ) en de Wet publieke gezondheid</w:t>
      </w:r>
      <w:r w:rsidRPr="00054797">
        <w:t xml:space="preserve">. </w:t>
      </w:r>
      <w:r w:rsidRPr="00054797" w:rsidR="00DB5B32">
        <w:rPr>
          <w:szCs w:val="18"/>
        </w:rPr>
        <w:t>De KWZ verplicht zorginstellingen hun eigen kwaliteit te bewaken</w:t>
      </w:r>
      <w:r w:rsidR="00D5473A">
        <w:rPr>
          <w:szCs w:val="18"/>
        </w:rPr>
        <w:t>, te beheersen en te verbeteren o.a. door zel</w:t>
      </w:r>
      <w:r>
        <w:rPr>
          <w:szCs w:val="18"/>
        </w:rPr>
        <w:t>f normen op te stellen</w:t>
      </w:r>
      <w:r w:rsidR="00B60AF4">
        <w:rPr>
          <w:szCs w:val="18"/>
        </w:rPr>
        <w:t>. D</w:t>
      </w:r>
      <w:r>
        <w:rPr>
          <w:szCs w:val="18"/>
        </w:rPr>
        <w:t>aar waar zorginstellingen dit onvoldoende doen, neemt de Inspectie voor de Gezondheidszorg (IGZ) dit op zich.</w:t>
      </w:r>
    </w:p>
    <w:p w:rsidR="00054797" w:rsidP="0016573E" w:rsidRDefault="00054797">
      <w:pPr>
        <w:rPr>
          <w:szCs w:val="18"/>
        </w:rPr>
      </w:pPr>
    </w:p>
    <w:p w:rsidRPr="00B60AF4" w:rsidR="00B60AF4" w:rsidP="0016573E" w:rsidRDefault="00054797">
      <w:r>
        <w:rPr>
          <w:szCs w:val="18"/>
        </w:rPr>
        <w:t xml:space="preserve">Sinds 2007 is </w:t>
      </w:r>
      <w:r w:rsidRPr="001B1708">
        <w:rPr>
          <w:szCs w:val="18"/>
        </w:rPr>
        <w:t>er een kwaliteitskader voor thuiszorg en intramurale ouderenzorg</w:t>
      </w:r>
      <w:r>
        <w:rPr>
          <w:szCs w:val="18"/>
        </w:rPr>
        <w:t xml:space="preserve">, waarbij organisaties </w:t>
      </w:r>
      <w:r w:rsidRPr="001B1708">
        <w:rPr>
          <w:szCs w:val="18"/>
        </w:rPr>
        <w:t xml:space="preserve">elk jaar </w:t>
      </w:r>
      <w:r>
        <w:rPr>
          <w:szCs w:val="18"/>
        </w:rPr>
        <w:t>proces</w:t>
      </w:r>
      <w:r w:rsidRPr="001B1708">
        <w:rPr>
          <w:szCs w:val="18"/>
        </w:rPr>
        <w:t xml:space="preserve">indicatoren meten </w:t>
      </w:r>
      <w:r>
        <w:rPr>
          <w:szCs w:val="18"/>
        </w:rPr>
        <w:t xml:space="preserve">waaronder het aantal valincidenten. Deze </w:t>
      </w:r>
      <w:r w:rsidRPr="001B1708">
        <w:rPr>
          <w:szCs w:val="18"/>
        </w:rPr>
        <w:t xml:space="preserve">informatie </w:t>
      </w:r>
      <w:r w:rsidR="00CC6613">
        <w:rPr>
          <w:szCs w:val="18"/>
        </w:rPr>
        <w:t>is</w:t>
      </w:r>
      <w:r w:rsidRPr="001B1708">
        <w:rPr>
          <w:szCs w:val="18"/>
        </w:rPr>
        <w:t xml:space="preserve"> beschikbaar op kiesbeter.nl</w:t>
      </w:r>
      <w:r w:rsidR="00CC6613">
        <w:rPr>
          <w:rStyle w:val="Voetnootmarkering"/>
          <w:szCs w:val="18"/>
        </w:rPr>
        <w:footnoteReference w:id="13"/>
      </w:r>
      <w:r w:rsidRPr="001B1708">
        <w:rPr>
          <w:szCs w:val="18"/>
        </w:rPr>
        <w:t>, zodat burgers de organisaties kunnen vergelijken op deze kwaliteitsaspecten. De inspectie gebruikt deze informatie voor toetsing van de organisaties en Zorgverzekeraars Nederland gebruikt deze informatie om inkoopafspraken te maken. Organisaties zijn daarnaast verplicht om individuele valincidenten te melden bij de inspectie, de inspectie toetst daarbij ook of de organisatie voldoende gedaan heeft om valincident (in de toekomst) te voorkomen. De zorgorganisaties gebruiken deze informatie ter verbetering van hun eigen processen, zodat ze bijvoorbeeld het volgende jaar beter scoren op dat onderwerp en daarmee laten ze zien dat ze verbeteren</w:t>
      </w:r>
      <w:bookmarkStart w:name="alinea1" w:id="17"/>
      <w:bookmarkEnd w:id="17"/>
      <w:r>
        <w:rPr>
          <w:szCs w:val="18"/>
        </w:rPr>
        <w:t xml:space="preserve">. </w:t>
      </w:r>
      <w:r w:rsidR="00830D40">
        <w:rPr>
          <w:szCs w:val="18"/>
        </w:rPr>
        <w:br/>
      </w:r>
      <w:r w:rsidR="0049150C">
        <w:t xml:space="preserve">De Wet </w:t>
      </w:r>
      <w:r w:rsidR="0098587A">
        <w:t>p</w:t>
      </w:r>
      <w:r w:rsidR="0049150C">
        <w:t xml:space="preserve">ublieke </w:t>
      </w:r>
      <w:r w:rsidR="0098587A">
        <w:t>g</w:t>
      </w:r>
      <w:r w:rsidR="0049150C">
        <w:t>ezondheid regelt de</w:t>
      </w:r>
      <w:r w:rsidR="00830D40">
        <w:t xml:space="preserve"> wisselwerking tussen het landelijk en lokaal gezondheidsbeleid en geeft de gemeente onder andere de taak om in de nota gemeentelijk gezondheidsbeleid aandacht te besteden aan gezondheidsbevordering</w:t>
      </w:r>
      <w:r w:rsidR="00FE661F">
        <w:t xml:space="preserve"> </w:t>
      </w:r>
      <w:r w:rsidR="00CC6613">
        <w:t xml:space="preserve">en </w:t>
      </w:r>
      <w:r w:rsidR="0049150C">
        <w:t>daarmee indirec</w:t>
      </w:r>
      <w:r w:rsidR="00B60AF4">
        <w:t>t ook het letselpreventiebeleid.</w:t>
      </w:r>
      <w:r w:rsidR="00830D40">
        <w:t xml:space="preserve"> </w:t>
      </w:r>
    </w:p>
    <w:p w:rsidR="00535234" w:rsidP="0016573E" w:rsidRDefault="00535234">
      <w:pPr>
        <w:pStyle w:val="Huisstijl-Kop2"/>
      </w:pPr>
      <w:bookmarkStart w:name="_Toc351626669" w:id="18"/>
      <w:r>
        <w:t>Voorlichting en communicatie</w:t>
      </w:r>
      <w:bookmarkEnd w:id="18"/>
    </w:p>
    <w:p w:rsidR="00535234" w:rsidP="0016573E" w:rsidRDefault="00D2413C">
      <w:r>
        <w:t xml:space="preserve">Voorlichting en communicatie is een belangrijk instrument om burgers (rechtstreeks of via intermediairs) te informeren over het risico op letsels en het </w:t>
      </w:r>
      <w:r w:rsidR="00EF5F9D">
        <w:t xml:space="preserve">bieden van handelingsperspectieven om letsels te </w:t>
      </w:r>
      <w:r>
        <w:t xml:space="preserve">voorkomen. Hierbij moet gebruik worden gemaakt van effectieve instrumenten voor </w:t>
      </w:r>
      <w:r w:rsidR="002513EB">
        <w:t>bevordering van gezond gedrag</w:t>
      </w:r>
      <w:r>
        <w:t xml:space="preserve"> gebaseerd op wetenschappelijke theorie en/of onderzoek.</w:t>
      </w:r>
      <w:r w:rsidR="00FD3BB6">
        <w:t xml:space="preserve"> </w:t>
      </w:r>
    </w:p>
    <w:p w:rsidR="00535234" w:rsidP="0016573E" w:rsidRDefault="00535234"/>
    <w:p w:rsidR="006D5513" w:rsidP="0016573E" w:rsidRDefault="006D5513">
      <w:r>
        <w:t xml:space="preserve">Letselpreventie is onderdeel van het landelijke leefstijlbeleid. In 2011 kwam er een omslag in </w:t>
      </w:r>
      <w:r w:rsidR="00FB59D3">
        <w:t>het leefstijlbeleid. In de landelijke nota ‘Gezondheid dichtbij’ is aangegeven dat</w:t>
      </w:r>
      <w:r>
        <w:t xml:space="preserve"> gezondheid </w:t>
      </w:r>
      <w:r w:rsidR="00FB59D3">
        <w:t xml:space="preserve">weer iets </w:t>
      </w:r>
      <w:r>
        <w:t xml:space="preserve">van de Nederlander zelf </w:t>
      </w:r>
      <w:r w:rsidR="00FB59D3">
        <w:t xml:space="preserve">moest </w:t>
      </w:r>
      <w:r>
        <w:t>worden. In de voorgaande jaren was dat steeds meer terrein geworden van de overheid en de professionals; de nadruk lag op wat mensen moesten doen of laten. D</w:t>
      </w:r>
      <w:r w:rsidR="009E3A75">
        <w:t xml:space="preserve">eze omslag </w:t>
      </w:r>
      <w:r>
        <w:t>resulteerde in terughoudendheid met ge- en verboden, ongevraagd advies en keuzebeperkingen vanuit de overheid. In 2012 is daarom gestopt met massamediale campagnes</w:t>
      </w:r>
      <w:r w:rsidR="00640EA4">
        <w:t>, ook</w:t>
      </w:r>
      <w:r>
        <w:t xml:space="preserve"> op het gebied van letselpreventie (kinderveiligheid, valpreventie bij ouderen en sportblessurepreventie</w:t>
      </w:r>
      <w:r w:rsidRPr="0001536B">
        <w:t xml:space="preserve">). </w:t>
      </w:r>
      <w:r w:rsidRPr="0001536B" w:rsidR="006C2896">
        <w:t xml:space="preserve">In plaats daarvan </w:t>
      </w:r>
      <w:r w:rsidRPr="0001536B" w:rsidR="008307C9">
        <w:t xml:space="preserve">is </w:t>
      </w:r>
      <w:r w:rsidRPr="0001536B" w:rsidR="006C2896">
        <w:t xml:space="preserve">meer </w:t>
      </w:r>
      <w:r w:rsidRPr="0001536B" w:rsidR="008307C9">
        <w:t xml:space="preserve">ingezet op het gebundeld en laagdrempelig aanbieden van </w:t>
      </w:r>
      <w:r w:rsidRPr="0001536B" w:rsidR="00830D40">
        <w:t xml:space="preserve">betrouwbare </w:t>
      </w:r>
      <w:r w:rsidRPr="0001536B" w:rsidR="008307C9">
        <w:t>informatie aan professionals (via Centrum Gezond Leven van het RIVM) en eindgebruikers (zoals aan ouders via de websites van de Centra voor Jeugd en Gezin en, meer recent, aan de website van Regelhulp voor maatschappelijke ondersteuning).</w:t>
      </w:r>
      <w:r w:rsidR="008307C9">
        <w:t xml:space="preserve"> </w:t>
      </w:r>
      <w:r>
        <w:t xml:space="preserve">Bij gezondheidsbevordering (waar letselpreventie onderdeel van uitmaakt) is de taak van de rijksoverheid </w:t>
      </w:r>
      <w:r w:rsidR="00CC6613">
        <w:t xml:space="preserve">naast het aanbieden van betrouwbare informatie </w:t>
      </w:r>
      <w:r w:rsidR="00472496">
        <w:t>gericht op</w:t>
      </w:r>
      <w:r w:rsidR="00CC6613">
        <w:t xml:space="preserve"> kennisbeleid, het bieden van enkele kaders via regelgeving en het vormgeven van stimulerend toezicht</w:t>
      </w:r>
      <w:r>
        <w:t>. De uitvoering ligt vooral bij gemeenten, die daarvoor, via het Gemeentefonds, financiële middelen ontvangen.</w:t>
      </w:r>
    </w:p>
    <w:p w:rsidR="00D47BFE" w:rsidP="0016573E" w:rsidRDefault="00D47BFE"/>
    <w:p w:rsidR="00D47BFE" w:rsidP="0016573E" w:rsidRDefault="00D47BFE">
      <w:r>
        <w:t xml:space="preserve">Letselpreventie hangt nauw samen met andere leefstijlterreinen. Het gebruik van alcohol en drugs heeft invloed op het aantal letsels bijvoorbeeld tijdens het uitgaan, polyfarmacie en het gebruik van specifieke medicijnen heeft invloed op het aantal valletsels bij ouderen en overgewicht </w:t>
      </w:r>
      <w:r w:rsidR="00293CC0">
        <w:t xml:space="preserve">heeft vaak </w:t>
      </w:r>
      <w:r>
        <w:t xml:space="preserve">mobiliteitsvermindering </w:t>
      </w:r>
      <w:r w:rsidR="00293CC0">
        <w:t>tot gevolg wat invloed heeft op het aantal letsels als mensen activiteiten ondernemen</w:t>
      </w:r>
      <w:r w:rsidR="00640EA4">
        <w:t>. Daar waar mogelijk wordt dit gecombineerd tot gezamenlijk</w:t>
      </w:r>
      <w:r w:rsidR="006872BC">
        <w:t xml:space="preserve"> beleid en </w:t>
      </w:r>
      <w:r w:rsidR="00640EA4">
        <w:t>interventies.</w:t>
      </w:r>
    </w:p>
    <w:p w:rsidR="00535234" w:rsidP="0016573E" w:rsidRDefault="00535234">
      <w:pPr>
        <w:pStyle w:val="Huisstijl-Kop2"/>
      </w:pPr>
      <w:bookmarkStart w:name="_Toc351626670" w:id="19"/>
      <w:r>
        <w:t>Toezicht en handhaving</w:t>
      </w:r>
      <w:bookmarkEnd w:id="19"/>
    </w:p>
    <w:p w:rsidR="008B419C" w:rsidP="0016573E" w:rsidRDefault="008B419C">
      <w:r>
        <w:t>Met toezicht en handhaving heeft de overheid een instrument om naleving van relevante wetten en regels te bevorderen.</w:t>
      </w:r>
    </w:p>
    <w:p w:rsidR="008B419C" w:rsidP="0016573E" w:rsidRDefault="008B419C"/>
    <w:p w:rsidR="0049150C" w:rsidP="0016573E" w:rsidRDefault="00FD3BB6">
      <w:r>
        <w:t>De Inspectie voor de Gezondheidszorg is verantwoordelijk voor het toezicht op de zorg die aan de Nederlandse bevo</w:t>
      </w:r>
      <w:r w:rsidR="0075598F">
        <w:t xml:space="preserve">lking als geheel wordt gegeven en </w:t>
      </w:r>
      <w:r w:rsidR="0049150C">
        <w:t xml:space="preserve">is </w:t>
      </w:r>
      <w:r w:rsidR="0075598F">
        <w:t xml:space="preserve">verantwoordelijk voor het toezicht in het kader van </w:t>
      </w:r>
      <w:r w:rsidR="0049150C">
        <w:t xml:space="preserve">de Kwaliteitswet Zorginstellingen en de </w:t>
      </w:r>
      <w:r w:rsidR="0098587A">
        <w:t>W</w:t>
      </w:r>
      <w:r w:rsidR="0049150C">
        <w:t xml:space="preserve">et </w:t>
      </w:r>
      <w:r w:rsidR="0098587A">
        <w:t>p</w:t>
      </w:r>
      <w:r w:rsidR="0049150C">
        <w:t xml:space="preserve">ublieke </w:t>
      </w:r>
      <w:r w:rsidR="0098587A">
        <w:t>g</w:t>
      </w:r>
      <w:r w:rsidR="0049150C">
        <w:t>ezondheid.</w:t>
      </w:r>
    </w:p>
    <w:p w:rsidR="0049150C" w:rsidP="0016573E" w:rsidRDefault="0049150C"/>
    <w:p w:rsidR="00535234" w:rsidP="0016573E" w:rsidRDefault="0049150C">
      <w:pPr>
        <w:rPr>
          <w:sz w:val="24"/>
        </w:rPr>
      </w:pPr>
      <w:r w:rsidRPr="0049150C">
        <w:t xml:space="preserve">De Nederlandse Voedsel- en Warenautoriteit (NVWA) controleert of fabrikanten en handelaren zich houden aan de eisen en verplichtingen van de </w:t>
      </w:r>
      <w:r w:rsidRPr="0049150C">
        <w:rPr>
          <w:szCs w:val="18"/>
        </w:rPr>
        <w:t xml:space="preserve">Europese richtlijn Algemene productveiligheid 2001/95/EG. </w:t>
      </w:r>
      <w:r w:rsidR="00535234">
        <w:br w:type="page"/>
      </w:r>
    </w:p>
    <w:p w:rsidR="008E65A3" w:rsidP="0016573E" w:rsidRDefault="008E65A3">
      <w:pPr>
        <w:pStyle w:val="Huisstijl-Kop1"/>
      </w:pPr>
      <w:bookmarkStart w:name="_Toc351626671" w:id="20"/>
      <w:r>
        <w:t>Resultaten letselpreventiebeleid 2008-2012</w:t>
      </w:r>
      <w:bookmarkEnd w:id="20"/>
    </w:p>
    <w:p w:rsidR="00AB240D" w:rsidP="0016573E" w:rsidRDefault="00AB240D">
      <w:r>
        <w:t xml:space="preserve">In dit </w:t>
      </w:r>
      <w:r w:rsidR="00D5473A">
        <w:t>hoofdstuk worden</w:t>
      </w:r>
      <w:r w:rsidR="00FE661F">
        <w:t xml:space="preserve"> </w:t>
      </w:r>
      <w:r w:rsidR="00D5473A">
        <w:t xml:space="preserve">de resultaten van de beleidsinspanningen </w:t>
      </w:r>
      <w:r w:rsidR="002B484B">
        <w:t xml:space="preserve">van VWS </w:t>
      </w:r>
      <w:r w:rsidR="00D5473A">
        <w:t xml:space="preserve">beschreven. </w:t>
      </w:r>
      <w:r>
        <w:t xml:space="preserve">Op basis hiervan </w:t>
      </w:r>
      <w:r w:rsidR="00D5473A">
        <w:t>worden</w:t>
      </w:r>
      <w:r>
        <w:t xml:space="preserve"> uitspraken gedaan over de effectiviteit van de </w:t>
      </w:r>
      <w:r w:rsidR="00D5473A">
        <w:t>diverse ingezette instrumenten en deels de doeltreffendheid en doelmatigheid van het gevoerde beleid.</w:t>
      </w:r>
      <w:r w:rsidR="00A02476">
        <w:t xml:space="preserve"> </w:t>
      </w:r>
      <w:r w:rsidR="007F5C96">
        <w:t>De inzet op</w:t>
      </w:r>
      <w:r w:rsidR="00A02476">
        <w:t xml:space="preserve"> letselpreventie en veiligheid in andere domeinen en door andere actoren</w:t>
      </w:r>
      <w:r w:rsidR="007F5C96">
        <w:t xml:space="preserve"> </w:t>
      </w:r>
      <w:r w:rsidR="00A02476">
        <w:t>blijven hier buiten beschouwing.</w:t>
      </w:r>
    </w:p>
    <w:p w:rsidR="00B73A84" w:rsidP="0016573E" w:rsidRDefault="00D5473A">
      <w:pPr>
        <w:pStyle w:val="Huisstijl-Kop2"/>
      </w:pPr>
      <w:bookmarkStart w:name="_Toc351626672" w:id="21"/>
      <w:r>
        <w:t>Voorkomen van gezondheidsschade door ongevallen</w:t>
      </w:r>
      <w:bookmarkEnd w:id="21"/>
    </w:p>
    <w:p w:rsidRPr="00F019BD" w:rsidR="00933F04" w:rsidP="0016573E" w:rsidRDefault="00A47D82">
      <w:r>
        <w:t>Nederland behoort tot de veiligste landen ter wereld. Dit is niet zomaar gebeurd, er is veel inzet op gepleegd sinds de tachtiger jaren van de vorige eeuw</w:t>
      </w:r>
      <w:r w:rsidR="008162E0">
        <w:t xml:space="preserve">, </w:t>
      </w:r>
      <w:r w:rsidR="006872BC">
        <w:t>met name</w:t>
      </w:r>
      <w:r w:rsidR="008162E0">
        <w:t xml:space="preserve"> door burgers te beschermen tegen risico’s waar zij geen invloed op hebben</w:t>
      </w:r>
      <w:r>
        <w:t>. Het neemt niet weg dat er j</w:t>
      </w:r>
      <w:r w:rsidRPr="00F019BD" w:rsidR="00933F04">
        <w:t xml:space="preserve">aarlijks ongeveer 5.600 mensen </w:t>
      </w:r>
      <w:r>
        <w:t xml:space="preserve">sterven </w:t>
      </w:r>
      <w:r w:rsidRPr="00F019BD" w:rsidR="00933F04">
        <w:t>door een ongeval of opzettelijk toegebracht letsel (2007-2011)</w:t>
      </w:r>
      <w:r w:rsidR="00534E2A">
        <w:rPr>
          <w:rStyle w:val="Voetnootmarkering"/>
        </w:rPr>
        <w:footnoteReference w:id="14"/>
      </w:r>
      <w:r w:rsidRPr="00F019BD" w:rsidR="00933F04">
        <w:t xml:space="preserve">, vooral door een privéongeval (bijvoorbeeld een val in huis) of door suïcide (tabel 1). Veel letsels lopen gelukkig niet fataal af en worden behandeld op een SEH-afdeling of tijdens een ziekenhuisopname. Zo worden op SEH-afdelingen gemiddeld per jaar 870.000 letsels behandeld en de letsels in 150.000 gevallen zodanig ernstig dat ziekenhuisopname noodzakelijk is. </w:t>
      </w:r>
    </w:p>
    <w:p w:rsidRPr="00F019BD" w:rsidR="00933F04" w:rsidP="0016573E" w:rsidRDefault="00933F04"/>
    <w:p w:rsidRPr="00F019BD" w:rsidR="00933F04" w:rsidP="0016573E" w:rsidRDefault="00933F04">
      <w:r w:rsidRPr="00F019BD">
        <w:t>Privéongevallen veroorzaken niet alleen de meeste sterfte, maar leiden ook het vaakst tot medische behandeling op een SEH-afdeling en tot opname in het ziekenhuis. Suïcidaal gedrag veroorzaakt ook veel sterfte maar verhoudingsgewijs weinig behandelingen op een SEH-afdeling. Sportblessures en arbeidsongevallen laten wat dat betreft een omgekeerd beeld zien, namelijk lage sterfte en een hoog aantal SEH-behandelingen. Berekeningen van de ziektelast in DALY’s laten zien dat privéongevallen voor de meeste ziektelast zorgen, gevolgd door verkeersongevallen en suïcidaal gedrag.</w:t>
      </w:r>
    </w:p>
    <w:p w:rsidRPr="00F019BD" w:rsidR="00933F04" w:rsidP="0016573E" w:rsidRDefault="00933F04">
      <w:pPr>
        <w:rPr>
          <w:i/>
        </w:rPr>
      </w:pPr>
    </w:p>
    <w:p w:rsidRPr="00F019BD" w:rsidR="00933F04" w:rsidP="0016573E" w:rsidRDefault="00933F04">
      <w:r w:rsidRPr="00F019BD">
        <w:t>In tabel</w:t>
      </w:r>
      <w:r w:rsidR="00E60B05">
        <w:t xml:space="preserve"> 1 wordt</w:t>
      </w:r>
      <w:r w:rsidRPr="00F019BD">
        <w:t xml:space="preserve"> ook een overzicht over de periode 2007-2011 gegeven van de kosten door ongevallen. Hierbij gaat het alleen om directe medische kosten en verzuimkosten</w:t>
      </w:r>
      <w:r w:rsidR="003A2B18">
        <w:t>:</w:t>
      </w:r>
    </w:p>
    <w:p w:rsidRPr="008704AB" w:rsidR="00933F04" w:rsidP="003A2B18" w:rsidRDefault="00933F04">
      <w:pPr>
        <w:pStyle w:val="Lijstalinea"/>
        <w:widowControl w:val="0"/>
        <w:numPr>
          <w:ilvl w:val="0"/>
          <w:numId w:val="30"/>
        </w:numPr>
        <w:suppressAutoHyphens/>
        <w:autoSpaceDN w:val="0"/>
        <w:spacing w:after="0" w:line="240" w:lineRule="exact"/>
        <w:ind w:left="284" w:hanging="284"/>
        <w:textAlignment w:val="baseline"/>
        <w:rPr>
          <w:rFonts w:ascii="Verdana" w:hAnsi="Verdana"/>
          <w:sz w:val="18"/>
          <w:szCs w:val="18"/>
        </w:rPr>
      </w:pPr>
      <w:r w:rsidRPr="008704AB">
        <w:rPr>
          <w:rFonts w:ascii="Verdana" w:hAnsi="Verdana"/>
          <w:sz w:val="18"/>
          <w:szCs w:val="18"/>
        </w:rPr>
        <w:t>De directe medische kosten van slachtoffers door ongevallen die op een SEH-afdeling van een ziekenhuis zijn behandeld, opgenomen zijn geweest of zijn behandeld door een huisarts, fysiotherapeut of specialist, bedroegen over de periode 2007-2011 ongeveer 2,5 miljard euro per jaar.</w:t>
      </w:r>
    </w:p>
    <w:p w:rsidRPr="00527C16" w:rsidR="00933F04" w:rsidP="003A2B18" w:rsidRDefault="00933F04">
      <w:pPr>
        <w:pStyle w:val="Lijstalinea"/>
        <w:widowControl w:val="0"/>
        <w:numPr>
          <w:ilvl w:val="0"/>
          <w:numId w:val="30"/>
        </w:numPr>
        <w:suppressAutoHyphens/>
        <w:autoSpaceDN w:val="0"/>
        <w:spacing w:after="0" w:line="240" w:lineRule="exact"/>
        <w:ind w:left="284" w:hanging="284"/>
        <w:textAlignment w:val="baseline"/>
        <w:rPr>
          <w:rFonts w:ascii="Verdana" w:hAnsi="Verdana"/>
          <w:sz w:val="18"/>
          <w:szCs w:val="18"/>
        </w:rPr>
      </w:pPr>
      <w:r w:rsidRPr="008704AB">
        <w:rPr>
          <w:rFonts w:ascii="Verdana" w:hAnsi="Verdana"/>
          <w:sz w:val="18"/>
          <w:szCs w:val="18"/>
        </w:rPr>
        <w:t>Letsels door privéongevallen hebben met 1,4 miljard euro het grootste aandeel binnen de directe medische kosten, gevolgd door sportblessures en verkeersongevallen.</w:t>
      </w:r>
      <w:r w:rsidR="00527C16">
        <w:rPr>
          <w:rFonts w:ascii="Verdana" w:hAnsi="Verdana"/>
          <w:sz w:val="18"/>
          <w:szCs w:val="18"/>
        </w:rPr>
        <w:t xml:space="preserve"> </w:t>
      </w:r>
      <w:r w:rsidRPr="00527C16">
        <w:rPr>
          <w:rFonts w:ascii="Verdana" w:hAnsi="Verdana"/>
          <w:sz w:val="18"/>
          <w:szCs w:val="18"/>
        </w:rPr>
        <w:t xml:space="preserve">De verzuimkosten als gevolg van letsels zijn in de meeste gevallen hoger dan de directe medische kosten. </w:t>
      </w:r>
    </w:p>
    <w:p w:rsidR="00B03100" w:rsidP="003A2B18" w:rsidRDefault="00933F04">
      <w:pPr>
        <w:pStyle w:val="Lijstalinea"/>
        <w:widowControl w:val="0"/>
        <w:numPr>
          <w:ilvl w:val="0"/>
          <w:numId w:val="30"/>
        </w:numPr>
        <w:suppressAutoHyphens/>
        <w:autoSpaceDN w:val="0"/>
        <w:spacing w:after="0" w:line="240" w:lineRule="exact"/>
        <w:ind w:left="284" w:hanging="284"/>
        <w:textAlignment w:val="baseline"/>
        <w:rPr>
          <w:rFonts w:ascii="Verdana" w:hAnsi="Verdana"/>
          <w:sz w:val="18"/>
          <w:szCs w:val="18"/>
        </w:rPr>
      </w:pPr>
      <w:r w:rsidRPr="008704AB">
        <w:rPr>
          <w:rFonts w:ascii="Verdana" w:hAnsi="Verdana"/>
          <w:sz w:val="18"/>
          <w:szCs w:val="18"/>
        </w:rPr>
        <w:t>Privéongevallen (1,1 miljard euro) zijn samen met sportblessures (910 miljoen euro) verantwoordelijk voor een groot deel van de totale verzuimkosten in verband met letsel door een ongeval.</w:t>
      </w:r>
    </w:p>
    <w:p w:rsidRPr="00B03100" w:rsidR="00B03100" w:rsidP="003A2B18" w:rsidRDefault="00B03100">
      <w:pPr>
        <w:pStyle w:val="Lijstalinea"/>
        <w:widowControl w:val="0"/>
        <w:numPr>
          <w:ilvl w:val="0"/>
          <w:numId w:val="30"/>
        </w:numPr>
        <w:suppressAutoHyphens/>
        <w:autoSpaceDN w:val="0"/>
        <w:spacing w:after="0" w:line="240" w:lineRule="exact"/>
        <w:ind w:left="284" w:hanging="284"/>
        <w:textAlignment w:val="baseline"/>
        <w:rPr>
          <w:rFonts w:ascii="Verdana" w:hAnsi="Verdana"/>
          <w:sz w:val="18"/>
          <w:szCs w:val="18"/>
        </w:rPr>
        <w:sectPr w:rsidRPr="00B03100" w:rsidR="00B03100" w:rsidSect="00FF6874">
          <w:headerReference w:type="even" r:id="rId10"/>
          <w:headerReference w:type="default" r:id="rId11"/>
          <w:footerReference w:type="even" r:id="rId12"/>
          <w:type w:val="oddPage"/>
          <w:pgSz w:w="11905" w:h="16837" w:code="9"/>
          <w:pgMar w:top="2835" w:right="1701" w:bottom="1134" w:left="1758" w:header="2750" w:footer="709" w:gutter="567"/>
          <w:cols w:space="708"/>
          <w:docGrid w:linePitch="326"/>
        </w:sectPr>
      </w:pPr>
      <w:r w:rsidRPr="00B03100">
        <w:rPr>
          <w:rFonts w:ascii="Verdana" w:hAnsi="Verdana"/>
          <w:sz w:val="18"/>
          <w:szCs w:val="18"/>
        </w:rPr>
        <w:t xml:space="preserve">De </w:t>
      </w:r>
      <w:r>
        <w:rPr>
          <w:rFonts w:ascii="Verdana" w:hAnsi="Verdana"/>
          <w:sz w:val="18"/>
          <w:szCs w:val="18"/>
        </w:rPr>
        <w:t xml:space="preserve">totale directe medische en verzuimkosten zijn met 50% gestegen van 3,6 miljard </w:t>
      </w:r>
      <w:r w:rsidR="00C451B2">
        <w:rPr>
          <w:rFonts w:ascii="Verdana" w:hAnsi="Verdana"/>
          <w:sz w:val="18"/>
          <w:szCs w:val="18"/>
        </w:rPr>
        <w:t xml:space="preserve">euro per jaar in de periode 2001-2005 </w:t>
      </w:r>
      <w:r>
        <w:rPr>
          <w:rFonts w:ascii="Verdana" w:hAnsi="Verdana"/>
          <w:sz w:val="18"/>
          <w:szCs w:val="18"/>
        </w:rPr>
        <w:t>naar 5,5 miljard euro per jaar</w:t>
      </w:r>
      <w:r w:rsidR="00C451B2">
        <w:rPr>
          <w:rFonts w:ascii="Verdana" w:hAnsi="Verdana"/>
          <w:sz w:val="18"/>
          <w:szCs w:val="18"/>
        </w:rPr>
        <w:t xml:space="preserve"> in de periode 2007-2011</w:t>
      </w:r>
      <w:r>
        <w:rPr>
          <w:rFonts w:ascii="Verdana" w:hAnsi="Verdana"/>
          <w:sz w:val="18"/>
          <w:szCs w:val="18"/>
        </w:rPr>
        <w:t>.</w:t>
      </w:r>
    </w:p>
    <w:p w:rsidR="00E85946" w:rsidP="0016573E" w:rsidRDefault="00933F04">
      <w:pPr>
        <w:spacing w:line="252" w:lineRule="atLeast"/>
        <w:rPr>
          <w:rFonts w:cs="Arial"/>
          <w:b/>
          <w:szCs w:val="18"/>
        </w:rPr>
      </w:pPr>
      <w:r w:rsidRPr="000D45AD">
        <w:rPr>
          <w:rFonts w:cs="Arial"/>
          <w:b/>
          <w:szCs w:val="18"/>
        </w:rPr>
        <w:t>Tabel 1: Omvang letselproblematiek in Nederland: gemiddelde aantallen per jaar en gemiddelde jaarlijkse kosten (periode 2007-2011</w:t>
      </w:r>
      <w:r w:rsidR="000D45AD">
        <w:rPr>
          <w:rFonts w:cs="Arial"/>
          <w:b/>
          <w:szCs w:val="18"/>
        </w:rPr>
        <w:t>*</w:t>
      </w:r>
      <w:r w:rsidRPr="000D45AD">
        <w:rPr>
          <w:rFonts w:cs="Arial"/>
          <w:b/>
          <w:szCs w:val="18"/>
        </w:rPr>
        <w:t xml:space="preserve"> en periode 2001-2005)</w:t>
      </w:r>
      <w:r w:rsidR="006E44C3">
        <w:rPr>
          <w:rFonts w:cs="Arial"/>
          <w:b/>
          <w:szCs w:val="18"/>
        </w:rPr>
        <w:t xml:space="preserve">, </w:t>
      </w:r>
      <w:r w:rsidRPr="00626F0B" w:rsidR="006E44C3">
        <w:rPr>
          <w:rFonts w:cs="Arial"/>
          <w:b/>
          <w:szCs w:val="18"/>
        </w:rPr>
        <w:t>niet gecorrigeerd voor demografische ontwikkelingen</w:t>
      </w:r>
    </w:p>
    <w:tbl>
      <w:tblPr>
        <w:tblW w:w="5942" w:type="pct"/>
        <w:tblLayout w:type="fixed"/>
        <w:tblCellMar>
          <w:left w:w="70" w:type="dxa"/>
          <w:right w:w="70" w:type="dxa"/>
        </w:tblCellMar>
        <w:tblLook w:val="04A0"/>
      </w:tblPr>
      <w:tblGrid>
        <w:gridCol w:w="1155"/>
        <w:gridCol w:w="186"/>
        <w:gridCol w:w="832"/>
        <w:gridCol w:w="145"/>
        <w:gridCol w:w="689"/>
        <w:gridCol w:w="299"/>
        <w:gridCol w:w="533"/>
        <w:gridCol w:w="803"/>
        <w:gridCol w:w="31"/>
        <w:gridCol w:w="835"/>
        <w:gridCol w:w="293"/>
        <w:gridCol w:w="538"/>
        <w:gridCol w:w="618"/>
        <w:gridCol w:w="217"/>
        <w:gridCol w:w="835"/>
        <w:gridCol w:w="108"/>
        <w:gridCol w:w="741"/>
        <w:gridCol w:w="897"/>
        <w:gridCol w:w="100"/>
        <w:gridCol w:w="798"/>
        <w:gridCol w:w="897"/>
        <w:gridCol w:w="573"/>
        <w:gridCol w:w="325"/>
        <w:gridCol w:w="897"/>
        <w:gridCol w:w="900"/>
      </w:tblGrid>
      <w:tr w:rsidRPr="00E23886" w:rsidR="00E85946" w:rsidTr="00910098">
        <w:trPr>
          <w:trHeight w:val="225"/>
        </w:trPr>
        <w:tc>
          <w:tcPr>
            <w:tcW w:w="405" w:type="pct"/>
            <w:tcBorders>
              <w:top w:val="single" w:color="auto" w:sz="4" w:space="0"/>
              <w:left w:val="nil"/>
              <w:bottom w:val="single" w:color="auto" w:sz="4" w:space="0"/>
              <w:right w:val="nil"/>
            </w:tcBorders>
            <w:shd w:val="clear" w:color="auto" w:fill="auto"/>
            <w:noWrap/>
          </w:tcPr>
          <w:p w:rsidRPr="00E23886" w:rsidR="00E85946" w:rsidP="0016573E" w:rsidRDefault="00E85946">
            <w:pPr>
              <w:spacing w:line="252" w:lineRule="atLeast"/>
              <w:rPr>
                <w:rFonts w:cs="Arial"/>
                <w:color w:val="000000"/>
                <w:sz w:val="16"/>
                <w:szCs w:val="16"/>
              </w:rPr>
            </w:pPr>
          </w:p>
        </w:tc>
        <w:tc>
          <w:tcPr>
            <w:tcW w:w="408" w:type="pct"/>
            <w:gridSpan w:val="3"/>
            <w:tcBorders>
              <w:top w:val="single" w:color="auto" w:sz="4" w:space="0"/>
              <w:left w:val="nil"/>
              <w:bottom w:val="single" w:color="auto" w:sz="4" w:space="0"/>
              <w:right w:val="nil"/>
            </w:tcBorders>
            <w:shd w:val="clear" w:color="auto" w:fill="auto"/>
            <w:noWrap/>
          </w:tcPr>
          <w:p w:rsidRPr="00E23886" w:rsidR="00E85946" w:rsidP="0016573E" w:rsidRDefault="00E85946">
            <w:pPr>
              <w:spacing w:line="252" w:lineRule="atLeast"/>
              <w:rPr>
                <w:rFonts w:cs="Arial"/>
                <w:color w:val="000000"/>
                <w:sz w:val="16"/>
                <w:szCs w:val="16"/>
              </w:rPr>
            </w:pPr>
          </w:p>
        </w:tc>
        <w:tc>
          <w:tcPr>
            <w:tcW w:w="347" w:type="pct"/>
            <w:gridSpan w:val="2"/>
            <w:tcBorders>
              <w:top w:val="single" w:color="auto" w:sz="4" w:space="0"/>
              <w:left w:val="nil"/>
              <w:bottom w:val="single" w:color="auto" w:sz="4" w:space="0"/>
              <w:right w:val="nil"/>
            </w:tcBorders>
          </w:tcPr>
          <w:p w:rsidRPr="00E23886" w:rsidR="00E85946" w:rsidP="0016573E" w:rsidRDefault="00E85946">
            <w:pPr>
              <w:spacing w:line="252" w:lineRule="atLeast"/>
              <w:rPr>
                <w:rFonts w:cs="Arial"/>
                <w:color w:val="000000"/>
                <w:sz w:val="16"/>
                <w:szCs w:val="16"/>
              </w:rPr>
            </w:pPr>
          </w:p>
        </w:tc>
        <w:tc>
          <w:tcPr>
            <w:tcW w:w="469" w:type="pct"/>
            <w:gridSpan w:val="2"/>
            <w:tcBorders>
              <w:top w:val="single" w:color="auto" w:sz="4" w:space="0"/>
              <w:left w:val="nil"/>
              <w:bottom w:val="single" w:color="auto" w:sz="4" w:space="0"/>
              <w:right w:val="nil"/>
            </w:tcBorders>
          </w:tcPr>
          <w:p w:rsidRPr="00E23886" w:rsidR="00E85946" w:rsidP="0016573E" w:rsidRDefault="00E85946">
            <w:pPr>
              <w:spacing w:line="252" w:lineRule="atLeast"/>
              <w:rPr>
                <w:rFonts w:cs="Arial"/>
                <w:color w:val="000000"/>
                <w:sz w:val="16"/>
                <w:szCs w:val="16"/>
              </w:rPr>
            </w:pPr>
            <w:r w:rsidRPr="00E23886">
              <w:rPr>
                <w:rFonts w:cs="Arial"/>
                <w:color w:val="000000"/>
                <w:sz w:val="16"/>
                <w:szCs w:val="16"/>
              </w:rPr>
              <w:t>Omvang</w:t>
            </w:r>
          </w:p>
        </w:tc>
        <w:tc>
          <w:tcPr>
            <w:tcW w:w="407" w:type="pct"/>
            <w:gridSpan w:val="3"/>
            <w:tcBorders>
              <w:top w:val="single" w:color="auto" w:sz="4" w:space="0"/>
              <w:left w:val="nil"/>
              <w:bottom w:val="single" w:color="auto" w:sz="4" w:space="0"/>
              <w:right w:val="nil"/>
            </w:tcBorders>
            <w:shd w:val="clear" w:color="auto" w:fill="auto"/>
            <w:noWrap/>
          </w:tcPr>
          <w:p w:rsidRPr="00E23886" w:rsidR="00E85946" w:rsidP="0016573E" w:rsidRDefault="00E85946">
            <w:pPr>
              <w:spacing w:line="252" w:lineRule="atLeast"/>
              <w:rPr>
                <w:rFonts w:cs="Arial"/>
                <w:color w:val="000000"/>
                <w:sz w:val="16"/>
                <w:szCs w:val="16"/>
              </w:rPr>
            </w:pPr>
          </w:p>
        </w:tc>
        <w:tc>
          <w:tcPr>
            <w:tcW w:w="406" w:type="pct"/>
            <w:gridSpan w:val="2"/>
            <w:tcBorders>
              <w:top w:val="single" w:color="auto" w:sz="4" w:space="0"/>
              <w:left w:val="nil"/>
              <w:bottom w:val="single" w:color="auto" w:sz="4" w:space="0"/>
              <w:right w:val="nil"/>
            </w:tcBorders>
            <w:shd w:val="clear" w:color="auto" w:fill="auto"/>
            <w:noWrap/>
          </w:tcPr>
          <w:p w:rsidRPr="00E23886" w:rsidR="00E85946" w:rsidP="0016573E" w:rsidRDefault="00E85946">
            <w:pPr>
              <w:spacing w:line="252" w:lineRule="atLeast"/>
              <w:rPr>
                <w:rFonts w:cs="Arial"/>
                <w:color w:val="000000"/>
                <w:sz w:val="16"/>
                <w:szCs w:val="16"/>
              </w:rPr>
            </w:pPr>
          </w:p>
        </w:tc>
        <w:tc>
          <w:tcPr>
            <w:tcW w:w="407" w:type="pct"/>
            <w:gridSpan w:val="3"/>
            <w:tcBorders>
              <w:top w:val="single" w:color="auto" w:sz="4" w:space="0"/>
              <w:left w:val="nil"/>
              <w:bottom w:val="single" w:color="auto" w:sz="4" w:space="0"/>
              <w:right w:val="nil"/>
            </w:tcBorders>
          </w:tcPr>
          <w:p w:rsidRPr="00E23886" w:rsidR="00E85946" w:rsidP="0016573E" w:rsidRDefault="00E85946">
            <w:pPr>
              <w:spacing w:line="252" w:lineRule="atLeast"/>
              <w:rPr>
                <w:rFonts w:cs="Arial"/>
                <w:color w:val="000000"/>
                <w:sz w:val="16"/>
                <w:szCs w:val="16"/>
              </w:rPr>
            </w:pPr>
          </w:p>
        </w:tc>
        <w:tc>
          <w:tcPr>
            <w:tcW w:w="610" w:type="pct"/>
            <w:gridSpan w:val="3"/>
            <w:tcBorders>
              <w:top w:val="single" w:color="auto" w:sz="4" w:space="0"/>
              <w:left w:val="nil"/>
              <w:bottom w:val="single" w:color="auto" w:sz="4" w:space="0"/>
              <w:right w:val="nil"/>
            </w:tcBorders>
          </w:tcPr>
          <w:p w:rsidRPr="00E23886" w:rsidR="00E85946" w:rsidP="0016573E" w:rsidRDefault="00E85946">
            <w:pPr>
              <w:spacing w:line="252" w:lineRule="atLeast"/>
              <w:rPr>
                <w:rFonts w:cs="Arial"/>
                <w:color w:val="000000"/>
                <w:sz w:val="16"/>
                <w:szCs w:val="16"/>
              </w:rPr>
            </w:pPr>
          </w:p>
        </w:tc>
        <w:tc>
          <w:tcPr>
            <w:tcW w:w="796" w:type="pct"/>
            <w:gridSpan w:val="3"/>
            <w:tcBorders>
              <w:top w:val="single" w:color="auto" w:sz="4" w:space="0"/>
              <w:left w:val="nil"/>
              <w:bottom w:val="single" w:color="auto" w:sz="4" w:space="0"/>
              <w:right w:val="nil"/>
            </w:tcBorders>
          </w:tcPr>
          <w:p w:rsidRPr="00E23886" w:rsidR="00E85946" w:rsidP="0016573E" w:rsidRDefault="00E85946">
            <w:pPr>
              <w:spacing w:line="252" w:lineRule="atLeast"/>
              <w:rPr>
                <w:rFonts w:cs="Arial"/>
                <w:color w:val="000000"/>
                <w:sz w:val="16"/>
                <w:szCs w:val="16"/>
              </w:rPr>
            </w:pPr>
            <w:r w:rsidRPr="00E23886">
              <w:rPr>
                <w:rFonts w:cs="Arial"/>
                <w:color w:val="000000"/>
                <w:sz w:val="16"/>
                <w:szCs w:val="16"/>
              </w:rPr>
              <w:t>Kosten (in miljoen euro)</w:t>
            </w:r>
          </w:p>
        </w:tc>
        <w:tc>
          <w:tcPr>
            <w:tcW w:w="745" w:type="pct"/>
            <w:gridSpan w:val="3"/>
            <w:tcBorders>
              <w:top w:val="single" w:color="auto" w:sz="4" w:space="0"/>
              <w:left w:val="nil"/>
              <w:bottom w:val="single" w:color="auto" w:sz="4" w:space="0"/>
              <w:right w:val="nil"/>
            </w:tcBorders>
          </w:tcPr>
          <w:p w:rsidRPr="00E23886" w:rsidR="00E85946" w:rsidP="0016573E" w:rsidRDefault="00E85946">
            <w:pPr>
              <w:spacing w:line="252" w:lineRule="atLeast"/>
              <w:rPr>
                <w:rFonts w:cs="Arial"/>
                <w:color w:val="000000"/>
                <w:sz w:val="16"/>
                <w:szCs w:val="16"/>
              </w:rPr>
            </w:pPr>
          </w:p>
        </w:tc>
      </w:tr>
      <w:tr w:rsidRPr="00E23886" w:rsidR="00E85946" w:rsidTr="00910098">
        <w:trPr>
          <w:trHeight w:val="225"/>
        </w:trPr>
        <w:tc>
          <w:tcPr>
            <w:tcW w:w="470" w:type="pct"/>
            <w:gridSpan w:val="2"/>
            <w:tcBorders>
              <w:top w:val="single" w:color="auto" w:sz="4" w:space="0"/>
              <w:left w:val="nil"/>
              <w:bottom w:val="single" w:color="auto" w:sz="4" w:space="0"/>
              <w:right w:val="nil"/>
            </w:tcBorders>
            <w:shd w:val="clear" w:color="auto" w:fill="auto"/>
            <w:noWrap/>
            <w:hideMark/>
          </w:tcPr>
          <w:p w:rsidRPr="00E23886" w:rsidR="00E85946" w:rsidP="0016573E" w:rsidRDefault="00E85946">
            <w:pPr>
              <w:spacing w:line="252" w:lineRule="atLeast"/>
              <w:rPr>
                <w:rFonts w:cs="Arial"/>
                <w:color w:val="000000"/>
                <w:sz w:val="16"/>
                <w:szCs w:val="16"/>
              </w:rPr>
            </w:pPr>
          </w:p>
        </w:tc>
        <w:tc>
          <w:tcPr>
            <w:tcW w:w="585" w:type="pct"/>
            <w:gridSpan w:val="3"/>
            <w:tcBorders>
              <w:top w:val="single" w:color="auto" w:sz="4" w:space="0"/>
              <w:left w:val="nil"/>
              <w:bottom w:val="single" w:color="auto" w:sz="4" w:space="0"/>
              <w:right w:val="nil"/>
            </w:tcBorders>
            <w:shd w:val="clear" w:color="auto" w:fill="auto"/>
            <w:noWrap/>
            <w:hideMark/>
          </w:tcPr>
          <w:p w:rsidRPr="00E23886" w:rsidR="00E85946" w:rsidP="0016573E" w:rsidRDefault="00E85946">
            <w:pPr>
              <w:spacing w:line="252" w:lineRule="atLeast"/>
              <w:rPr>
                <w:rFonts w:cs="Arial"/>
                <w:color w:val="000000"/>
                <w:sz w:val="16"/>
                <w:szCs w:val="16"/>
              </w:rPr>
            </w:pPr>
            <w:r w:rsidRPr="00E23886">
              <w:rPr>
                <w:rFonts w:cs="Arial"/>
                <w:color w:val="000000"/>
                <w:sz w:val="16"/>
                <w:szCs w:val="16"/>
              </w:rPr>
              <w:t>SEH-</w:t>
            </w:r>
          </w:p>
          <w:p w:rsidRPr="00E23886" w:rsidR="00E85946" w:rsidP="0016573E" w:rsidRDefault="00E85946">
            <w:pPr>
              <w:spacing w:line="252" w:lineRule="atLeast"/>
              <w:rPr>
                <w:rFonts w:cs="Arial"/>
                <w:i/>
                <w:color w:val="000000"/>
                <w:sz w:val="16"/>
                <w:szCs w:val="16"/>
              </w:rPr>
            </w:pPr>
            <w:r w:rsidRPr="00E23886">
              <w:rPr>
                <w:rFonts w:cs="Arial"/>
                <w:color w:val="000000"/>
                <w:sz w:val="16"/>
                <w:szCs w:val="16"/>
              </w:rPr>
              <w:t>behandelingen</w:t>
            </w:r>
          </w:p>
        </w:tc>
        <w:tc>
          <w:tcPr>
            <w:tcW w:w="585" w:type="pct"/>
            <w:gridSpan w:val="4"/>
            <w:tcBorders>
              <w:top w:val="single" w:color="auto" w:sz="4" w:space="0"/>
              <w:left w:val="nil"/>
              <w:bottom w:val="single" w:color="auto" w:sz="4" w:space="0"/>
              <w:right w:val="nil"/>
            </w:tcBorders>
            <w:shd w:val="clear" w:color="auto" w:fill="auto"/>
            <w:noWrap/>
          </w:tcPr>
          <w:p w:rsidRPr="00E23886" w:rsidR="00E85946" w:rsidP="0016573E" w:rsidRDefault="00E85946">
            <w:pPr>
              <w:spacing w:line="252" w:lineRule="atLeast"/>
              <w:rPr>
                <w:rFonts w:cs="Arial"/>
                <w:i/>
                <w:color w:val="000000"/>
                <w:sz w:val="16"/>
                <w:szCs w:val="16"/>
              </w:rPr>
            </w:pPr>
            <w:r w:rsidRPr="00E23886">
              <w:rPr>
                <w:rFonts w:cs="Arial"/>
                <w:color w:val="000000"/>
                <w:sz w:val="16"/>
                <w:szCs w:val="16"/>
              </w:rPr>
              <w:t>Ziekenhuis-opnamen</w:t>
            </w:r>
          </w:p>
        </w:tc>
        <w:tc>
          <w:tcPr>
            <w:tcW w:w="585" w:type="pct"/>
            <w:gridSpan w:val="3"/>
            <w:tcBorders>
              <w:top w:val="single" w:color="auto" w:sz="4" w:space="0"/>
              <w:left w:val="nil"/>
              <w:bottom w:val="single" w:color="auto" w:sz="4" w:space="0"/>
              <w:right w:val="nil"/>
            </w:tcBorders>
          </w:tcPr>
          <w:p w:rsidRPr="00E23886" w:rsidR="00E85946" w:rsidP="0016573E" w:rsidRDefault="00E85946">
            <w:pPr>
              <w:spacing w:line="252" w:lineRule="atLeast"/>
              <w:rPr>
                <w:rFonts w:cs="Arial"/>
                <w:i/>
                <w:color w:val="000000"/>
                <w:sz w:val="16"/>
                <w:szCs w:val="16"/>
              </w:rPr>
            </w:pPr>
            <w:r w:rsidRPr="00E23886">
              <w:rPr>
                <w:rFonts w:cs="Arial"/>
                <w:color w:val="000000"/>
                <w:sz w:val="16"/>
                <w:szCs w:val="16"/>
              </w:rPr>
              <w:t>Sterfte</w:t>
            </w:r>
          </w:p>
        </w:tc>
        <w:tc>
          <w:tcPr>
            <w:tcW w:w="585" w:type="pct"/>
            <w:gridSpan w:val="3"/>
            <w:tcBorders>
              <w:top w:val="single" w:color="auto" w:sz="4" w:space="0"/>
              <w:left w:val="nil"/>
              <w:bottom w:val="single" w:color="auto" w:sz="4" w:space="0"/>
              <w:right w:val="nil"/>
            </w:tcBorders>
            <w:shd w:val="clear" w:color="auto" w:fill="auto"/>
            <w:noWrap/>
            <w:hideMark/>
          </w:tcPr>
          <w:p w:rsidRPr="00E23886" w:rsidR="00E85946" w:rsidP="0016573E" w:rsidRDefault="00E85946">
            <w:pPr>
              <w:spacing w:line="252" w:lineRule="atLeast"/>
              <w:rPr>
                <w:rFonts w:cs="Arial"/>
                <w:color w:val="000000"/>
                <w:sz w:val="16"/>
                <w:szCs w:val="16"/>
              </w:rPr>
            </w:pPr>
            <w:r w:rsidRPr="00E23886">
              <w:rPr>
                <w:rFonts w:cs="Arial"/>
                <w:color w:val="000000"/>
                <w:sz w:val="16"/>
                <w:szCs w:val="16"/>
              </w:rPr>
              <w:t>Ziektelast</w:t>
            </w:r>
          </w:p>
          <w:p w:rsidRPr="00E23886" w:rsidR="00E85946" w:rsidP="0016573E" w:rsidRDefault="00E85946">
            <w:pPr>
              <w:spacing w:line="252" w:lineRule="atLeast"/>
              <w:rPr>
                <w:rFonts w:cs="Arial"/>
                <w:i/>
                <w:color w:val="000000"/>
                <w:sz w:val="16"/>
                <w:szCs w:val="16"/>
              </w:rPr>
            </w:pPr>
            <w:r w:rsidRPr="00E23886">
              <w:rPr>
                <w:rFonts w:cs="Arial"/>
                <w:color w:val="000000"/>
                <w:sz w:val="16"/>
                <w:szCs w:val="16"/>
              </w:rPr>
              <w:t>(DALY’s)</w:t>
            </w:r>
            <w:r w:rsidRPr="00E85946">
              <w:rPr>
                <w:rFonts w:cs="Arial"/>
                <w:color w:val="000000"/>
                <w:sz w:val="16"/>
                <w:szCs w:val="16"/>
                <w:vertAlign w:val="superscript"/>
              </w:rPr>
              <w:t>c</w:t>
            </w:r>
            <w:r>
              <w:rPr>
                <w:rFonts w:cs="Arial"/>
                <w:color w:val="000000"/>
                <w:sz w:val="16"/>
                <w:szCs w:val="16"/>
              </w:rPr>
              <w:t>**</w:t>
            </w:r>
          </w:p>
        </w:tc>
        <w:tc>
          <w:tcPr>
            <w:tcW w:w="298" w:type="pct"/>
            <w:gridSpan w:val="2"/>
            <w:tcBorders>
              <w:top w:val="single" w:color="auto" w:sz="4" w:space="0"/>
              <w:left w:val="nil"/>
              <w:bottom w:val="single" w:color="auto" w:sz="4" w:space="0"/>
              <w:right w:val="nil"/>
            </w:tcBorders>
          </w:tcPr>
          <w:p w:rsidRPr="00E23886" w:rsidR="00E85946" w:rsidP="0016573E" w:rsidRDefault="00E85946">
            <w:pPr>
              <w:spacing w:line="252" w:lineRule="atLeast"/>
              <w:rPr>
                <w:rFonts w:cs="Arial"/>
                <w:color w:val="000000"/>
                <w:sz w:val="16"/>
                <w:szCs w:val="16"/>
              </w:rPr>
            </w:pPr>
          </w:p>
        </w:tc>
        <w:tc>
          <w:tcPr>
            <w:tcW w:w="630" w:type="pct"/>
            <w:gridSpan w:val="3"/>
            <w:tcBorders>
              <w:top w:val="single" w:color="auto" w:sz="4" w:space="0"/>
              <w:left w:val="nil"/>
              <w:bottom w:val="single" w:color="auto" w:sz="4" w:space="0"/>
              <w:right w:val="nil"/>
            </w:tcBorders>
            <w:shd w:val="clear" w:color="auto" w:fill="auto"/>
            <w:noWrap/>
          </w:tcPr>
          <w:p w:rsidRPr="00E23886" w:rsidR="00E85946" w:rsidP="0016573E" w:rsidRDefault="00E85946">
            <w:pPr>
              <w:spacing w:line="252" w:lineRule="atLeast"/>
              <w:rPr>
                <w:rFonts w:cs="Arial"/>
                <w:color w:val="000000"/>
                <w:sz w:val="16"/>
                <w:szCs w:val="16"/>
              </w:rPr>
            </w:pPr>
            <w:r w:rsidRPr="00E23886">
              <w:rPr>
                <w:rFonts w:cs="Arial"/>
                <w:color w:val="000000"/>
                <w:sz w:val="16"/>
                <w:szCs w:val="16"/>
              </w:rPr>
              <w:t>Directe medische kosten</w:t>
            </w:r>
          </w:p>
        </w:tc>
        <w:tc>
          <w:tcPr>
            <w:tcW w:w="630" w:type="pct"/>
            <w:gridSpan w:val="3"/>
            <w:tcBorders>
              <w:top w:val="single" w:color="auto" w:sz="4" w:space="0"/>
              <w:left w:val="nil"/>
              <w:bottom w:val="single" w:color="auto" w:sz="4" w:space="0"/>
              <w:right w:val="nil"/>
            </w:tcBorders>
          </w:tcPr>
          <w:p w:rsidRPr="00E23886" w:rsidR="00E85946" w:rsidP="0016573E" w:rsidRDefault="00E85946">
            <w:pPr>
              <w:spacing w:line="252" w:lineRule="atLeast"/>
              <w:rPr>
                <w:rFonts w:cs="Arial"/>
                <w:color w:val="000000"/>
                <w:sz w:val="16"/>
                <w:szCs w:val="16"/>
              </w:rPr>
            </w:pPr>
            <w:r w:rsidRPr="00E23886">
              <w:rPr>
                <w:rFonts w:cs="Arial"/>
                <w:color w:val="000000"/>
                <w:sz w:val="16"/>
                <w:szCs w:val="16"/>
              </w:rPr>
              <w:t>Verzuimkosten</w:t>
            </w:r>
          </w:p>
        </w:tc>
        <w:tc>
          <w:tcPr>
            <w:tcW w:w="631" w:type="pct"/>
            <w:gridSpan w:val="2"/>
            <w:tcBorders>
              <w:top w:val="single" w:color="auto" w:sz="4" w:space="0"/>
              <w:left w:val="nil"/>
              <w:bottom w:val="single" w:color="auto" w:sz="4" w:space="0"/>
              <w:right w:val="nil"/>
            </w:tcBorders>
          </w:tcPr>
          <w:p w:rsidRPr="00E23886" w:rsidR="00E85946" w:rsidP="0016573E" w:rsidRDefault="00E85946">
            <w:pPr>
              <w:spacing w:line="252" w:lineRule="atLeast"/>
              <w:rPr>
                <w:rFonts w:cs="Arial"/>
                <w:color w:val="000000"/>
                <w:sz w:val="16"/>
                <w:szCs w:val="16"/>
              </w:rPr>
            </w:pPr>
            <w:r w:rsidRPr="00E23886">
              <w:rPr>
                <w:rFonts w:cs="Arial"/>
                <w:color w:val="000000"/>
                <w:sz w:val="16"/>
                <w:szCs w:val="16"/>
              </w:rPr>
              <w:t>Totaal directe medische en verzuimkosten</w:t>
            </w:r>
            <w:r w:rsidR="00626F0B">
              <w:rPr>
                <w:rFonts w:cs="Arial"/>
                <w:color w:val="000000"/>
                <w:sz w:val="16"/>
                <w:szCs w:val="16"/>
              </w:rPr>
              <w:t>***</w:t>
            </w:r>
          </w:p>
        </w:tc>
      </w:tr>
      <w:tr w:rsidRPr="00E23886" w:rsidR="00E85946" w:rsidTr="00910098">
        <w:trPr>
          <w:trHeight w:val="225"/>
        </w:trPr>
        <w:tc>
          <w:tcPr>
            <w:tcW w:w="470" w:type="pct"/>
            <w:gridSpan w:val="2"/>
            <w:tcBorders>
              <w:top w:val="single" w:color="auto" w:sz="4" w:space="0"/>
              <w:left w:val="nil"/>
              <w:bottom w:val="nil"/>
              <w:right w:val="nil"/>
            </w:tcBorders>
            <w:shd w:val="clear" w:color="auto" w:fill="auto"/>
            <w:noWrap/>
          </w:tcPr>
          <w:p w:rsidRPr="00E23886" w:rsidR="00E85946" w:rsidP="0016573E" w:rsidRDefault="00E85946">
            <w:pPr>
              <w:spacing w:line="252" w:lineRule="atLeast"/>
              <w:rPr>
                <w:rFonts w:cs="Arial"/>
                <w:color w:val="000000"/>
                <w:sz w:val="16"/>
                <w:szCs w:val="16"/>
              </w:rPr>
            </w:pPr>
          </w:p>
        </w:tc>
        <w:tc>
          <w:tcPr>
            <w:tcW w:w="292" w:type="pct"/>
            <w:tcBorders>
              <w:top w:val="single" w:color="auto" w:sz="4" w:space="0"/>
              <w:left w:val="nil"/>
              <w:bottom w:val="nil"/>
              <w:right w:val="nil"/>
            </w:tcBorders>
            <w:shd w:val="clear" w:color="auto" w:fill="auto"/>
            <w:noWrap/>
          </w:tcPr>
          <w:p w:rsidRPr="00E23886" w:rsidR="00E85946" w:rsidP="0016573E" w:rsidRDefault="00E85946">
            <w:pPr>
              <w:spacing w:line="252" w:lineRule="atLeast"/>
              <w:rPr>
                <w:rFonts w:cs="Arial"/>
                <w:color w:val="000000"/>
                <w:sz w:val="16"/>
                <w:szCs w:val="16"/>
              </w:rPr>
            </w:pPr>
            <w:r w:rsidRPr="00E23886">
              <w:rPr>
                <w:rFonts w:cs="Arial"/>
                <w:color w:val="000000"/>
                <w:sz w:val="16"/>
                <w:szCs w:val="16"/>
              </w:rPr>
              <w:t>2007-2011</w:t>
            </w:r>
          </w:p>
        </w:tc>
        <w:tc>
          <w:tcPr>
            <w:tcW w:w="293" w:type="pct"/>
            <w:gridSpan w:val="2"/>
            <w:tcBorders>
              <w:top w:val="single" w:color="auto" w:sz="4" w:space="0"/>
              <w:left w:val="nil"/>
              <w:bottom w:val="nil"/>
              <w:right w:val="nil"/>
            </w:tcBorders>
            <w:shd w:val="clear" w:color="auto" w:fill="auto"/>
            <w:noWrap/>
          </w:tcPr>
          <w:p w:rsidRPr="00E23886" w:rsidR="00E85946" w:rsidP="0016573E" w:rsidRDefault="00E85946">
            <w:pPr>
              <w:spacing w:line="252" w:lineRule="atLeast"/>
              <w:rPr>
                <w:rFonts w:cs="Arial"/>
                <w:i/>
                <w:color w:val="000000"/>
                <w:sz w:val="16"/>
                <w:szCs w:val="16"/>
              </w:rPr>
            </w:pPr>
            <w:r w:rsidRPr="00E23886">
              <w:rPr>
                <w:rFonts w:cs="Arial"/>
                <w:i/>
                <w:color w:val="000000"/>
                <w:sz w:val="16"/>
                <w:szCs w:val="16"/>
              </w:rPr>
              <w:t>2001-2005</w:t>
            </w:r>
          </w:p>
        </w:tc>
        <w:tc>
          <w:tcPr>
            <w:tcW w:w="292" w:type="pct"/>
            <w:gridSpan w:val="2"/>
            <w:tcBorders>
              <w:top w:val="single" w:color="auto" w:sz="4" w:space="0"/>
              <w:left w:val="nil"/>
              <w:bottom w:val="nil"/>
              <w:right w:val="nil"/>
            </w:tcBorders>
            <w:shd w:val="clear" w:color="auto" w:fill="auto"/>
            <w:noWrap/>
          </w:tcPr>
          <w:p w:rsidRPr="00E23886" w:rsidR="00E85946" w:rsidP="0016573E" w:rsidRDefault="00E85946">
            <w:pPr>
              <w:spacing w:line="252" w:lineRule="atLeast"/>
              <w:rPr>
                <w:rFonts w:cs="Arial"/>
                <w:color w:val="000000"/>
                <w:sz w:val="16"/>
                <w:szCs w:val="16"/>
              </w:rPr>
            </w:pPr>
            <w:r w:rsidRPr="00E23886">
              <w:rPr>
                <w:rFonts w:cs="Arial"/>
                <w:color w:val="000000"/>
                <w:sz w:val="16"/>
                <w:szCs w:val="16"/>
              </w:rPr>
              <w:t>2007-2011</w:t>
            </w:r>
          </w:p>
        </w:tc>
        <w:tc>
          <w:tcPr>
            <w:tcW w:w="293" w:type="pct"/>
            <w:gridSpan w:val="2"/>
            <w:tcBorders>
              <w:top w:val="single" w:color="auto" w:sz="4" w:space="0"/>
              <w:left w:val="nil"/>
              <w:bottom w:val="nil"/>
              <w:right w:val="nil"/>
            </w:tcBorders>
            <w:shd w:val="clear" w:color="auto" w:fill="auto"/>
            <w:noWrap/>
          </w:tcPr>
          <w:p w:rsidRPr="00E23886" w:rsidR="00E85946" w:rsidP="0016573E" w:rsidRDefault="00E85946">
            <w:pPr>
              <w:spacing w:line="252" w:lineRule="atLeast"/>
              <w:rPr>
                <w:rFonts w:cs="Arial"/>
                <w:i/>
                <w:color w:val="000000"/>
                <w:sz w:val="16"/>
                <w:szCs w:val="16"/>
              </w:rPr>
            </w:pPr>
            <w:r w:rsidRPr="00E23886">
              <w:rPr>
                <w:rFonts w:cs="Arial"/>
                <w:i/>
                <w:color w:val="000000"/>
                <w:sz w:val="16"/>
                <w:szCs w:val="16"/>
              </w:rPr>
              <w:t>2001-2005</w:t>
            </w:r>
          </w:p>
        </w:tc>
        <w:tc>
          <w:tcPr>
            <w:tcW w:w="293" w:type="pct"/>
            <w:tcBorders>
              <w:top w:val="single" w:color="auto" w:sz="4" w:space="0"/>
              <w:left w:val="nil"/>
              <w:bottom w:val="nil"/>
              <w:right w:val="nil"/>
            </w:tcBorders>
          </w:tcPr>
          <w:p w:rsidRPr="00E23886" w:rsidR="00E85946" w:rsidP="0016573E" w:rsidRDefault="00E85946">
            <w:pPr>
              <w:spacing w:line="252" w:lineRule="atLeast"/>
              <w:rPr>
                <w:rFonts w:cs="Arial"/>
                <w:color w:val="000000"/>
                <w:sz w:val="16"/>
                <w:szCs w:val="16"/>
              </w:rPr>
            </w:pPr>
            <w:r w:rsidRPr="00E23886">
              <w:rPr>
                <w:rFonts w:cs="Arial"/>
                <w:color w:val="000000"/>
                <w:sz w:val="16"/>
                <w:szCs w:val="16"/>
              </w:rPr>
              <w:t>2007-2011</w:t>
            </w:r>
          </w:p>
        </w:tc>
        <w:tc>
          <w:tcPr>
            <w:tcW w:w="292" w:type="pct"/>
            <w:gridSpan w:val="2"/>
            <w:tcBorders>
              <w:top w:val="single" w:color="auto" w:sz="4" w:space="0"/>
              <w:left w:val="nil"/>
              <w:bottom w:val="nil"/>
              <w:right w:val="nil"/>
            </w:tcBorders>
          </w:tcPr>
          <w:p w:rsidRPr="00E23886" w:rsidR="00E85946" w:rsidP="0016573E" w:rsidRDefault="00E85946">
            <w:pPr>
              <w:spacing w:line="252" w:lineRule="atLeast"/>
              <w:rPr>
                <w:rFonts w:cs="Arial"/>
                <w:i/>
                <w:color w:val="000000"/>
                <w:sz w:val="16"/>
                <w:szCs w:val="16"/>
              </w:rPr>
            </w:pPr>
            <w:r w:rsidRPr="00E23886">
              <w:rPr>
                <w:rFonts w:cs="Arial"/>
                <w:i/>
                <w:color w:val="000000"/>
                <w:sz w:val="16"/>
                <w:szCs w:val="16"/>
              </w:rPr>
              <w:t>2001-2005</w:t>
            </w:r>
          </w:p>
        </w:tc>
        <w:tc>
          <w:tcPr>
            <w:tcW w:w="293" w:type="pct"/>
            <w:gridSpan w:val="2"/>
            <w:tcBorders>
              <w:top w:val="single" w:color="auto" w:sz="4" w:space="0"/>
              <w:left w:val="nil"/>
              <w:bottom w:val="nil"/>
              <w:right w:val="nil"/>
            </w:tcBorders>
            <w:shd w:val="clear" w:color="auto" w:fill="auto"/>
            <w:noWrap/>
          </w:tcPr>
          <w:p w:rsidRPr="00E23886" w:rsidR="00E85946" w:rsidP="0016573E" w:rsidRDefault="00E85946">
            <w:pPr>
              <w:spacing w:line="252" w:lineRule="atLeast"/>
              <w:rPr>
                <w:rFonts w:cs="Arial"/>
                <w:color w:val="000000"/>
                <w:sz w:val="16"/>
                <w:szCs w:val="16"/>
              </w:rPr>
            </w:pPr>
            <w:r w:rsidRPr="00E23886">
              <w:rPr>
                <w:rFonts w:cs="Arial"/>
                <w:color w:val="000000"/>
                <w:sz w:val="16"/>
                <w:szCs w:val="16"/>
              </w:rPr>
              <w:t>2007-2011</w:t>
            </w:r>
          </w:p>
        </w:tc>
        <w:tc>
          <w:tcPr>
            <w:tcW w:w="293" w:type="pct"/>
            <w:tcBorders>
              <w:top w:val="single" w:color="auto" w:sz="4" w:space="0"/>
              <w:left w:val="nil"/>
              <w:bottom w:val="nil"/>
              <w:right w:val="nil"/>
            </w:tcBorders>
            <w:shd w:val="clear" w:color="auto" w:fill="auto"/>
            <w:noWrap/>
          </w:tcPr>
          <w:p w:rsidRPr="00E23886" w:rsidR="00E85946" w:rsidP="0016573E" w:rsidRDefault="00E85946">
            <w:pPr>
              <w:spacing w:line="252" w:lineRule="atLeast"/>
              <w:rPr>
                <w:rFonts w:cs="Arial"/>
                <w:i/>
                <w:color w:val="000000"/>
                <w:sz w:val="16"/>
                <w:szCs w:val="16"/>
              </w:rPr>
            </w:pPr>
            <w:r w:rsidRPr="00E23886">
              <w:rPr>
                <w:rFonts w:cs="Arial"/>
                <w:i/>
                <w:color w:val="000000"/>
                <w:sz w:val="16"/>
                <w:szCs w:val="16"/>
              </w:rPr>
              <w:t>2001-2005</w:t>
            </w:r>
          </w:p>
        </w:tc>
        <w:tc>
          <w:tcPr>
            <w:tcW w:w="298" w:type="pct"/>
            <w:gridSpan w:val="2"/>
            <w:tcBorders>
              <w:top w:val="single" w:color="auto" w:sz="4" w:space="0"/>
              <w:left w:val="nil"/>
              <w:bottom w:val="nil"/>
              <w:right w:val="nil"/>
            </w:tcBorders>
          </w:tcPr>
          <w:p w:rsidRPr="00E23886" w:rsidR="00E85946" w:rsidP="0016573E" w:rsidRDefault="00E85946">
            <w:pPr>
              <w:spacing w:line="252" w:lineRule="atLeast"/>
              <w:rPr>
                <w:rFonts w:cs="Arial"/>
                <w:color w:val="000000"/>
                <w:sz w:val="16"/>
                <w:szCs w:val="16"/>
              </w:rPr>
            </w:pPr>
          </w:p>
        </w:tc>
        <w:tc>
          <w:tcPr>
            <w:tcW w:w="315" w:type="pct"/>
            <w:tcBorders>
              <w:top w:val="single" w:color="auto" w:sz="4" w:space="0"/>
              <w:left w:val="nil"/>
              <w:bottom w:val="nil"/>
              <w:right w:val="nil"/>
            </w:tcBorders>
            <w:shd w:val="clear" w:color="auto" w:fill="auto"/>
            <w:noWrap/>
          </w:tcPr>
          <w:p w:rsidRPr="00E23886" w:rsidR="00E85946" w:rsidP="0016573E" w:rsidRDefault="00E85946">
            <w:pPr>
              <w:spacing w:line="252" w:lineRule="atLeast"/>
              <w:rPr>
                <w:rFonts w:cs="Arial"/>
                <w:color w:val="000000"/>
                <w:sz w:val="16"/>
                <w:szCs w:val="16"/>
              </w:rPr>
            </w:pPr>
            <w:r w:rsidRPr="00E23886">
              <w:rPr>
                <w:rFonts w:cs="Arial"/>
                <w:color w:val="000000"/>
                <w:sz w:val="16"/>
                <w:szCs w:val="16"/>
              </w:rPr>
              <w:t>2007-2011</w:t>
            </w:r>
          </w:p>
        </w:tc>
        <w:tc>
          <w:tcPr>
            <w:tcW w:w="315" w:type="pct"/>
            <w:gridSpan w:val="2"/>
            <w:tcBorders>
              <w:top w:val="single" w:color="auto" w:sz="4" w:space="0"/>
              <w:left w:val="nil"/>
              <w:bottom w:val="nil"/>
              <w:right w:val="nil"/>
            </w:tcBorders>
            <w:shd w:val="clear" w:color="auto" w:fill="auto"/>
            <w:noWrap/>
          </w:tcPr>
          <w:p w:rsidRPr="00E23886" w:rsidR="00E85946" w:rsidP="0016573E" w:rsidRDefault="00E85946">
            <w:pPr>
              <w:spacing w:line="252" w:lineRule="atLeast"/>
              <w:rPr>
                <w:rFonts w:cs="Arial"/>
                <w:i/>
                <w:color w:val="000000"/>
                <w:sz w:val="16"/>
                <w:szCs w:val="16"/>
              </w:rPr>
            </w:pPr>
            <w:r w:rsidRPr="00E23886">
              <w:rPr>
                <w:rFonts w:cs="Arial"/>
                <w:i/>
                <w:color w:val="000000"/>
                <w:sz w:val="16"/>
                <w:szCs w:val="16"/>
              </w:rPr>
              <w:t>2001-2005</w:t>
            </w:r>
          </w:p>
        </w:tc>
        <w:tc>
          <w:tcPr>
            <w:tcW w:w="315" w:type="pct"/>
            <w:tcBorders>
              <w:top w:val="single" w:color="auto" w:sz="4" w:space="0"/>
              <w:left w:val="nil"/>
              <w:bottom w:val="nil"/>
              <w:right w:val="nil"/>
            </w:tcBorders>
          </w:tcPr>
          <w:p w:rsidRPr="00E23886" w:rsidR="00E85946" w:rsidP="0016573E" w:rsidRDefault="00E85946">
            <w:pPr>
              <w:spacing w:line="252" w:lineRule="atLeast"/>
              <w:rPr>
                <w:rFonts w:cs="Arial"/>
                <w:color w:val="000000"/>
                <w:sz w:val="16"/>
                <w:szCs w:val="16"/>
              </w:rPr>
            </w:pPr>
            <w:r w:rsidRPr="00E23886">
              <w:rPr>
                <w:rFonts w:cs="Arial"/>
                <w:color w:val="000000"/>
                <w:sz w:val="16"/>
                <w:szCs w:val="16"/>
              </w:rPr>
              <w:t>2007-2011</w:t>
            </w:r>
          </w:p>
        </w:tc>
        <w:tc>
          <w:tcPr>
            <w:tcW w:w="315" w:type="pct"/>
            <w:gridSpan w:val="2"/>
            <w:tcBorders>
              <w:top w:val="single" w:color="auto" w:sz="4" w:space="0"/>
              <w:left w:val="nil"/>
              <w:bottom w:val="nil"/>
              <w:right w:val="nil"/>
            </w:tcBorders>
          </w:tcPr>
          <w:p w:rsidRPr="00E23886" w:rsidR="00E85946" w:rsidP="0016573E" w:rsidRDefault="00E85946">
            <w:pPr>
              <w:spacing w:line="252" w:lineRule="atLeast"/>
              <w:rPr>
                <w:rFonts w:cs="Arial"/>
                <w:i/>
                <w:color w:val="000000"/>
                <w:sz w:val="16"/>
                <w:szCs w:val="16"/>
              </w:rPr>
            </w:pPr>
            <w:r w:rsidRPr="00E23886">
              <w:rPr>
                <w:rFonts w:cs="Arial"/>
                <w:i/>
                <w:color w:val="000000"/>
                <w:sz w:val="16"/>
                <w:szCs w:val="16"/>
              </w:rPr>
              <w:t>2001-2005</w:t>
            </w:r>
          </w:p>
        </w:tc>
        <w:tc>
          <w:tcPr>
            <w:tcW w:w="315" w:type="pct"/>
            <w:tcBorders>
              <w:top w:val="single" w:color="auto" w:sz="4" w:space="0"/>
              <w:left w:val="nil"/>
              <w:bottom w:val="nil"/>
              <w:right w:val="nil"/>
            </w:tcBorders>
          </w:tcPr>
          <w:p w:rsidRPr="00E23886" w:rsidR="00E85946" w:rsidP="0016573E" w:rsidRDefault="00E85946">
            <w:pPr>
              <w:spacing w:line="252" w:lineRule="atLeast"/>
              <w:rPr>
                <w:rFonts w:cs="Arial"/>
                <w:color w:val="000000"/>
                <w:sz w:val="16"/>
                <w:szCs w:val="16"/>
              </w:rPr>
            </w:pPr>
            <w:r w:rsidRPr="00E23886">
              <w:rPr>
                <w:rFonts w:cs="Arial"/>
                <w:color w:val="000000"/>
                <w:sz w:val="16"/>
                <w:szCs w:val="16"/>
              </w:rPr>
              <w:t>2007-2011</w:t>
            </w:r>
          </w:p>
        </w:tc>
        <w:tc>
          <w:tcPr>
            <w:tcW w:w="316" w:type="pct"/>
            <w:tcBorders>
              <w:top w:val="single" w:color="auto" w:sz="4" w:space="0"/>
              <w:left w:val="nil"/>
              <w:bottom w:val="nil"/>
              <w:right w:val="nil"/>
            </w:tcBorders>
          </w:tcPr>
          <w:p w:rsidRPr="00E23886" w:rsidR="00E85946" w:rsidP="0016573E" w:rsidRDefault="00E85946">
            <w:pPr>
              <w:spacing w:line="252" w:lineRule="atLeast"/>
              <w:rPr>
                <w:rFonts w:cs="Arial"/>
                <w:i/>
                <w:color w:val="000000"/>
                <w:sz w:val="16"/>
                <w:szCs w:val="16"/>
              </w:rPr>
            </w:pPr>
            <w:r w:rsidRPr="00E23886">
              <w:rPr>
                <w:rFonts w:cs="Arial"/>
                <w:i/>
                <w:color w:val="000000"/>
                <w:sz w:val="16"/>
                <w:szCs w:val="16"/>
              </w:rPr>
              <w:t>2001-2005</w:t>
            </w:r>
          </w:p>
        </w:tc>
      </w:tr>
      <w:tr w:rsidRPr="00E23886" w:rsidR="00E85946" w:rsidTr="00E85946">
        <w:trPr>
          <w:trHeight w:val="225"/>
        </w:trPr>
        <w:tc>
          <w:tcPr>
            <w:tcW w:w="470" w:type="pct"/>
            <w:gridSpan w:val="2"/>
            <w:tcBorders>
              <w:top w:val="single" w:color="auto" w:sz="4" w:space="0"/>
              <w:left w:val="nil"/>
              <w:bottom w:val="dotted" w:color="auto" w:sz="4" w:space="0"/>
              <w:right w:val="nil"/>
            </w:tcBorders>
            <w:shd w:val="clear" w:color="auto" w:fill="auto"/>
            <w:noWrap/>
            <w:hideMark/>
          </w:tcPr>
          <w:p w:rsidRPr="00E23886" w:rsidR="00E85946" w:rsidP="0016573E" w:rsidRDefault="00E85946">
            <w:pPr>
              <w:spacing w:line="252" w:lineRule="atLeast"/>
              <w:rPr>
                <w:rFonts w:cs="Arial"/>
                <w:color w:val="000000"/>
                <w:sz w:val="16"/>
                <w:szCs w:val="16"/>
              </w:rPr>
            </w:pPr>
            <w:r w:rsidRPr="00E23886">
              <w:rPr>
                <w:rFonts w:cs="Arial"/>
                <w:color w:val="000000"/>
                <w:sz w:val="16"/>
                <w:szCs w:val="16"/>
              </w:rPr>
              <w:t>Privé-</w:t>
            </w:r>
          </w:p>
          <w:p w:rsidRPr="00E23886" w:rsidR="00E85946" w:rsidP="0016573E" w:rsidRDefault="00E85946">
            <w:pPr>
              <w:spacing w:line="252" w:lineRule="atLeast"/>
              <w:rPr>
                <w:rFonts w:cs="Arial"/>
                <w:color w:val="000000"/>
                <w:sz w:val="16"/>
                <w:szCs w:val="16"/>
              </w:rPr>
            </w:pPr>
            <w:r w:rsidRPr="00E23886">
              <w:rPr>
                <w:rFonts w:cs="Arial"/>
                <w:color w:val="000000"/>
                <w:sz w:val="16"/>
                <w:szCs w:val="16"/>
              </w:rPr>
              <w:t>ongevallen</w:t>
            </w:r>
          </w:p>
        </w:tc>
        <w:tc>
          <w:tcPr>
            <w:tcW w:w="292" w:type="pct"/>
            <w:tcBorders>
              <w:top w:val="single" w:color="auto" w:sz="4" w:space="0"/>
              <w:left w:val="nil"/>
              <w:bottom w:val="dotted" w:color="auto" w:sz="4" w:space="0"/>
              <w:right w:val="nil"/>
            </w:tcBorders>
            <w:shd w:val="clear" w:color="auto" w:fill="auto"/>
            <w:noWrap/>
            <w:hideMark/>
          </w:tcPr>
          <w:p w:rsidR="007C641F" w:rsidP="0016573E" w:rsidRDefault="007C641F">
            <w:pPr>
              <w:spacing w:line="252" w:lineRule="atLeast"/>
              <w:rPr>
                <w:rFonts w:cs="Arial"/>
                <w:color w:val="000000"/>
                <w:sz w:val="16"/>
                <w:szCs w:val="16"/>
              </w:rPr>
            </w:pPr>
          </w:p>
          <w:p w:rsidRPr="00E23886" w:rsidR="00E85946" w:rsidP="0016573E" w:rsidRDefault="00E85946">
            <w:pPr>
              <w:spacing w:line="252" w:lineRule="atLeast"/>
              <w:rPr>
                <w:rFonts w:cs="Arial"/>
                <w:color w:val="000000"/>
                <w:sz w:val="16"/>
                <w:szCs w:val="16"/>
              </w:rPr>
            </w:pPr>
            <w:r w:rsidRPr="00E23886">
              <w:rPr>
                <w:rFonts w:cs="Arial"/>
                <w:color w:val="000000"/>
                <w:sz w:val="16"/>
                <w:szCs w:val="16"/>
              </w:rPr>
              <w:t>460.000</w:t>
            </w:r>
          </w:p>
        </w:tc>
        <w:tc>
          <w:tcPr>
            <w:tcW w:w="293" w:type="pct"/>
            <w:gridSpan w:val="2"/>
            <w:tcBorders>
              <w:top w:val="single" w:color="auto" w:sz="4" w:space="0"/>
              <w:left w:val="nil"/>
              <w:bottom w:val="dotted" w:color="auto" w:sz="4" w:space="0"/>
              <w:right w:val="nil"/>
            </w:tcBorders>
            <w:shd w:val="clear" w:color="auto" w:fill="auto"/>
            <w:noWrap/>
          </w:tcPr>
          <w:p w:rsidR="007C641F" w:rsidP="0016573E" w:rsidRDefault="007C641F">
            <w:pPr>
              <w:spacing w:line="252" w:lineRule="atLeast"/>
              <w:rPr>
                <w:rFonts w:cs="Arial"/>
                <w:i/>
                <w:color w:val="000000"/>
                <w:sz w:val="16"/>
                <w:szCs w:val="16"/>
              </w:rPr>
            </w:pPr>
          </w:p>
          <w:p w:rsidRPr="00E23886" w:rsidR="00E85946" w:rsidP="0016573E" w:rsidRDefault="00E85946">
            <w:pPr>
              <w:spacing w:line="252" w:lineRule="atLeast"/>
              <w:rPr>
                <w:rFonts w:cs="Arial"/>
                <w:i/>
                <w:color w:val="000000"/>
                <w:sz w:val="16"/>
                <w:szCs w:val="16"/>
              </w:rPr>
            </w:pPr>
            <w:r w:rsidRPr="00E23886">
              <w:rPr>
                <w:rFonts w:cs="Arial"/>
                <w:i/>
                <w:color w:val="000000"/>
                <w:sz w:val="16"/>
                <w:szCs w:val="16"/>
              </w:rPr>
              <w:t>480.000</w:t>
            </w:r>
          </w:p>
        </w:tc>
        <w:tc>
          <w:tcPr>
            <w:tcW w:w="292" w:type="pct"/>
            <w:gridSpan w:val="2"/>
            <w:tcBorders>
              <w:top w:val="single" w:color="auto" w:sz="4" w:space="0"/>
              <w:left w:val="nil"/>
              <w:bottom w:val="dotted" w:color="auto" w:sz="4" w:space="0"/>
              <w:right w:val="nil"/>
            </w:tcBorders>
            <w:shd w:val="clear" w:color="auto" w:fill="auto"/>
            <w:noWrap/>
          </w:tcPr>
          <w:p w:rsidR="007C641F" w:rsidP="0016573E" w:rsidRDefault="007C641F">
            <w:pPr>
              <w:spacing w:line="252" w:lineRule="atLeast"/>
              <w:rPr>
                <w:rFonts w:cs="Arial"/>
                <w:color w:val="000000"/>
                <w:sz w:val="16"/>
                <w:szCs w:val="16"/>
              </w:rPr>
            </w:pPr>
          </w:p>
          <w:p w:rsidRPr="00E23886" w:rsidR="00E85946" w:rsidP="0016573E" w:rsidRDefault="00E85946">
            <w:pPr>
              <w:spacing w:line="252" w:lineRule="atLeast"/>
              <w:rPr>
                <w:rFonts w:cs="Arial"/>
                <w:color w:val="000000"/>
                <w:sz w:val="16"/>
                <w:szCs w:val="16"/>
              </w:rPr>
            </w:pPr>
            <w:r w:rsidRPr="00E23886">
              <w:rPr>
                <w:rFonts w:cs="Arial"/>
                <w:color w:val="000000"/>
                <w:sz w:val="16"/>
                <w:szCs w:val="16"/>
              </w:rPr>
              <w:t>80.000</w:t>
            </w:r>
            <w:r w:rsidRPr="00E85946">
              <w:rPr>
                <w:rFonts w:cs="Arial"/>
                <w:color w:val="000000"/>
                <w:sz w:val="16"/>
                <w:szCs w:val="16"/>
                <w:vertAlign w:val="superscript"/>
              </w:rPr>
              <w:t>a</w:t>
            </w:r>
          </w:p>
        </w:tc>
        <w:tc>
          <w:tcPr>
            <w:tcW w:w="293" w:type="pct"/>
            <w:gridSpan w:val="2"/>
            <w:tcBorders>
              <w:top w:val="single" w:color="auto" w:sz="4" w:space="0"/>
              <w:left w:val="nil"/>
              <w:bottom w:val="dotted" w:color="auto" w:sz="4" w:space="0"/>
              <w:right w:val="nil"/>
            </w:tcBorders>
            <w:shd w:val="clear" w:color="auto" w:fill="auto"/>
            <w:noWrap/>
          </w:tcPr>
          <w:p w:rsidR="007C641F" w:rsidP="0016573E" w:rsidRDefault="007C641F">
            <w:pPr>
              <w:spacing w:line="252" w:lineRule="atLeast"/>
              <w:rPr>
                <w:rFonts w:cs="Arial"/>
                <w:i/>
                <w:color w:val="000000"/>
                <w:sz w:val="16"/>
                <w:szCs w:val="16"/>
              </w:rPr>
            </w:pPr>
          </w:p>
          <w:p w:rsidRPr="00E23886" w:rsidR="00E85946" w:rsidP="0016573E" w:rsidRDefault="00E85946">
            <w:pPr>
              <w:spacing w:line="252" w:lineRule="atLeast"/>
              <w:rPr>
                <w:rFonts w:cs="Arial"/>
                <w:i/>
                <w:color w:val="000000"/>
                <w:sz w:val="16"/>
                <w:szCs w:val="16"/>
              </w:rPr>
            </w:pPr>
            <w:r w:rsidRPr="00E23886">
              <w:rPr>
                <w:rFonts w:cs="Arial"/>
                <w:i/>
                <w:color w:val="000000"/>
                <w:sz w:val="16"/>
                <w:szCs w:val="16"/>
              </w:rPr>
              <w:t>65.000</w:t>
            </w:r>
            <w:r w:rsidRPr="00E85946">
              <w:rPr>
                <w:rFonts w:cs="Arial"/>
                <w:i/>
                <w:color w:val="000000"/>
                <w:sz w:val="16"/>
                <w:szCs w:val="16"/>
                <w:vertAlign w:val="superscript"/>
              </w:rPr>
              <w:t>a</w:t>
            </w:r>
          </w:p>
        </w:tc>
        <w:tc>
          <w:tcPr>
            <w:tcW w:w="293" w:type="pct"/>
            <w:tcBorders>
              <w:top w:val="single" w:color="auto" w:sz="4" w:space="0"/>
              <w:left w:val="nil"/>
              <w:bottom w:val="dotted" w:color="auto" w:sz="4" w:space="0"/>
              <w:right w:val="nil"/>
            </w:tcBorders>
          </w:tcPr>
          <w:p w:rsidR="007C641F" w:rsidP="0016573E" w:rsidRDefault="007C641F">
            <w:pPr>
              <w:spacing w:line="252" w:lineRule="atLeast"/>
              <w:rPr>
                <w:rFonts w:cs="Arial"/>
                <w:color w:val="000000"/>
                <w:sz w:val="16"/>
                <w:szCs w:val="16"/>
              </w:rPr>
            </w:pPr>
          </w:p>
          <w:p w:rsidRPr="00E23886" w:rsidR="00E85946" w:rsidP="0016573E" w:rsidRDefault="00E85946">
            <w:pPr>
              <w:spacing w:line="252" w:lineRule="atLeast"/>
              <w:rPr>
                <w:rFonts w:cs="Arial"/>
                <w:color w:val="000000"/>
                <w:sz w:val="16"/>
                <w:szCs w:val="16"/>
              </w:rPr>
            </w:pPr>
            <w:r w:rsidRPr="00E23886">
              <w:rPr>
                <w:rFonts w:cs="Arial"/>
                <w:color w:val="000000"/>
                <w:sz w:val="16"/>
                <w:szCs w:val="16"/>
              </w:rPr>
              <w:t>2.600</w:t>
            </w:r>
          </w:p>
        </w:tc>
        <w:tc>
          <w:tcPr>
            <w:tcW w:w="292" w:type="pct"/>
            <w:gridSpan w:val="2"/>
            <w:tcBorders>
              <w:top w:val="single" w:color="auto" w:sz="4" w:space="0"/>
              <w:left w:val="nil"/>
              <w:bottom w:val="dotted" w:color="auto" w:sz="4" w:space="0"/>
              <w:right w:val="nil"/>
            </w:tcBorders>
          </w:tcPr>
          <w:p w:rsidR="007C641F" w:rsidP="0016573E" w:rsidRDefault="007C641F">
            <w:pPr>
              <w:spacing w:line="252" w:lineRule="atLeast"/>
              <w:rPr>
                <w:rFonts w:cs="Arial"/>
                <w:i/>
                <w:color w:val="000000"/>
                <w:sz w:val="16"/>
                <w:szCs w:val="16"/>
              </w:rPr>
            </w:pPr>
          </w:p>
          <w:p w:rsidRPr="00E23886" w:rsidR="00E85946" w:rsidP="0016573E" w:rsidRDefault="00E85946">
            <w:pPr>
              <w:spacing w:line="252" w:lineRule="atLeast"/>
              <w:rPr>
                <w:rFonts w:cs="Arial"/>
                <w:i/>
                <w:color w:val="000000"/>
                <w:sz w:val="16"/>
                <w:szCs w:val="16"/>
              </w:rPr>
            </w:pPr>
            <w:r w:rsidRPr="00E23886">
              <w:rPr>
                <w:rFonts w:cs="Arial"/>
                <w:i/>
                <w:color w:val="000000"/>
                <w:sz w:val="16"/>
                <w:szCs w:val="16"/>
              </w:rPr>
              <w:t>2.500</w:t>
            </w:r>
          </w:p>
        </w:tc>
        <w:tc>
          <w:tcPr>
            <w:tcW w:w="293" w:type="pct"/>
            <w:gridSpan w:val="2"/>
            <w:tcBorders>
              <w:top w:val="single" w:color="auto" w:sz="4" w:space="0"/>
              <w:left w:val="nil"/>
              <w:bottom w:val="dotted" w:color="auto" w:sz="4" w:space="0"/>
              <w:right w:val="nil"/>
            </w:tcBorders>
            <w:shd w:val="clear" w:color="auto" w:fill="auto"/>
            <w:noWrap/>
            <w:hideMark/>
          </w:tcPr>
          <w:p w:rsidR="007C641F" w:rsidP="0016573E" w:rsidRDefault="007C641F">
            <w:pPr>
              <w:spacing w:line="252" w:lineRule="atLeast"/>
              <w:rPr>
                <w:rFonts w:cs="Arial"/>
                <w:color w:val="000000"/>
                <w:sz w:val="16"/>
                <w:szCs w:val="16"/>
              </w:rPr>
            </w:pPr>
          </w:p>
          <w:p w:rsidRPr="00E23886" w:rsidR="00E85946" w:rsidP="0016573E" w:rsidRDefault="00E85946">
            <w:pPr>
              <w:spacing w:line="252" w:lineRule="atLeast"/>
              <w:rPr>
                <w:rFonts w:cs="Arial"/>
                <w:color w:val="000000"/>
                <w:sz w:val="16"/>
                <w:szCs w:val="16"/>
              </w:rPr>
            </w:pPr>
            <w:r w:rsidRPr="00E23886">
              <w:rPr>
                <w:rFonts w:cs="Arial"/>
                <w:color w:val="000000"/>
                <w:sz w:val="16"/>
                <w:szCs w:val="16"/>
              </w:rPr>
              <w:t>107.300</w:t>
            </w:r>
          </w:p>
        </w:tc>
        <w:tc>
          <w:tcPr>
            <w:tcW w:w="293" w:type="pct"/>
            <w:tcBorders>
              <w:top w:val="single" w:color="auto" w:sz="4" w:space="0"/>
              <w:left w:val="nil"/>
              <w:bottom w:val="dotted" w:color="auto" w:sz="4" w:space="0"/>
              <w:right w:val="nil"/>
            </w:tcBorders>
            <w:shd w:val="clear" w:color="auto" w:fill="auto"/>
            <w:noWrap/>
          </w:tcPr>
          <w:p w:rsidR="007C641F" w:rsidP="0016573E" w:rsidRDefault="007C641F">
            <w:pPr>
              <w:spacing w:line="252" w:lineRule="atLeast"/>
              <w:rPr>
                <w:rFonts w:cs="Arial"/>
                <w:i/>
                <w:color w:val="000000"/>
                <w:sz w:val="16"/>
                <w:szCs w:val="16"/>
              </w:rPr>
            </w:pPr>
          </w:p>
          <w:p w:rsidRPr="00E23886" w:rsidR="007C641F" w:rsidP="0016573E" w:rsidRDefault="00E85946">
            <w:pPr>
              <w:spacing w:line="252" w:lineRule="atLeast"/>
              <w:rPr>
                <w:rFonts w:cs="Arial"/>
                <w:i/>
                <w:color w:val="000000"/>
                <w:sz w:val="16"/>
                <w:szCs w:val="16"/>
              </w:rPr>
            </w:pPr>
            <w:r w:rsidRPr="00E23886">
              <w:rPr>
                <w:rFonts w:cs="Arial"/>
                <w:i/>
                <w:color w:val="000000"/>
                <w:sz w:val="16"/>
                <w:szCs w:val="16"/>
              </w:rPr>
              <w:t>92.300</w:t>
            </w:r>
          </w:p>
        </w:tc>
        <w:tc>
          <w:tcPr>
            <w:tcW w:w="298" w:type="pct"/>
            <w:gridSpan w:val="2"/>
            <w:tcBorders>
              <w:top w:val="single" w:color="auto" w:sz="4" w:space="0"/>
              <w:left w:val="nil"/>
              <w:bottom w:val="dotted" w:color="auto" w:sz="4" w:space="0"/>
              <w:right w:val="nil"/>
            </w:tcBorders>
          </w:tcPr>
          <w:p w:rsidRPr="00E23886" w:rsidR="00E85946" w:rsidP="0016573E" w:rsidRDefault="00E85946">
            <w:pPr>
              <w:spacing w:line="252" w:lineRule="atLeast"/>
              <w:rPr>
                <w:rFonts w:cs="Arial"/>
                <w:color w:val="000000"/>
                <w:sz w:val="16"/>
                <w:szCs w:val="16"/>
              </w:rPr>
            </w:pPr>
          </w:p>
        </w:tc>
        <w:tc>
          <w:tcPr>
            <w:tcW w:w="315" w:type="pct"/>
            <w:tcBorders>
              <w:top w:val="single" w:color="auto" w:sz="4" w:space="0"/>
              <w:left w:val="nil"/>
              <w:bottom w:val="dotted" w:color="auto" w:sz="4" w:space="0"/>
              <w:right w:val="nil"/>
            </w:tcBorders>
            <w:shd w:val="clear" w:color="auto" w:fill="auto"/>
            <w:noWrap/>
          </w:tcPr>
          <w:p w:rsidR="007C641F" w:rsidP="0016573E" w:rsidRDefault="007C641F">
            <w:pPr>
              <w:spacing w:line="252" w:lineRule="atLeast"/>
              <w:rPr>
                <w:rFonts w:cs="Arial"/>
                <w:color w:val="000000"/>
                <w:sz w:val="16"/>
                <w:szCs w:val="16"/>
              </w:rPr>
            </w:pPr>
          </w:p>
          <w:p w:rsidRPr="00E23886" w:rsidR="00E85946" w:rsidP="0016573E" w:rsidRDefault="00E85946">
            <w:pPr>
              <w:spacing w:line="252" w:lineRule="atLeast"/>
              <w:rPr>
                <w:rFonts w:cs="Arial"/>
                <w:color w:val="000000"/>
                <w:sz w:val="16"/>
                <w:szCs w:val="16"/>
              </w:rPr>
            </w:pPr>
            <w:r w:rsidRPr="00E23886">
              <w:rPr>
                <w:rFonts w:cs="Arial"/>
                <w:color w:val="000000"/>
                <w:sz w:val="16"/>
                <w:szCs w:val="16"/>
              </w:rPr>
              <w:t>1.400</w:t>
            </w:r>
            <w:r w:rsidRPr="00E85946">
              <w:rPr>
                <w:rFonts w:cs="Arial"/>
                <w:color w:val="000000"/>
                <w:sz w:val="16"/>
                <w:szCs w:val="16"/>
                <w:vertAlign w:val="superscript"/>
              </w:rPr>
              <w:t>d</w:t>
            </w:r>
          </w:p>
        </w:tc>
        <w:tc>
          <w:tcPr>
            <w:tcW w:w="315" w:type="pct"/>
            <w:gridSpan w:val="2"/>
            <w:tcBorders>
              <w:top w:val="single" w:color="auto" w:sz="4" w:space="0"/>
              <w:left w:val="nil"/>
              <w:bottom w:val="dotted" w:color="auto" w:sz="4" w:space="0"/>
              <w:right w:val="nil"/>
            </w:tcBorders>
            <w:shd w:val="clear" w:color="auto" w:fill="auto"/>
            <w:noWrap/>
          </w:tcPr>
          <w:p w:rsidR="007C641F" w:rsidP="0016573E" w:rsidRDefault="007C641F">
            <w:pPr>
              <w:spacing w:line="252" w:lineRule="atLeast"/>
              <w:rPr>
                <w:rFonts w:cs="Arial"/>
                <w:i/>
                <w:color w:val="000000"/>
                <w:sz w:val="16"/>
                <w:szCs w:val="16"/>
              </w:rPr>
            </w:pPr>
          </w:p>
          <w:p w:rsidRPr="00E23886" w:rsidR="00E85946" w:rsidP="0016573E" w:rsidRDefault="00E85946">
            <w:pPr>
              <w:spacing w:line="252" w:lineRule="atLeast"/>
              <w:rPr>
                <w:rFonts w:cs="Arial"/>
                <w:i/>
                <w:color w:val="000000"/>
                <w:sz w:val="16"/>
                <w:szCs w:val="16"/>
              </w:rPr>
            </w:pPr>
            <w:r w:rsidRPr="00E23886">
              <w:rPr>
                <w:rFonts w:cs="Arial"/>
                <w:i/>
                <w:color w:val="000000"/>
                <w:sz w:val="16"/>
                <w:szCs w:val="16"/>
              </w:rPr>
              <w:t>930</w:t>
            </w:r>
          </w:p>
        </w:tc>
        <w:tc>
          <w:tcPr>
            <w:tcW w:w="315" w:type="pct"/>
            <w:tcBorders>
              <w:top w:val="single" w:color="auto" w:sz="4" w:space="0"/>
              <w:left w:val="nil"/>
              <w:bottom w:val="dotted" w:color="auto" w:sz="4" w:space="0"/>
              <w:right w:val="nil"/>
            </w:tcBorders>
          </w:tcPr>
          <w:p w:rsidR="007C641F" w:rsidP="0016573E" w:rsidRDefault="007C641F">
            <w:pPr>
              <w:spacing w:line="252" w:lineRule="atLeast"/>
              <w:rPr>
                <w:rFonts w:cs="Arial"/>
                <w:color w:val="000000"/>
                <w:sz w:val="16"/>
                <w:szCs w:val="16"/>
              </w:rPr>
            </w:pPr>
          </w:p>
          <w:p w:rsidRPr="00E23886" w:rsidR="00E85946" w:rsidP="0016573E" w:rsidRDefault="00E85946">
            <w:pPr>
              <w:spacing w:line="252" w:lineRule="atLeast"/>
              <w:rPr>
                <w:rFonts w:cs="Arial"/>
                <w:color w:val="000000"/>
                <w:sz w:val="16"/>
                <w:szCs w:val="16"/>
              </w:rPr>
            </w:pPr>
            <w:r w:rsidRPr="00E23886">
              <w:rPr>
                <w:rFonts w:cs="Arial"/>
                <w:color w:val="000000"/>
                <w:sz w:val="16"/>
                <w:szCs w:val="16"/>
              </w:rPr>
              <w:t>1.100</w:t>
            </w:r>
            <w:r w:rsidRPr="00E85946">
              <w:rPr>
                <w:rFonts w:cs="Arial"/>
                <w:color w:val="000000"/>
                <w:sz w:val="16"/>
                <w:szCs w:val="16"/>
                <w:vertAlign w:val="superscript"/>
              </w:rPr>
              <w:t>d</w:t>
            </w:r>
          </w:p>
        </w:tc>
        <w:tc>
          <w:tcPr>
            <w:tcW w:w="315" w:type="pct"/>
            <w:gridSpan w:val="2"/>
            <w:tcBorders>
              <w:top w:val="single" w:color="auto" w:sz="4" w:space="0"/>
              <w:left w:val="nil"/>
              <w:bottom w:val="dotted" w:color="auto" w:sz="4" w:space="0"/>
              <w:right w:val="nil"/>
            </w:tcBorders>
          </w:tcPr>
          <w:p w:rsidR="007C641F" w:rsidP="0016573E" w:rsidRDefault="007C641F">
            <w:pPr>
              <w:spacing w:line="252" w:lineRule="atLeast"/>
              <w:rPr>
                <w:rFonts w:cs="Arial"/>
                <w:i/>
                <w:color w:val="000000"/>
                <w:sz w:val="16"/>
                <w:szCs w:val="16"/>
              </w:rPr>
            </w:pPr>
          </w:p>
          <w:p w:rsidRPr="00E23886" w:rsidR="00E85946" w:rsidP="0016573E" w:rsidRDefault="00E85946">
            <w:pPr>
              <w:spacing w:line="252" w:lineRule="atLeast"/>
              <w:rPr>
                <w:rFonts w:cs="Arial"/>
                <w:i/>
                <w:color w:val="000000"/>
                <w:sz w:val="16"/>
                <w:szCs w:val="16"/>
              </w:rPr>
            </w:pPr>
            <w:r w:rsidRPr="00E23886">
              <w:rPr>
                <w:rFonts w:cs="Arial"/>
                <w:i/>
                <w:color w:val="000000"/>
                <w:sz w:val="16"/>
                <w:szCs w:val="16"/>
              </w:rPr>
              <w:t>770</w:t>
            </w:r>
            <w:r w:rsidRPr="00E85946">
              <w:rPr>
                <w:rFonts w:cs="Arial"/>
                <w:i/>
                <w:color w:val="000000"/>
                <w:sz w:val="16"/>
                <w:szCs w:val="16"/>
                <w:vertAlign w:val="superscript"/>
              </w:rPr>
              <w:t>d</w:t>
            </w:r>
          </w:p>
        </w:tc>
        <w:tc>
          <w:tcPr>
            <w:tcW w:w="315" w:type="pct"/>
            <w:tcBorders>
              <w:top w:val="single" w:color="auto" w:sz="4" w:space="0"/>
              <w:left w:val="nil"/>
              <w:bottom w:val="dotted" w:color="auto" w:sz="4" w:space="0"/>
              <w:right w:val="nil"/>
            </w:tcBorders>
          </w:tcPr>
          <w:p w:rsidR="007C641F" w:rsidP="0016573E" w:rsidRDefault="007C641F">
            <w:pPr>
              <w:spacing w:line="252" w:lineRule="atLeast"/>
              <w:rPr>
                <w:rFonts w:cs="Arial"/>
                <w:color w:val="000000"/>
                <w:sz w:val="16"/>
                <w:szCs w:val="16"/>
              </w:rPr>
            </w:pPr>
          </w:p>
          <w:p w:rsidRPr="00E23886" w:rsidR="00E85946" w:rsidP="0016573E" w:rsidRDefault="00E85946">
            <w:pPr>
              <w:spacing w:line="252" w:lineRule="atLeast"/>
              <w:rPr>
                <w:rFonts w:cs="Arial"/>
                <w:color w:val="000000"/>
                <w:sz w:val="16"/>
                <w:szCs w:val="16"/>
              </w:rPr>
            </w:pPr>
            <w:r w:rsidRPr="00E23886">
              <w:rPr>
                <w:rFonts w:cs="Arial"/>
                <w:color w:val="000000"/>
                <w:sz w:val="16"/>
                <w:szCs w:val="16"/>
              </w:rPr>
              <w:t>2.500</w:t>
            </w:r>
            <w:r w:rsidRPr="00E85946">
              <w:rPr>
                <w:rFonts w:cs="Arial"/>
                <w:color w:val="000000"/>
                <w:sz w:val="16"/>
                <w:szCs w:val="16"/>
                <w:vertAlign w:val="superscript"/>
              </w:rPr>
              <w:t>d</w:t>
            </w:r>
          </w:p>
        </w:tc>
        <w:tc>
          <w:tcPr>
            <w:tcW w:w="316" w:type="pct"/>
            <w:tcBorders>
              <w:top w:val="single" w:color="auto" w:sz="4" w:space="0"/>
              <w:left w:val="nil"/>
              <w:bottom w:val="dotted" w:color="auto" w:sz="4" w:space="0"/>
              <w:right w:val="nil"/>
            </w:tcBorders>
          </w:tcPr>
          <w:p w:rsidR="007C641F" w:rsidP="0016573E" w:rsidRDefault="007C641F">
            <w:pPr>
              <w:spacing w:line="252" w:lineRule="atLeast"/>
              <w:rPr>
                <w:rFonts w:cs="Arial"/>
                <w:i/>
                <w:color w:val="000000"/>
                <w:sz w:val="16"/>
                <w:szCs w:val="16"/>
              </w:rPr>
            </w:pPr>
          </w:p>
          <w:p w:rsidRPr="00E23886" w:rsidR="00E85946" w:rsidP="0016573E" w:rsidRDefault="00E85946">
            <w:pPr>
              <w:spacing w:line="252" w:lineRule="atLeast"/>
              <w:rPr>
                <w:rFonts w:cs="Arial"/>
                <w:i/>
                <w:color w:val="000000"/>
                <w:sz w:val="16"/>
                <w:szCs w:val="16"/>
              </w:rPr>
            </w:pPr>
            <w:r w:rsidRPr="00E23886">
              <w:rPr>
                <w:rFonts w:cs="Arial"/>
                <w:i/>
                <w:color w:val="000000"/>
                <w:sz w:val="16"/>
                <w:szCs w:val="16"/>
              </w:rPr>
              <w:t>1.700</w:t>
            </w:r>
            <w:r w:rsidRPr="00E85946">
              <w:rPr>
                <w:rFonts w:cs="Arial"/>
                <w:i/>
                <w:color w:val="000000"/>
                <w:sz w:val="16"/>
                <w:szCs w:val="16"/>
                <w:vertAlign w:val="superscript"/>
              </w:rPr>
              <w:t>d</w:t>
            </w:r>
          </w:p>
        </w:tc>
      </w:tr>
      <w:tr w:rsidRPr="00E23886" w:rsidR="00E85946" w:rsidTr="00E85946">
        <w:trPr>
          <w:trHeight w:val="225"/>
        </w:trPr>
        <w:tc>
          <w:tcPr>
            <w:tcW w:w="470" w:type="pct"/>
            <w:gridSpan w:val="2"/>
            <w:tcBorders>
              <w:top w:val="dotted" w:color="auto" w:sz="4" w:space="0"/>
              <w:left w:val="nil"/>
              <w:bottom w:val="dotted" w:color="auto" w:sz="4" w:space="0"/>
              <w:right w:val="nil"/>
            </w:tcBorders>
            <w:shd w:val="clear" w:color="auto" w:fill="auto"/>
            <w:noWrap/>
            <w:vAlign w:val="bottom"/>
          </w:tcPr>
          <w:p w:rsidRPr="00E23886" w:rsidR="00E85946" w:rsidP="0016573E" w:rsidRDefault="00E85946">
            <w:pPr>
              <w:spacing w:line="252" w:lineRule="atLeast"/>
              <w:jc w:val="right"/>
              <w:rPr>
                <w:rFonts w:cs="Arial"/>
                <w:i/>
                <w:color w:val="000000"/>
                <w:sz w:val="16"/>
                <w:szCs w:val="16"/>
              </w:rPr>
            </w:pPr>
            <w:r w:rsidRPr="00E23886">
              <w:rPr>
                <w:rFonts w:cs="Arial"/>
                <w:i/>
                <w:color w:val="000000"/>
                <w:sz w:val="16"/>
                <w:szCs w:val="16"/>
              </w:rPr>
              <w:t>0-4 jaar</w:t>
            </w:r>
          </w:p>
        </w:tc>
        <w:tc>
          <w:tcPr>
            <w:tcW w:w="292" w:type="pct"/>
            <w:tcBorders>
              <w:top w:val="dotted" w:color="auto" w:sz="4" w:space="0"/>
              <w:left w:val="nil"/>
              <w:bottom w:val="dotted" w:color="auto" w:sz="4" w:space="0"/>
              <w:right w:val="nil"/>
            </w:tcBorders>
            <w:shd w:val="clear" w:color="auto" w:fill="auto"/>
            <w:noWrap/>
          </w:tcPr>
          <w:p w:rsidRPr="00E23886" w:rsidR="00E85946" w:rsidP="0016573E" w:rsidRDefault="00025ADF">
            <w:pPr>
              <w:spacing w:line="252" w:lineRule="atLeast"/>
              <w:rPr>
                <w:rFonts w:cs="Arial"/>
                <w:color w:val="000000"/>
                <w:sz w:val="16"/>
                <w:szCs w:val="16"/>
              </w:rPr>
            </w:pPr>
            <w:r>
              <w:rPr>
                <w:rFonts w:cs="Arial"/>
                <w:color w:val="000000"/>
                <w:sz w:val="16"/>
                <w:szCs w:val="16"/>
              </w:rPr>
              <w:t xml:space="preserve">  </w:t>
            </w:r>
            <w:r w:rsidRPr="00E23886" w:rsidR="00E85946">
              <w:rPr>
                <w:rFonts w:cs="Arial"/>
                <w:color w:val="000000"/>
                <w:sz w:val="16"/>
                <w:szCs w:val="16"/>
              </w:rPr>
              <w:t>43.000</w:t>
            </w:r>
          </w:p>
        </w:tc>
        <w:tc>
          <w:tcPr>
            <w:tcW w:w="293" w:type="pct"/>
            <w:gridSpan w:val="2"/>
            <w:tcBorders>
              <w:top w:val="dotted" w:color="auto" w:sz="4" w:space="0"/>
              <w:left w:val="nil"/>
              <w:bottom w:val="dotted" w:color="auto" w:sz="4" w:space="0"/>
              <w:right w:val="nil"/>
            </w:tcBorders>
            <w:shd w:val="clear" w:color="auto" w:fill="auto"/>
            <w:noWrap/>
          </w:tcPr>
          <w:p w:rsidRPr="00E23886" w:rsidR="00E85946" w:rsidP="0016573E" w:rsidRDefault="00E85946">
            <w:pPr>
              <w:spacing w:line="252" w:lineRule="atLeast"/>
              <w:rPr>
                <w:rFonts w:cs="Arial"/>
                <w:color w:val="000000"/>
                <w:sz w:val="16"/>
                <w:szCs w:val="16"/>
              </w:rPr>
            </w:pPr>
          </w:p>
        </w:tc>
        <w:tc>
          <w:tcPr>
            <w:tcW w:w="292" w:type="pct"/>
            <w:gridSpan w:val="2"/>
            <w:tcBorders>
              <w:top w:val="dotted" w:color="auto" w:sz="4" w:space="0"/>
              <w:left w:val="nil"/>
              <w:bottom w:val="dotted" w:color="auto" w:sz="4" w:space="0"/>
              <w:right w:val="nil"/>
            </w:tcBorders>
            <w:shd w:val="clear" w:color="auto" w:fill="auto"/>
            <w:noWrap/>
          </w:tcPr>
          <w:p w:rsidRPr="00E23886" w:rsidR="00E85946" w:rsidP="0016573E" w:rsidRDefault="00025ADF">
            <w:pPr>
              <w:spacing w:line="252" w:lineRule="atLeast"/>
              <w:rPr>
                <w:rFonts w:cs="Arial"/>
                <w:color w:val="000000"/>
                <w:sz w:val="16"/>
                <w:szCs w:val="16"/>
              </w:rPr>
            </w:pPr>
            <w:r>
              <w:rPr>
                <w:rFonts w:cs="Arial"/>
                <w:color w:val="000000"/>
                <w:sz w:val="16"/>
                <w:szCs w:val="16"/>
              </w:rPr>
              <w:t xml:space="preserve">  </w:t>
            </w:r>
            <w:r w:rsidRPr="00E23886" w:rsidR="00E85946">
              <w:rPr>
                <w:rFonts w:cs="Arial"/>
                <w:color w:val="000000"/>
                <w:sz w:val="16"/>
                <w:szCs w:val="16"/>
              </w:rPr>
              <w:t>7.200</w:t>
            </w:r>
            <w:r w:rsidRPr="00E23886" w:rsidR="00E85946">
              <w:rPr>
                <w:rFonts w:cs="Arial"/>
                <w:color w:val="000000"/>
                <w:sz w:val="16"/>
                <w:szCs w:val="16"/>
                <w:vertAlign w:val="superscript"/>
              </w:rPr>
              <w:t>f</w:t>
            </w:r>
          </w:p>
        </w:tc>
        <w:tc>
          <w:tcPr>
            <w:tcW w:w="293" w:type="pct"/>
            <w:gridSpan w:val="2"/>
            <w:tcBorders>
              <w:top w:val="dotted" w:color="auto" w:sz="4" w:space="0"/>
              <w:left w:val="nil"/>
              <w:bottom w:val="dotted" w:color="auto" w:sz="4" w:space="0"/>
              <w:right w:val="nil"/>
            </w:tcBorders>
            <w:shd w:val="clear" w:color="auto" w:fill="auto"/>
            <w:noWrap/>
          </w:tcPr>
          <w:p w:rsidRPr="00E23886" w:rsidR="00E85946" w:rsidP="0016573E" w:rsidRDefault="00E85946">
            <w:pPr>
              <w:spacing w:line="252" w:lineRule="atLeast"/>
              <w:rPr>
                <w:rFonts w:cs="Arial"/>
                <w:color w:val="000000"/>
                <w:sz w:val="16"/>
                <w:szCs w:val="16"/>
              </w:rPr>
            </w:pPr>
          </w:p>
        </w:tc>
        <w:tc>
          <w:tcPr>
            <w:tcW w:w="293" w:type="pct"/>
            <w:tcBorders>
              <w:top w:val="dotted" w:color="auto" w:sz="4" w:space="0"/>
              <w:left w:val="nil"/>
              <w:bottom w:val="dotted" w:color="auto" w:sz="4" w:space="0"/>
              <w:right w:val="nil"/>
            </w:tcBorders>
          </w:tcPr>
          <w:p w:rsidRPr="00E23886" w:rsidR="00E85946" w:rsidP="0016573E" w:rsidRDefault="00025ADF">
            <w:pPr>
              <w:spacing w:line="252" w:lineRule="atLeast"/>
              <w:rPr>
                <w:rFonts w:cs="Arial"/>
                <w:color w:val="000000"/>
                <w:sz w:val="16"/>
                <w:szCs w:val="16"/>
              </w:rPr>
            </w:pPr>
            <w:r>
              <w:rPr>
                <w:rFonts w:cs="Arial"/>
                <w:color w:val="000000"/>
                <w:sz w:val="16"/>
                <w:szCs w:val="16"/>
              </w:rPr>
              <w:t xml:space="preserve">     </w:t>
            </w:r>
            <w:r w:rsidRPr="00E23886" w:rsidR="00E85946">
              <w:rPr>
                <w:rFonts w:cs="Arial"/>
                <w:color w:val="000000"/>
                <w:sz w:val="16"/>
                <w:szCs w:val="16"/>
              </w:rPr>
              <w:t>26</w:t>
            </w:r>
          </w:p>
        </w:tc>
        <w:tc>
          <w:tcPr>
            <w:tcW w:w="292" w:type="pct"/>
            <w:gridSpan w:val="2"/>
            <w:tcBorders>
              <w:top w:val="dotted" w:color="auto" w:sz="4" w:space="0"/>
              <w:left w:val="nil"/>
              <w:bottom w:val="dotted" w:color="auto" w:sz="4" w:space="0"/>
              <w:right w:val="nil"/>
            </w:tcBorders>
          </w:tcPr>
          <w:p w:rsidRPr="00E23886" w:rsidR="00E85946" w:rsidP="0016573E" w:rsidRDefault="00E85946">
            <w:pPr>
              <w:spacing w:line="252" w:lineRule="atLeast"/>
              <w:rPr>
                <w:rFonts w:cs="Arial"/>
                <w:i/>
                <w:color w:val="000000"/>
                <w:sz w:val="16"/>
                <w:szCs w:val="16"/>
              </w:rPr>
            </w:pPr>
          </w:p>
        </w:tc>
        <w:tc>
          <w:tcPr>
            <w:tcW w:w="293" w:type="pct"/>
            <w:gridSpan w:val="2"/>
            <w:tcBorders>
              <w:top w:val="dotted" w:color="auto" w:sz="4" w:space="0"/>
              <w:left w:val="nil"/>
              <w:bottom w:val="dotted" w:color="auto" w:sz="4" w:space="0"/>
              <w:right w:val="nil"/>
            </w:tcBorders>
            <w:shd w:val="clear" w:color="auto" w:fill="auto"/>
            <w:noWrap/>
          </w:tcPr>
          <w:p w:rsidRPr="00E23886" w:rsidR="00E85946" w:rsidP="0016573E" w:rsidRDefault="00E85946">
            <w:pPr>
              <w:spacing w:line="252" w:lineRule="atLeast"/>
              <w:rPr>
                <w:rFonts w:cs="Arial"/>
                <w:color w:val="000000"/>
                <w:sz w:val="16"/>
                <w:szCs w:val="16"/>
              </w:rPr>
            </w:pPr>
          </w:p>
        </w:tc>
        <w:tc>
          <w:tcPr>
            <w:tcW w:w="293" w:type="pct"/>
            <w:tcBorders>
              <w:top w:val="dotted" w:color="auto" w:sz="4" w:space="0"/>
              <w:left w:val="nil"/>
              <w:bottom w:val="dotted" w:color="auto" w:sz="4" w:space="0"/>
              <w:right w:val="nil"/>
            </w:tcBorders>
            <w:shd w:val="clear" w:color="auto" w:fill="auto"/>
            <w:noWrap/>
          </w:tcPr>
          <w:p w:rsidRPr="00E23886" w:rsidR="00E85946" w:rsidP="0016573E" w:rsidRDefault="00E85946">
            <w:pPr>
              <w:spacing w:line="252" w:lineRule="atLeast"/>
              <w:rPr>
                <w:rFonts w:cs="Arial"/>
                <w:i/>
                <w:color w:val="000000"/>
                <w:sz w:val="16"/>
                <w:szCs w:val="16"/>
              </w:rPr>
            </w:pPr>
          </w:p>
        </w:tc>
        <w:tc>
          <w:tcPr>
            <w:tcW w:w="298" w:type="pct"/>
            <w:gridSpan w:val="2"/>
            <w:tcBorders>
              <w:top w:val="dotted" w:color="auto" w:sz="4" w:space="0"/>
              <w:left w:val="nil"/>
              <w:bottom w:val="dotted" w:color="auto" w:sz="4" w:space="0"/>
              <w:right w:val="nil"/>
            </w:tcBorders>
          </w:tcPr>
          <w:p w:rsidRPr="00E23886" w:rsidR="00E85946" w:rsidP="0016573E" w:rsidRDefault="00E85946">
            <w:pPr>
              <w:spacing w:line="252" w:lineRule="atLeast"/>
              <w:rPr>
                <w:rFonts w:cs="Arial"/>
                <w:color w:val="000000"/>
                <w:sz w:val="16"/>
                <w:szCs w:val="16"/>
              </w:rPr>
            </w:pPr>
          </w:p>
        </w:tc>
        <w:tc>
          <w:tcPr>
            <w:tcW w:w="315" w:type="pct"/>
            <w:tcBorders>
              <w:top w:val="dotted" w:color="auto" w:sz="4" w:space="0"/>
              <w:left w:val="nil"/>
              <w:bottom w:val="dotted" w:color="auto" w:sz="4" w:space="0"/>
              <w:right w:val="nil"/>
            </w:tcBorders>
            <w:shd w:val="clear" w:color="auto" w:fill="auto"/>
            <w:noWrap/>
          </w:tcPr>
          <w:p w:rsidRPr="00E23886" w:rsidR="00E85946" w:rsidP="0016573E" w:rsidRDefault="00E85946">
            <w:pPr>
              <w:spacing w:line="252" w:lineRule="atLeast"/>
              <w:rPr>
                <w:rFonts w:cs="Arial"/>
                <w:color w:val="000000"/>
                <w:sz w:val="16"/>
                <w:szCs w:val="16"/>
              </w:rPr>
            </w:pPr>
          </w:p>
        </w:tc>
        <w:tc>
          <w:tcPr>
            <w:tcW w:w="315" w:type="pct"/>
            <w:gridSpan w:val="2"/>
            <w:tcBorders>
              <w:top w:val="dotted" w:color="auto" w:sz="4" w:space="0"/>
              <w:left w:val="nil"/>
              <w:bottom w:val="dotted" w:color="auto" w:sz="4" w:space="0"/>
              <w:right w:val="nil"/>
            </w:tcBorders>
            <w:shd w:val="clear" w:color="auto" w:fill="auto"/>
            <w:noWrap/>
          </w:tcPr>
          <w:p w:rsidRPr="00E23886" w:rsidR="00E85946" w:rsidP="0016573E" w:rsidRDefault="00E85946">
            <w:pPr>
              <w:spacing w:line="252" w:lineRule="atLeast"/>
              <w:rPr>
                <w:rFonts w:cs="Arial"/>
                <w:i/>
                <w:color w:val="000000"/>
                <w:sz w:val="16"/>
                <w:szCs w:val="16"/>
              </w:rPr>
            </w:pPr>
          </w:p>
        </w:tc>
        <w:tc>
          <w:tcPr>
            <w:tcW w:w="315" w:type="pct"/>
            <w:tcBorders>
              <w:top w:val="dotted" w:color="auto" w:sz="4" w:space="0"/>
              <w:left w:val="nil"/>
              <w:bottom w:val="dotted" w:color="auto" w:sz="4" w:space="0"/>
              <w:right w:val="nil"/>
            </w:tcBorders>
          </w:tcPr>
          <w:p w:rsidRPr="00E23886" w:rsidR="00E85946" w:rsidP="0016573E" w:rsidRDefault="00E85946">
            <w:pPr>
              <w:spacing w:line="252" w:lineRule="atLeast"/>
              <w:rPr>
                <w:rFonts w:cs="Arial"/>
                <w:color w:val="000000"/>
                <w:sz w:val="16"/>
                <w:szCs w:val="16"/>
              </w:rPr>
            </w:pPr>
          </w:p>
        </w:tc>
        <w:tc>
          <w:tcPr>
            <w:tcW w:w="315" w:type="pct"/>
            <w:gridSpan w:val="2"/>
            <w:tcBorders>
              <w:top w:val="dotted" w:color="auto" w:sz="4" w:space="0"/>
              <w:left w:val="nil"/>
              <w:bottom w:val="dotted" w:color="auto" w:sz="4" w:space="0"/>
              <w:right w:val="nil"/>
            </w:tcBorders>
          </w:tcPr>
          <w:p w:rsidRPr="00E23886" w:rsidR="00E85946" w:rsidP="0016573E" w:rsidRDefault="00E85946">
            <w:pPr>
              <w:spacing w:line="252" w:lineRule="atLeast"/>
              <w:rPr>
                <w:rFonts w:cs="Arial"/>
                <w:i/>
                <w:color w:val="000000"/>
                <w:sz w:val="16"/>
                <w:szCs w:val="16"/>
              </w:rPr>
            </w:pPr>
          </w:p>
        </w:tc>
        <w:tc>
          <w:tcPr>
            <w:tcW w:w="315" w:type="pct"/>
            <w:tcBorders>
              <w:top w:val="dotted" w:color="auto" w:sz="4" w:space="0"/>
              <w:left w:val="nil"/>
              <w:bottom w:val="dotted" w:color="auto" w:sz="4" w:space="0"/>
              <w:right w:val="nil"/>
            </w:tcBorders>
          </w:tcPr>
          <w:p w:rsidRPr="00E23886" w:rsidR="00E85946" w:rsidP="0016573E" w:rsidRDefault="00E85946">
            <w:pPr>
              <w:spacing w:line="252" w:lineRule="atLeast"/>
              <w:rPr>
                <w:rFonts w:cs="Arial"/>
                <w:color w:val="000000"/>
                <w:sz w:val="16"/>
                <w:szCs w:val="16"/>
              </w:rPr>
            </w:pPr>
          </w:p>
        </w:tc>
        <w:tc>
          <w:tcPr>
            <w:tcW w:w="316" w:type="pct"/>
            <w:tcBorders>
              <w:top w:val="dotted" w:color="auto" w:sz="4" w:space="0"/>
              <w:left w:val="nil"/>
              <w:bottom w:val="dotted" w:color="auto" w:sz="4" w:space="0"/>
              <w:right w:val="nil"/>
            </w:tcBorders>
          </w:tcPr>
          <w:p w:rsidRPr="00E23886" w:rsidR="00E85946" w:rsidP="0016573E" w:rsidRDefault="00E85946">
            <w:pPr>
              <w:spacing w:line="252" w:lineRule="atLeast"/>
              <w:rPr>
                <w:rFonts w:cs="Arial"/>
                <w:i/>
                <w:color w:val="000000"/>
                <w:sz w:val="16"/>
                <w:szCs w:val="16"/>
              </w:rPr>
            </w:pPr>
          </w:p>
        </w:tc>
      </w:tr>
      <w:tr w:rsidRPr="00E23886" w:rsidR="00E85946" w:rsidTr="007C641F">
        <w:trPr>
          <w:trHeight w:val="225"/>
        </w:trPr>
        <w:tc>
          <w:tcPr>
            <w:tcW w:w="470" w:type="pct"/>
            <w:gridSpan w:val="2"/>
            <w:tcBorders>
              <w:top w:val="dotted" w:color="auto" w:sz="4" w:space="0"/>
              <w:left w:val="nil"/>
              <w:bottom w:val="dashed" w:color="auto" w:sz="4" w:space="0"/>
              <w:right w:val="nil"/>
            </w:tcBorders>
            <w:shd w:val="clear" w:color="auto" w:fill="auto"/>
            <w:noWrap/>
            <w:vAlign w:val="bottom"/>
          </w:tcPr>
          <w:p w:rsidRPr="00E23886" w:rsidR="00E85946" w:rsidP="0016573E" w:rsidRDefault="00E85946">
            <w:pPr>
              <w:spacing w:line="252" w:lineRule="atLeast"/>
              <w:jc w:val="right"/>
              <w:rPr>
                <w:rFonts w:cs="Arial"/>
                <w:i/>
                <w:color w:val="000000"/>
                <w:sz w:val="16"/>
                <w:szCs w:val="16"/>
              </w:rPr>
            </w:pPr>
            <w:r w:rsidRPr="00E23886">
              <w:rPr>
                <w:rFonts w:cs="Arial"/>
                <w:i/>
                <w:color w:val="000000"/>
                <w:sz w:val="16"/>
                <w:szCs w:val="16"/>
              </w:rPr>
              <w:t>Valongevallen 65 jr en ouder</w:t>
            </w:r>
          </w:p>
        </w:tc>
        <w:tc>
          <w:tcPr>
            <w:tcW w:w="292" w:type="pct"/>
            <w:tcBorders>
              <w:top w:val="dotted" w:color="auto" w:sz="4" w:space="0"/>
              <w:left w:val="nil"/>
              <w:bottom w:val="dashed" w:color="auto" w:sz="4" w:space="0"/>
              <w:right w:val="nil"/>
            </w:tcBorders>
            <w:shd w:val="clear" w:color="auto" w:fill="auto"/>
            <w:noWrap/>
          </w:tcPr>
          <w:p w:rsidRPr="00E23886" w:rsidR="00E85946" w:rsidP="0016573E" w:rsidRDefault="00025ADF">
            <w:pPr>
              <w:spacing w:line="252" w:lineRule="atLeast"/>
              <w:rPr>
                <w:rFonts w:cs="Arial"/>
                <w:color w:val="000000"/>
                <w:sz w:val="16"/>
                <w:szCs w:val="16"/>
              </w:rPr>
            </w:pPr>
            <w:r>
              <w:rPr>
                <w:rFonts w:cs="Arial"/>
                <w:color w:val="000000"/>
                <w:sz w:val="16"/>
                <w:szCs w:val="16"/>
              </w:rPr>
              <w:t xml:space="preserve">  </w:t>
            </w:r>
            <w:r w:rsidRPr="00E23886" w:rsidR="00E85946">
              <w:rPr>
                <w:rFonts w:cs="Arial"/>
                <w:color w:val="000000"/>
                <w:sz w:val="16"/>
                <w:szCs w:val="16"/>
              </w:rPr>
              <w:t>43.000</w:t>
            </w:r>
          </w:p>
        </w:tc>
        <w:tc>
          <w:tcPr>
            <w:tcW w:w="293" w:type="pct"/>
            <w:gridSpan w:val="2"/>
            <w:tcBorders>
              <w:top w:val="dotted" w:color="auto" w:sz="4" w:space="0"/>
              <w:left w:val="nil"/>
              <w:bottom w:val="dashed" w:color="auto" w:sz="4" w:space="0"/>
              <w:right w:val="nil"/>
            </w:tcBorders>
            <w:shd w:val="clear" w:color="auto" w:fill="auto"/>
            <w:noWrap/>
          </w:tcPr>
          <w:p w:rsidRPr="00E23886" w:rsidR="00E85946" w:rsidP="0016573E" w:rsidRDefault="00E85946">
            <w:pPr>
              <w:spacing w:line="252" w:lineRule="atLeast"/>
              <w:rPr>
                <w:rFonts w:cs="Arial"/>
                <w:color w:val="000000"/>
                <w:sz w:val="16"/>
                <w:szCs w:val="16"/>
              </w:rPr>
            </w:pPr>
          </w:p>
        </w:tc>
        <w:tc>
          <w:tcPr>
            <w:tcW w:w="292" w:type="pct"/>
            <w:gridSpan w:val="2"/>
            <w:tcBorders>
              <w:top w:val="dotted" w:color="auto" w:sz="4" w:space="0"/>
              <w:left w:val="nil"/>
              <w:bottom w:val="dashed" w:color="auto" w:sz="4" w:space="0"/>
              <w:right w:val="nil"/>
            </w:tcBorders>
            <w:shd w:val="clear" w:color="auto" w:fill="auto"/>
            <w:noWrap/>
          </w:tcPr>
          <w:p w:rsidRPr="00E23886" w:rsidR="00E85946" w:rsidP="0016573E" w:rsidRDefault="00E85946">
            <w:pPr>
              <w:spacing w:line="252" w:lineRule="atLeast"/>
              <w:rPr>
                <w:rFonts w:cs="Arial"/>
                <w:color w:val="000000"/>
                <w:sz w:val="16"/>
                <w:szCs w:val="16"/>
              </w:rPr>
            </w:pPr>
            <w:r w:rsidRPr="00E23886">
              <w:rPr>
                <w:rFonts w:cs="Arial"/>
                <w:color w:val="000000"/>
                <w:sz w:val="16"/>
                <w:szCs w:val="16"/>
              </w:rPr>
              <w:t>38.000</w:t>
            </w:r>
            <w:r w:rsidRPr="00E23886">
              <w:rPr>
                <w:rFonts w:cs="Arial"/>
                <w:color w:val="000000"/>
                <w:sz w:val="16"/>
                <w:szCs w:val="16"/>
                <w:vertAlign w:val="superscript"/>
              </w:rPr>
              <w:t>f</w:t>
            </w:r>
          </w:p>
        </w:tc>
        <w:tc>
          <w:tcPr>
            <w:tcW w:w="293" w:type="pct"/>
            <w:gridSpan w:val="2"/>
            <w:tcBorders>
              <w:top w:val="dotted" w:color="auto" w:sz="4" w:space="0"/>
              <w:left w:val="nil"/>
              <w:bottom w:val="dashed" w:color="auto" w:sz="4" w:space="0"/>
              <w:right w:val="nil"/>
            </w:tcBorders>
            <w:shd w:val="clear" w:color="auto" w:fill="auto"/>
            <w:noWrap/>
          </w:tcPr>
          <w:p w:rsidRPr="00E23886" w:rsidR="00E85946" w:rsidP="0016573E" w:rsidRDefault="00E85946">
            <w:pPr>
              <w:spacing w:line="252" w:lineRule="atLeast"/>
              <w:rPr>
                <w:rFonts w:cs="Arial"/>
                <w:color w:val="000000"/>
                <w:sz w:val="16"/>
                <w:szCs w:val="16"/>
              </w:rPr>
            </w:pPr>
          </w:p>
        </w:tc>
        <w:tc>
          <w:tcPr>
            <w:tcW w:w="293" w:type="pct"/>
            <w:tcBorders>
              <w:top w:val="dotted" w:color="auto" w:sz="4" w:space="0"/>
              <w:left w:val="nil"/>
              <w:bottom w:val="dashed" w:color="auto" w:sz="4" w:space="0"/>
              <w:right w:val="nil"/>
            </w:tcBorders>
          </w:tcPr>
          <w:p w:rsidRPr="00E23886" w:rsidR="00E85946" w:rsidP="0016573E" w:rsidRDefault="00E85946">
            <w:pPr>
              <w:spacing w:line="252" w:lineRule="atLeast"/>
              <w:rPr>
                <w:rFonts w:cs="Arial"/>
                <w:color w:val="000000"/>
                <w:sz w:val="16"/>
                <w:szCs w:val="16"/>
              </w:rPr>
            </w:pPr>
            <w:r w:rsidRPr="00E23886">
              <w:rPr>
                <w:rFonts w:cs="Arial"/>
                <w:color w:val="000000"/>
                <w:sz w:val="16"/>
                <w:szCs w:val="16"/>
              </w:rPr>
              <w:t>2.000</w:t>
            </w:r>
          </w:p>
        </w:tc>
        <w:tc>
          <w:tcPr>
            <w:tcW w:w="292" w:type="pct"/>
            <w:gridSpan w:val="2"/>
            <w:tcBorders>
              <w:top w:val="dotted" w:color="auto" w:sz="4" w:space="0"/>
              <w:left w:val="nil"/>
              <w:bottom w:val="dashed" w:color="auto" w:sz="4" w:space="0"/>
              <w:right w:val="nil"/>
            </w:tcBorders>
          </w:tcPr>
          <w:p w:rsidRPr="00E23886" w:rsidR="00E85946" w:rsidP="0016573E" w:rsidRDefault="00E85946">
            <w:pPr>
              <w:spacing w:line="252" w:lineRule="atLeast"/>
              <w:rPr>
                <w:rFonts w:cs="Arial"/>
                <w:i/>
                <w:color w:val="000000"/>
                <w:sz w:val="16"/>
                <w:szCs w:val="16"/>
              </w:rPr>
            </w:pPr>
          </w:p>
        </w:tc>
        <w:tc>
          <w:tcPr>
            <w:tcW w:w="293" w:type="pct"/>
            <w:gridSpan w:val="2"/>
            <w:tcBorders>
              <w:top w:val="dotted" w:color="auto" w:sz="4" w:space="0"/>
              <w:left w:val="nil"/>
              <w:bottom w:val="dashed" w:color="auto" w:sz="4" w:space="0"/>
              <w:right w:val="nil"/>
            </w:tcBorders>
            <w:shd w:val="clear" w:color="auto" w:fill="auto"/>
            <w:noWrap/>
          </w:tcPr>
          <w:p w:rsidRPr="00E23886" w:rsidR="00E85946" w:rsidP="0016573E" w:rsidRDefault="00E85946">
            <w:pPr>
              <w:spacing w:line="252" w:lineRule="atLeast"/>
              <w:rPr>
                <w:rFonts w:cs="Arial"/>
                <w:color w:val="000000"/>
                <w:sz w:val="16"/>
                <w:szCs w:val="16"/>
              </w:rPr>
            </w:pPr>
          </w:p>
        </w:tc>
        <w:tc>
          <w:tcPr>
            <w:tcW w:w="293" w:type="pct"/>
            <w:tcBorders>
              <w:top w:val="dotted" w:color="auto" w:sz="4" w:space="0"/>
              <w:left w:val="nil"/>
              <w:bottom w:val="dashed" w:color="auto" w:sz="4" w:space="0"/>
              <w:right w:val="nil"/>
            </w:tcBorders>
            <w:shd w:val="clear" w:color="auto" w:fill="auto"/>
            <w:noWrap/>
          </w:tcPr>
          <w:p w:rsidRPr="00E23886" w:rsidR="00E85946" w:rsidP="0016573E" w:rsidRDefault="00E85946">
            <w:pPr>
              <w:spacing w:line="252" w:lineRule="atLeast"/>
              <w:rPr>
                <w:rFonts w:cs="Arial"/>
                <w:i/>
                <w:color w:val="000000"/>
                <w:sz w:val="16"/>
                <w:szCs w:val="16"/>
              </w:rPr>
            </w:pPr>
          </w:p>
        </w:tc>
        <w:tc>
          <w:tcPr>
            <w:tcW w:w="298" w:type="pct"/>
            <w:gridSpan w:val="2"/>
            <w:tcBorders>
              <w:top w:val="dotted" w:color="auto" w:sz="4" w:space="0"/>
              <w:left w:val="nil"/>
              <w:bottom w:val="dashed" w:color="auto" w:sz="4" w:space="0"/>
              <w:right w:val="nil"/>
            </w:tcBorders>
          </w:tcPr>
          <w:p w:rsidRPr="00E23886" w:rsidR="00E85946" w:rsidP="0016573E" w:rsidRDefault="00E85946">
            <w:pPr>
              <w:spacing w:line="252" w:lineRule="atLeast"/>
              <w:rPr>
                <w:rFonts w:cs="Arial"/>
                <w:color w:val="000000"/>
                <w:sz w:val="16"/>
                <w:szCs w:val="16"/>
              </w:rPr>
            </w:pPr>
          </w:p>
        </w:tc>
        <w:tc>
          <w:tcPr>
            <w:tcW w:w="315" w:type="pct"/>
            <w:tcBorders>
              <w:top w:val="dotted" w:color="auto" w:sz="4" w:space="0"/>
              <w:left w:val="nil"/>
              <w:bottom w:val="dashed" w:color="auto" w:sz="4" w:space="0"/>
              <w:right w:val="nil"/>
            </w:tcBorders>
            <w:shd w:val="clear" w:color="auto" w:fill="auto"/>
            <w:noWrap/>
          </w:tcPr>
          <w:p w:rsidRPr="00E23886" w:rsidR="00E85946" w:rsidP="0016573E" w:rsidRDefault="00E85946">
            <w:pPr>
              <w:spacing w:line="252" w:lineRule="atLeast"/>
              <w:rPr>
                <w:rFonts w:cs="Arial"/>
                <w:color w:val="000000"/>
                <w:sz w:val="16"/>
                <w:szCs w:val="16"/>
              </w:rPr>
            </w:pPr>
          </w:p>
        </w:tc>
        <w:tc>
          <w:tcPr>
            <w:tcW w:w="315" w:type="pct"/>
            <w:gridSpan w:val="2"/>
            <w:tcBorders>
              <w:top w:val="dotted" w:color="auto" w:sz="4" w:space="0"/>
              <w:left w:val="nil"/>
              <w:bottom w:val="dashed" w:color="auto" w:sz="4" w:space="0"/>
              <w:right w:val="nil"/>
            </w:tcBorders>
            <w:shd w:val="clear" w:color="auto" w:fill="auto"/>
            <w:noWrap/>
          </w:tcPr>
          <w:p w:rsidRPr="00E23886" w:rsidR="00E85946" w:rsidP="0016573E" w:rsidRDefault="00E85946">
            <w:pPr>
              <w:spacing w:line="252" w:lineRule="atLeast"/>
              <w:rPr>
                <w:rFonts w:cs="Arial"/>
                <w:i/>
                <w:color w:val="000000"/>
                <w:sz w:val="16"/>
                <w:szCs w:val="16"/>
              </w:rPr>
            </w:pPr>
          </w:p>
        </w:tc>
        <w:tc>
          <w:tcPr>
            <w:tcW w:w="315" w:type="pct"/>
            <w:tcBorders>
              <w:top w:val="dotted" w:color="auto" w:sz="4" w:space="0"/>
              <w:left w:val="nil"/>
              <w:bottom w:val="dashed" w:color="auto" w:sz="4" w:space="0"/>
              <w:right w:val="nil"/>
            </w:tcBorders>
          </w:tcPr>
          <w:p w:rsidRPr="00E23886" w:rsidR="00E85946" w:rsidP="0016573E" w:rsidRDefault="00E85946">
            <w:pPr>
              <w:spacing w:line="252" w:lineRule="atLeast"/>
              <w:rPr>
                <w:rFonts w:cs="Arial"/>
                <w:color w:val="000000"/>
                <w:sz w:val="16"/>
                <w:szCs w:val="16"/>
              </w:rPr>
            </w:pPr>
          </w:p>
        </w:tc>
        <w:tc>
          <w:tcPr>
            <w:tcW w:w="315" w:type="pct"/>
            <w:gridSpan w:val="2"/>
            <w:tcBorders>
              <w:top w:val="dotted" w:color="auto" w:sz="4" w:space="0"/>
              <w:left w:val="nil"/>
              <w:bottom w:val="dashed" w:color="auto" w:sz="4" w:space="0"/>
              <w:right w:val="nil"/>
            </w:tcBorders>
          </w:tcPr>
          <w:p w:rsidRPr="00E23886" w:rsidR="00E85946" w:rsidP="0016573E" w:rsidRDefault="00E85946">
            <w:pPr>
              <w:spacing w:line="252" w:lineRule="atLeast"/>
              <w:rPr>
                <w:rFonts w:cs="Arial"/>
                <w:i/>
                <w:color w:val="000000"/>
                <w:sz w:val="16"/>
                <w:szCs w:val="16"/>
              </w:rPr>
            </w:pPr>
          </w:p>
        </w:tc>
        <w:tc>
          <w:tcPr>
            <w:tcW w:w="315" w:type="pct"/>
            <w:tcBorders>
              <w:top w:val="dotted" w:color="auto" w:sz="4" w:space="0"/>
              <w:left w:val="nil"/>
              <w:bottom w:val="dashed" w:color="auto" w:sz="4" w:space="0"/>
              <w:right w:val="nil"/>
            </w:tcBorders>
          </w:tcPr>
          <w:p w:rsidRPr="00E23886" w:rsidR="00E85946" w:rsidP="0016573E" w:rsidRDefault="00E85946">
            <w:pPr>
              <w:spacing w:line="252" w:lineRule="atLeast"/>
              <w:rPr>
                <w:rFonts w:cs="Arial"/>
                <w:color w:val="000000"/>
                <w:sz w:val="16"/>
                <w:szCs w:val="16"/>
              </w:rPr>
            </w:pPr>
          </w:p>
        </w:tc>
        <w:tc>
          <w:tcPr>
            <w:tcW w:w="316" w:type="pct"/>
            <w:tcBorders>
              <w:top w:val="dotted" w:color="auto" w:sz="4" w:space="0"/>
              <w:left w:val="nil"/>
              <w:bottom w:val="dashed" w:color="auto" w:sz="4" w:space="0"/>
              <w:right w:val="nil"/>
            </w:tcBorders>
          </w:tcPr>
          <w:p w:rsidRPr="00E23886" w:rsidR="00E85946" w:rsidP="0016573E" w:rsidRDefault="00E85946">
            <w:pPr>
              <w:spacing w:line="252" w:lineRule="atLeast"/>
              <w:rPr>
                <w:rFonts w:cs="Arial"/>
                <w:i/>
                <w:color w:val="000000"/>
                <w:sz w:val="16"/>
                <w:szCs w:val="16"/>
              </w:rPr>
            </w:pPr>
          </w:p>
        </w:tc>
      </w:tr>
      <w:tr w:rsidRPr="00E23886" w:rsidR="00E85946" w:rsidTr="007C641F">
        <w:trPr>
          <w:trHeight w:val="225"/>
        </w:trPr>
        <w:tc>
          <w:tcPr>
            <w:tcW w:w="470" w:type="pct"/>
            <w:gridSpan w:val="2"/>
            <w:tcBorders>
              <w:top w:val="dashed" w:color="auto" w:sz="4" w:space="0"/>
              <w:left w:val="nil"/>
              <w:bottom w:val="dashed" w:color="auto" w:sz="4" w:space="0"/>
              <w:right w:val="nil"/>
            </w:tcBorders>
            <w:shd w:val="clear" w:color="auto" w:fill="auto"/>
            <w:noWrap/>
            <w:hideMark/>
          </w:tcPr>
          <w:p w:rsidRPr="00E23886" w:rsidR="00E85946" w:rsidP="0016573E" w:rsidRDefault="00E85946">
            <w:pPr>
              <w:spacing w:line="252" w:lineRule="atLeast"/>
              <w:rPr>
                <w:rFonts w:cs="Arial"/>
                <w:color w:val="000000"/>
                <w:sz w:val="16"/>
                <w:szCs w:val="16"/>
              </w:rPr>
            </w:pPr>
            <w:r w:rsidRPr="00E23886">
              <w:rPr>
                <w:rFonts w:cs="Arial"/>
                <w:color w:val="000000"/>
                <w:sz w:val="16"/>
                <w:szCs w:val="16"/>
              </w:rPr>
              <w:t>Verkeers-</w:t>
            </w:r>
          </w:p>
          <w:p w:rsidRPr="00E23886" w:rsidR="00E85946" w:rsidP="0016573E" w:rsidRDefault="00E85946">
            <w:pPr>
              <w:spacing w:line="252" w:lineRule="atLeast"/>
              <w:rPr>
                <w:rFonts w:cs="Arial"/>
                <w:color w:val="000000"/>
                <w:sz w:val="16"/>
                <w:szCs w:val="16"/>
              </w:rPr>
            </w:pPr>
            <w:r w:rsidRPr="00E23886">
              <w:rPr>
                <w:rFonts w:cs="Arial"/>
                <w:color w:val="000000"/>
                <w:sz w:val="16"/>
                <w:szCs w:val="16"/>
              </w:rPr>
              <w:t>ongevallen</w:t>
            </w:r>
          </w:p>
        </w:tc>
        <w:tc>
          <w:tcPr>
            <w:tcW w:w="292" w:type="pct"/>
            <w:tcBorders>
              <w:top w:val="dashed" w:color="auto" w:sz="4" w:space="0"/>
              <w:left w:val="nil"/>
              <w:bottom w:val="dashed" w:color="auto" w:sz="4" w:space="0"/>
              <w:right w:val="nil"/>
            </w:tcBorders>
            <w:shd w:val="clear" w:color="auto" w:fill="auto"/>
            <w:noWrap/>
            <w:hideMark/>
          </w:tcPr>
          <w:p w:rsidRPr="00E23886" w:rsidR="00E85946" w:rsidP="0016573E" w:rsidRDefault="00E85946">
            <w:pPr>
              <w:spacing w:line="252" w:lineRule="atLeast"/>
              <w:rPr>
                <w:rFonts w:cs="Arial"/>
                <w:color w:val="000000"/>
                <w:sz w:val="16"/>
                <w:szCs w:val="16"/>
              </w:rPr>
            </w:pPr>
            <w:r w:rsidRPr="00E23886">
              <w:rPr>
                <w:rFonts w:cs="Arial"/>
                <w:color w:val="000000"/>
                <w:sz w:val="16"/>
                <w:szCs w:val="16"/>
              </w:rPr>
              <w:t>130.000</w:t>
            </w:r>
          </w:p>
        </w:tc>
        <w:tc>
          <w:tcPr>
            <w:tcW w:w="293" w:type="pct"/>
            <w:gridSpan w:val="2"/>
            <w:tcBorders>
              <w:top w:val="dashed" w:color="auto" w:sz="4" w:space="0"/>
              <w:left w:val="nil"/>
              <w:bottom w:val="dashed" w:color="auto" w:sz="4" w:space="0"/>
              <w:right w:val="nil"/>
            </w:tcBorders>
            <w:shd w:val="clear" w:color="auto" w:fill="auto"/>
            <w:noWrap/>
          </w:tcPr>
          <w:p w:rsidRPr="00E23886" w:rsidR="00E85946" w:rsidP="0016573E" w:rsidRDefault="00E85946">
            <w:pPr>
              <w:spacing w:line="252" w:lineRule="atLeast"/>
              <w:rPr>
                <w:rFonts w:cs="Arial"/>
                <w:i/>
                <w:color w:val="000000"/>
                <w:sz w:val="16"/>
                <w:szCs w:val="16"/>
              </w:rPr>
            </w:pPr>
            <w:r w:rsidRPr="00E23886">
              <w:rPr>
                <w:rFonts w:cs="Arial"/>
                <w:i/>
                <w:color w:val="000000"/>
                <w:sz w:val="16"/>
                <w:szCs w:val="16"/>
              </w:rPr>
              <w:t>130.000</w:t>
            </w:r>
          </w:p>
        </w:tc>
        <w:tc>
          <w:tcPr>
            <w:tcW w:w="292" w:type="pct"/>
            <w:gridSpan w:val="2"/>
            <w:tcBorders>
              <w:top w:val="dashed" w:color="auto" w:sz="4" w:space="0"/>
              <w:left w:val="nil"/>
              <w:bottom w:val="dashed" w:color="auto" w:sz="4" w:space="0"/>
              <w:right w:val="nil"/>
            </w:tcBorders>
            <w:shd w:val="clear" w:color="auto" w:fill="auto"/>
            <w:noWrap/>
          </w:tcPr>
          <w:p w:rsidRPr="00E23886" w:rsidR="00E85946" w:rsidP="0016573E" w:rsidRDefault="00E85946">
            <w:pPr>
              <w:spacing w:line="252" w:lineRule="atLeast"/>
              <w:rPr>
                <w:rFonts w:cs="Arial"/>
                <w:color w:val="000000"/>
                <w:sz w:val="16"/>
                <w:szCs w:val="16"/>
              </w:rPr>
            </w:pPr>
            <w:r w:rsidRPr="00E23886">
              <w:rPr>
                <w:rFonts w:cs="Arial"/>
                <w:color w:val="000000"/>
                <w:sz w:val="16"/>
                <w:szCs w:val="16"/>
              </w:rPr>
              <w:t>27.000</w:t>
            </w:r>
          </w:p>
        </w:tc>
        <w:tc>
          <w:tcPr>
            <w:tcW w:w="293" w:type="pct"/>
            <w:gridSpan w:val="2"/>
            <w:tcBorders>
              <w:top w:val="dashed" w:color="auto" w:sz="4" w:space="0"/>
              <w:left w:val="nil"/>
              <w:bottom w:val="dashed" w:color="auto" w:sz="4" w:space="0"/>
              <w:right w:val="nil"/>
            </w:tcBorders>
            <w:shd w:val="clear" w:color="auto" w:fill="auto"/>
            <w:noWrap/>
          </w:tcPr>
          <w:p w:rsidRPr="00E23886" w:rsidR="00E85946" w:rsidP="0016573E" w:rsidRDefault="00E85946">
            <w:pPr>
              <w:spacing w:line="252" w:lineRule="atLeast"/>
              <w:rPr>
                <w:rFonts w:cs="Arial"/>
                <w:i/>
                <w:color w:val="000000"/>
                <w:sz w:val="16"/>
                <w:szCs w:val="16"/>
              </w:rPr>
            </w:pPr>
            <w:r w:rsidRPr="00E23886">
              <w:rPr>
                <w:rFonts w:cs="Arial"/>
                <w:i/>
                <w:color w:val="000000"/>
                <w:sz w:val="16"/>
                <w:szCs w:val="16"/>
              </w:rPr>
              <w:t>21.000</w:t>
            </w:r>
          </w:p>
        </w:tc>
        <w:tc>
          <w:tcPr>
            <w:tcW w:w="293" w:type="pct"/>
            <w:tcBorders>
              <w:top w:val="dashed" w:color="auto" w:sz="4" w:space="0"/>
              <w:left w:val="nil"/>
              <w:bottom w:val="dashed" w:color="auto" w:sz="4" w:space="0"/>
              <w:right w:val="nil"/>
            </w:tcBorders>
          </w:tcPr>
          <w:p w:rsidRPr="00E23886" w:rsidR="00E85946" w:rsidP="0016573E" w:rsidRDefault="00025ADF">
            <w:pPr>
              <w:spacing w:line="252" w:lineRule="atLeast"/>
              <w:rPr>
                <w:rFonts w:cs="Arial"/>
                <w:color w:val="000000"/>
                <w:sz w:val="16"/>
                <w:szCs w:val="16"/>
              </w:rPr>
            </w:pPr>
            <w:r>
              <w:rPr>
                <w:rFonts w:cs="Arial"/>
                <w:color w:val="000000"/>
                <w:sz w:val="16"/>
                <w:szCs w:val="16"/>
              </w:rPr>
              <w:t xml:space="preserve">   </w:t>
            </w:r>
            <w:r w:rsidRPr="00E23886" w:rsidR="00E85946">
              <w:rPr>
                <w:rFonts w:cs="Arial"/>
                <w:color w:val="000000"/>
                <w:sz w:val="16"/>
                <w:szCs w:val="16"/>
              </w:rPr>
              <w:t>710</w:t>
            </w:r>
          </w:p>
        </w:tc>
        <w:tc>
          <w:tcPr>
            <w:tcW w:w="292" w:type="pct"/>
            <w:gridSpan w:val="2"/>
            <w:tcBorders>
              <w:top w:val="dashed" w:color="auto" w:sz="4" w:space="0"/>
              <w:left w:val="nil"/>
              <w:bottom w:val="dashed" w:color="auto" w:sz="4" w:space="0"/>
              <w:right w:val="nil"/>
            </w:tcBorders>
          </w:tcPr>
          <w:p w:rsidRPr="00E23886" w:rsidR="00E85946" w:rsidP="0016573E" w:rsidRDefault="00025ADF">
            <w:pPr>
              <w:spacing w:line="252" w:lineRule="atLeast"/>
              <w:rPr>
                <w:rFonts w:cs="Arial"/>
                <w:i/>
                <w:color w:val="000000"/>
                <w:sz w:val="16"/>
                <w:szCs w:val="16"/>
              </w:rPr>
            </w:pPr>
            <w:r>
              <w:rPr>
                <w:rFonts w:cs="Arial"/>
                <w:i/>
                <w:color w:val="000000"/>
                <w:sz w:val="16"/>
                <w:szCs w:val="16"/>
              </w:rPr>
              <w:t xml:space="preserve">  </w:t>
            </w:r>
            <w:r w:rsidRPr="00E23886" w:rsidR="00E85946">
              <w:rPr>
                <w:rFonts w:cs="Arial"/>
                <w:i/>
                <w:color w:val="000000"/>
                <w:sz w:val="16"/>
                <w:szCs w:val="16"/>
              </w:rPr>
              <w:t>930</w:t>
            </w:r>
          </w:p>
        </w:tc>
        <w:tc>
          <w:tcPr>
            <w:tcW w:w="293" w:type="pct"/>
            <w:gridSpan w:val="2"/>
            <w:tcBorders>
              <w:top w:val="dashed" w:color="auto" w:sz="4" w:space="0"/>
              <w:left w:val="nil"/>
              <w:bottom w:val="dashed" w:color="auto" w:sz="4" w:space="0"/>
              <w:right w:val="nil"/>
            </w:tcBorders>
            <w:shd w:val="clear" w:color="auto" w:fill="auto"/>
            <w:noWrap/>
            <w:hideMark/>
          </w:tcPr>
          <w:p w:rsidRPr="00E23886" w:rsidR="00E85946" w:rsidP="0016573E" w:rsidRDefault="00E85946">
            <w:pPr>
              <w:spacing w:line="252" w:lineRule="atLeast"/>
              <w:rPr>
                <w:rFonts w:cs="Arial"/>
                <w:color w:val="000000"/>
                <w:sz w:val="16"/>
                <w:szCs w:val="16"/>
              </w:rPr>
            </w:pPr>
            <w:r w:rsidRPr="00E23886">
              <w:rPr>
                <w:rFonts w:cs="Arial"/>
                <w:color w:val="000000"/>
                <w:sz w:val="16"/>
                <w:szCs w:val="16"/>
              </w:rPr>
              <w:t>63.900</w:t>
            </w:r>
          </w:p>
        </w:tc>
        <w:tc>
          <w:tcPr>
            <w:tcW w:w="293" w:type="pct"/>
            <w:tcBorders>
              <w:top w:val="dashed" w:color="auto" w:sz="4" w:space="0"/>
              <w:left w:val="nil"/>
              <w:bottom w:val="dashed" w:color="auto" w:sz="4" w:space="0"/>
              <w:right w:val="nil"/>
            </w:tcBorders>
            <w:shd w:val="clear" w:color="auto" w:fill="auto"/>
            <w:noWrap/>
          </w:tcPr>
          <w:p w:rsidRPr="00E23886" w:rsidR="00E85946" w:rsidP="0016573E" w:rsidRDefault="00E85946">
            <w:pPr>
              <w:spacing w:line="252" w:lineRule="atLeast"/>
              <w:rPr>
                <w:rFonts w:cs="Arial"/>
                <w:i/>
                <w:color w:val="000000"/>
                <w:sz w:val="16"/>
                <w:szCs w:val="16"/>
              </w:rPr>
            </w:pPr>
            <w:r w:rsidRPr="00E23886">
              <w:rPr>
                <w:rFonts w:cs="Arial"/>
                <w:i/>
                <w:color w:val="000000"/>
                <w:sz w:val="16"/>
                <w:szCs w:val="16"/>
              </w:rPr>
              <w:t>68.800</w:t>
            </w:r>
          </w:p>
        </w:tc>
        <w:tc>
          <w:tcPr>
            <w:tcW w:w="298" w:type="pct"/>
            <w:gridSpan w:val="2"/>
            <w:tcBorders>
              <w:top w:val="dashed" w:color="auto" w:sz="4" w:space="0"/>
              <w:left w:val="nil"/>
              <w:bottom w:val="dashed" w:color="auto" w:sz="4" w:space="0"/>
              <w:right w:val="nil"/>
            </w:tcBorders>
          </w:tcPr>
          <w:p w:rsidRPr="00E23886" w:rsidR="00E85946" w:rsidP="0016573E" w:rsidRDefault="00E85946">
            <w:pPr>
              <w:spacing w:line="252" w:lineRule="atLeast"/>
              <w:rPr>
                <w:rFonts w:cs="Arial"/>
                <w:color w:val="000000"/>
                <w:sz w:val="16"/>
                <w:szCs w:val="16"/>
              </w:rPr>
            </w:pPr>
          </w:p>
        </w:tc>
        <w:tc>
          <w:tcPr>
            <w:tcW w:w="315" w:type="pct"/>
            <w:tcBorders>
              <w:top w:val="dashed" w:color="auto" w:sz="4" w:space="0"/>
              <w:left w:val="nil"/>
              <w:bottom w:val="dashed" w:color="auto" w:sz="4" w:space="0"/>
              <w:right w:val="nil"/>
            </w:tcBorders>
            <w:shd w:val="clear" w:color="auto" w:fill="auto"/>
            <w:noWrap/>
          </w:tcPr>
          <w:p w:rsidRPr="00E23886" w:rsidR="00E85946" w:rsidP="0016573E" w:rsidRDefault="00E85946">
            <w:pPr>
              <w:spacing w:line="252" w:lineRule="atLeast"/>
              <w:rPr>
                <w:rFonts w:cs="Arial"/>
                <w:color w:val="000000"/>
                <w:sz w:val="16"/>
                <w:szCs w:val="16"/>
              </w:rPr>
            </w:pPr>
            <w:r w:rsidRPr="00E23886">
              <w:rPr>
                <w:rFonts w:cs="Arial"/>
                <w:color w:val="000000"/>
                <w:sz w:val="16"/>
                <w:szCs w:val="16"/>
              </w:rPr>
              <w:t>400</w:t>
            </w:r>
            <w:r w:rsidRPr="00E85946">
              <w:rPr>
                <w:rFonts w:cs="Arial"/>
                <w:color w:val="000000"/>
                <w:sz w:val="16"/>
                <w:szCs w:val="16"/>
                <w:vertAlign w:val="superscript"/>
              </w:rPr>
              <w:t>d</w:t>
            </w:r>
          </w:p>
        </w:tc>
        <w:tc>
          <w:tcPr>
            <w:tcW w:w="315" w:type="pct"/>
            <w:gridSpan w:val="2"/>
            <w:tcBorders>
              <w:top w:val="dashed" w:color="auto" w:sz="4" w:space="0"/>
              <w:left w:val="nil"/>
              <w:bottom w:val="dashed" w:color="auto" w:sz="4" w:space="0"/>
              <w:right w:val="nil"/>
            </w:tcBorders>
            <w:shd w:val="clear" w:color="auto" w:fill="auto"/>
            <w:noWrap/>
          </w:tcPr>
          <w:p w:rsidRPr="00E23886" w:rsidR="00E85946" w:rsidP="0016573E" w:rsidRDefault="00E85946">
            <w:pPr>
              <w:spacing w:line="252" w:lineRule="atLeast"/>
              <w:rPr>
                <w:rFonts w:cs="Arial"/>
                <w:i/>
                <w:color w:val="000000"/>
                <w:sz w:val="16"/>
                <w:szCs w:val="16"/>
              </w:rPr>
            </w:pPr>
            <w:r w:rsidRPr="00E23886">
              <w:rPr>
                <w:rFonts w:cs="Arial"/>
                <w:i/>
                <w:color w:val="000000"/>
                <w:sz w:val="16"/>
                <w:szCs w:val="16"/>
              </w:rPr>
              <w:t>260</w:t>
            </w:r>
          </w:p>
        </w:tc>
        <w:tc>
          <w:tcPr>
            <w:tcW w:w="315" w:type="pct"/>
            <w:tcBorders>
              <w:top w:val="dashed" w:color="auto" w:sz="4" w:space="0"/>
              <w:left w:val="nil"/>
              <w:bottom w:val="dashed" w:color="auto" w:sz="4" w:space="0"/>
              <w:right w:val="nil"/>
            </w:tcBorders>
          </w:tcPr>
          <w:p w:rsidRPr="00E23886" w:rsidR="00E85946" w:rsidP="0016573E" w:rsidRDefault="00E85946">
            <w:pPr>
              <w:spacing w:line="252" w:lineRule="atLeast"/>
              <w:rPr>
                <w:rFonts w:cs="Arial"/>
                <w:color w:val="000000"/>
                <w:sz w:val="16"/>
                <w:szCs w:val="16"/>
              </w:rPr>
            </w:pPr>
            <w:r w:rsidRPr="00E23886">
              <w:rPr>
                <w:rFonts w:cs="Arial"/>
                <w:color w:val="000000"/>
                <w:sz w:val="16"/>
                <w:szCs w:val="16"/>
              </w:rPr>
              <w:t>370</w:t>
            </w:r>
            <w:r w:rsidRPr="00E85946">
              <w:rPr>
                <w:rFonts w:cs="Arial"/>
                <w:color w:val="000000"/>
                <w:sz w:val="16"/>
                <w:szCs w:val="16"/>
                <w:vertAlign w:val="superscript"/>
              </w:rPr>
              <w:t>e</w:t>
            </w:r>
          </w:p>
        </w:tc>
        <w:tc>
          <w:tcPr>
            <w:tcW w:w="315" w:type="pct"/>
            <w:gridSpan w:val="2"/>
            <w:tcBorders>
              <w:top w:val="dashed" w:color="auto" w:sz="4" w:space="0"/>
              <w:left w:val="nil"/>
              <w:bottom w:val="dashed" w:color="auto" w:sz="4" w:space="0"/>
              <w:right w:val="nil"/>
            </w:tcBorders>
          </w:tcPr>
          <w:p w:rsidRPr="00E23886" w:rsidR="00E85946" w:rsidP="0016573E" w:rsidRDefault="00E85946">
            <w:pPr>
              <w:spacing w:line="252" w:lineRule="atLeast"/>
              <w:rPr>
                <w:rFonts w:cs="Arial"/>
                <w:i/>
                <w:color w:val="000000"/>
                <w:sz w:val="16"/>
                <w:szCs w:val="16"/>
              </w:rPr>
            </w:pPr>
            <w:r w:rsidRPr="00E23886">
              <w:rPr>
                <w:rFonts w:cs="Arial"/>
                <w:i/>
                <w:color w:val="000000"/>
                <w:sz w:val="16"/>
                <w:szCs w:val="16"/>
              </w:rPr>
              <w:t>410</w:t>
            </w:r>
          </w:p>
        </w:tc>
        <w:tc>
          <w:tcPr>
            <w:tcW w:w="315" w:type="pct"/>
            <w:tcBorders>
              <w:top w:val="dashed" w:color="auto" w:sz="4" w:space="0"/>
              <w:left w:val="nil"/>
              <w:bottom w:val="dashed" w:color="auto" w:sz="4" w:space="0"/>
              <w:right w:val="nil"/>
            </w:tcBorders>
          </w:tcPr>
          <w:p w:rsidRPr="00E23886" w:rsidR="00E85946" w:rsidP="0016573E" w:rsidRDefault="00025ADF">
            <w:pPr>
              <w:spacing w:line="252" w:lineRule="atLeast"/>
              <w:rPr>
                <w:rFonts w:cs="Arial"/>
                <w:color w:val="000000"/>
                <w:sz w:val="16"/>
                <w:szCs w:val="16"/>
              </w:rPr>
            </w:pPr>
            <w:r>
              <w:rPr>
                <w:rFonts w:cs="Arial"/>
                <w:color w:val="000000"/>
                <w:sz w:val="16"/>
                <w:szCs w:val="16"/>
              </w:rPr>
              <w:t xml:space="preserve">   </w:t>
            </w:r>
            <w:r w:rsidR="00E85946">
              <w:rPr>
                <w:rFonts w:cs="Arial"/>
                <w:color w:val="000000"/>
                <w:sz w:val="16"/>
                <w:szCs w:val="16"/>
              </w:rPr>
              <w:t>770</w:t>
            </w:r>
            <w:r w:rsidRPr="00E85946" w:rsidR="00E85946">
              <w:rPr>
                <w:rFonts w:cs="Arial"/>
                <w:color w:val="000000"/>
                <w:sz w:val="16"/>
                <w:szCs w:val="16"/>
                <w:vertAlign w:val="superscript"/>
              </w:rPr>
              <w:t>g</w:t>
            </w:r>
          </w:p>
        </w:tc>
        <w:tc>
          <w:tcPr>
            <w:tcW w:w="316" w:type="pct"/>
            <w:tcBorders>
              <w:top w:val="dashed" w:color="auto" w:sz="4" w:space="0"/>
              <w:left w:val="nil"/>
              <w:bottom w:val="dashed" w:color="auto" w:sz="4" w:space="0"/>
              <w:right w:val="nil"/>
            </w:tcBorders>
          </w:tcPr>
          <w:p w:rsidRPr="00E23886" w:rsidR="00E85946" w:rsidP="0016573E" w:rsidRDefault="00025ADF">
            <w:pPr>
              <w:spacing w:line="252" w:lineRule="atLeast"/>
              <w:rPr>
                <w:rFonts w:cs="Arial"/>
                <w:i/>
                <w:color w:val="000000"/>
                <w:sz w:val="16"/>
                <w:szCs w:val="16"/>
              </w:rPr>
            </w:pPr>
            <w:r>
              <w:rPr>
                <w:rFonts w:cs="Arial"/>
                <w:i/>
                <w:color w:val="000000"/>
                <w:sz w:val="16"/>
                <w:szCs w:val="16"/>
              </w:rPr>
              <w:t xml:space="preserve">   </w:t>
            </w:r>
            <w:r w:rsidRPr="00E23886" w:rsidR="00E85946">
              <w:rPr>
                <w:rFonts w:cs="Arial"/>
                <w:i/>
                <w:color w:val="000000"/>
                <w:sz w:val="16"/>
                <w:szCs w:val="16"/>
              </w:rPr>
              <w:t>680</w:t>
            </w:r>
          </w:p>
        </w:tc>
      </w:tr>
      <w:tr w:rsidRPr="00E23886" w:rsidR="00E85946" w:rsidTr="007C641F">
        <w:trPr>
          <w:trHeight w:val="225"/>
        </w:trPr>
        <w:tc>
          <w:tcPr>
            <w:tcW w:w="470" w:type="pct"/>
            <w:gridSpan w:val="2"/>
            <w:tcBorders>
              <w:top w:val="dashed" w:color="auto" w:sz="4" w:space="0"/>
              <w:left w:val="nil"/>
              <w:bottom w:val="dashed" w:color="auto" w:sz="4" w:space="0"/>
              <w:right w:val="nil"/>
            </w:tcBorders>
            <w:shd w:val="clear" w:color="auto" w:fill="auto"/>
            <w:noWrap/>
            <w:hideMark/>
          </w:tcPr>
          <w:p w:rsidRPr="00E23886" w:rsidR="00E85946" w:rsidP="0016573E" w:rsidRDefault="00E85946">
            <w:pPr>
              <w:spacing w:line="252" w:lineRule="atLeast"/>
              <w:rPr>
                <w:rFonts w:cs="Arial"/>
                <w:color w:val="000000"/>
                <w:sz w:val="16"/>
                <w:szCs w:val="16"/>
              </w:rPr>
            </w:pPr>
            <w:r w:rsidRPr="00E23886">
              <w:rPr>
                <w:rFonts w:cs="Arial"/>
                <w:color w:val="000000"/>
                <w:sz w:val="16"/>
                <w:szCs w:val="16"/>
              </w:rPr>
              <w:t>Sport-</w:t>
            </w:r>
          </w:p>
          <w:p w:rsidRPr="00E23886" w:rsidR="00E85946" w:rsidP="0016573E" w:rsidRDefault="00E85946">
            <w:pPr>
              <w:spacing w:line="252" w:lineRule="atLeast"/>
              <w:rPr>
                <w:rFonts w:cs="Arial"/>
                <w:color w:val="000000"/>
                <w:sz w:val="16"/>
                <w:szCs w:val="16"/>
              </w:rPr>
            </w:pPr>
            <w:r w:rsidRPr="00E23886">
              <w:rPr>
                <w:rFonts w:cs="Arial"/>
                <w:color w:val="000000"/>
                <w:sz w:val="16"/>
                <w:szCs w:val="16"/>
              </w:rPr>
              <w:t>blessures</w:t>
            </w:r>
          </w:p>
        </w:tc>
        <w:tc>
          <w:tcPr>
            <w:tcW w:w="292" w:type="pct"/>
            <w:tcBorders>
              <w:top w:val="dashed" w:color="auto" w:sz="4" w:space="0"/>
              <w:left w:val="nil"/>
              <w:bottom w:val="dashed" w:color="auto" w:sz="4" w:space="0"/>
              <w:right w:val="nil"/>
            </w:tcBorders>
            <w:shd w:val="clear" w:color="auto" w:fill="auto"/>
            <w:noWrap/>
            <w:hideMark/>
          </w:tcPr>
          <w:p w:rsidRPr="00E23886" w:rsidR="00E85946" w:rsidP="0016573E" w:rsidRDefault="00E85946">
            <w:pPr>
              <w:spacing w:line="252" w:lineRule="atLeast"/>
              <w:rPr>
                <w:rFonts w:cs="Arial"/>
                <w:color w:val="000000"/>
                <w:sz w:val="16"/>
                <w:szCs w:val="16"/>
              </w:rPr>
            </w:pPr>
            <w:r w:rsidRPr="00E23886">
              <w:rPr>
                <w:rFonts w:cs="Arial"/>
                <w:color w:val="000000"/>
                <w:sz w:val="16"/>
                <w:szCs w:val="16"/>
              </w:rPr>
              <w:t>160.000</w:t>
            </w:r>
          </w:p>
        </w:tc>
        <w:tc>
          <w:tcPr>
            <w:tcW w:w="293" w:type="pct"/>
            <w:gridSpan w:val="2"/>
            <w:tcBorders>
              <w:top w:val="dashed" w:color="auto" w:sz="4" w:space="0"/>
              <w:left w:val="nil"/>
              <w:bottom w:val="dashed" w:color="auto" w:sz="4" w:space="0"/>
              <w:right w:val="nil"/>
            </w:tcBorders>
            <w:shd w:val="clear" w:color="auto" w:fill="auto"/>
            <w:noWrap/>
          </w:tcPr>
          <w:p w:rsidRPr="00E23886" w:rsidR="00E85946" w:rsidP="0016573E" w:rsidRDefault="00E85946">
            <w:pPr>
              <w:spacing w:line="252" w:lineRule="atLeast"/>
              <w:rPr>
                <w:rFonts w:cs="Arial"/>
                <w:i/>
                <w:color w:val="000000"/>
                <w:sz w:val="16"/>
                <w:szCs w:val="16"/>
              </w:rPr>
            </w:pPr>
            <w:r w:rsidRPr="00E23886">
              <w:rPr>
                <w:rFonts w:cs="Arial"/>
                <w:i/>
                <w:color w:val="000000"/>
                <w:sz w:val="16"/>
                <w:szCs w:val="16"/>
              </w:rPr>
              <w:t>160.000</w:t>
            </w:r>
          </w:p>
        </w:tc>
        <w:tc>
          <w:tcPr>
            <w:tcW w:w="292" w:type="pct"/>
            <w:gridSpan w:val="2"/>
            <w:tcBorders>
              <w:top w:val="dashed" w:color="auto" w:sz="4" w:space="0"/>
              <w:left w:val="nil"/>
              <w:bottom w:val="dashed" w:color="auto" w:sz="4" w:space="0"/>
              <w:right w:val="nil"/>
            </w:tcBorders>
            <w:shd w:val="clear" w:color="auto" w:fill="auto"/>
            <w:noWrap/>
          </w:tcPr>
          <w:p w:rsidRPr="00E23886" w:rsidR="00E85946" w:rsidP="0016573E" w:rsidRDefault="00E85946">
            <w:pPr>
              <w:spacing w:line="252" w:lineRule="atLeast"/>
              <w:rPr>
                <w:rFonts w:cs="Arial"/>
                <w:color w:val="000000"/>
                <w:sz w:val="16"/>
                <w:szCs w:val="16"/>
              </w:rPr>
            </w:pPr>
            <w:r w:rsidRPr="00E23886">
              <w:rPr>
                <w:rFonts w:cs="Arial"/>
                <w:color w:val="000000"/>
                <w:sz w:val="16"/>
                <w:szCs w:val="16"/>
              </w:rPr>
              <w:t>14.000</w:t>
            </w:r>
            <w:r w:rsidRPr="00E85946">
              <w:rPr>
                <w:rFonts w:cs="Arial"/>
                <w:color w:val="000000"/>
                <w:sz w:val="16"/>
                <w:szCs w:val="16"/>
                <w:vertAlign w:val="superscript"/>
              </w:rPr>
              <w:t>a</w:t>
            </w:r>
          </w:p>
        </w:tc>
        <w:tc>
          <w:tcPr>
            <w:tcW w:w="293" w:type="pct"/>
            <w:gridSpan w:val="2"/>
            <w:tcBorders>
              <w:top w:val="dashed" w:color="auto" w:sz="4" w:space="0"/>
              <w:left w:val="nil"/>
              <w:bottom w:val="dashed" w:color="auto" w:sz="4" w:space="0"/>
              <w:right w:val="nil"/>
            </w:tcBorders>
            <w:shd w:val="clear" w:color="auto" w:fill="auto"/>
            <w:noWrap/>
          </w:tcPr>
          <w:p w:rsidRPr="00E23886" w:rsidR="00E85946" w:rsidP="0016573E" w:rsidRDefault="00E85946">
            <w:pPr>
              <w:spacing w:line="252" w:lineRule="atLeast"/>
              <w:rPr>
                <w:rFonts w:cs="Arial"/>
                <w:i/>
                <w:color w:val="000000"/>
                <w:sz w:val="16"/>
                <w:szCs w:val="16"/>
              </w:rPr>
            </w:pPr>
            <w:r w:rsidRPr="00E23886">
              <w:rPr>
                <w:rFonts w:cs="Arial"/>
                <w:i/>
                <w:color w:val="000000"/>
                <w:sz w:val="16"/>
                <w:szCs w:val="16"/>
              </w:rPr>
              <w:t>12.000</w:t>
            </w:r>
            <w:r w:rsidRPr="00E85946">
              <w:rPr>
                <w:rFonts w:cs="Arial"/>
                <w:i/>
                <w:color w:val="000000"/>
                <w:sz w:val="16"/>
                <w:szCs w:val="16"/>
                <w:vertAlign w:val="superscript"/>
              </w:rPr>
              <w:t>a</w:t>
            </w:r>
          </w:p>
        </w:tc>
        <w:tc>
          <w:tcPr>
            <w:tcW w:w="293" w:type="pct"/>
            <w:tcBorders>
              <w:top w:val="dashed" w:color="auto" w:sz="4" w:space="0"/>
              <w:left w:val="nil"/>
              <w:bottom w:val="dashed" w:color="auto" w:sz="4" w:space="0"/>
              <w:right w:val="nil"/>
            </w:tcBorders>
          </w:tcPr>
          <w:p w:rsidRPr="00E23886" w:rsidR="00E85946" w:rsidP="0016573E" w:rsidRDefault="00025ADF">
            <w:pPr>
              <w:spacing w:line="252" w:lineRule="atLeast"/>
              <w:rPr>
                <w:rFonts w:cs="Arial"/>
                <w:color w:val="000000"/>
                <w:sz w:val="16"/>
                <w:szCs w:val="16"/>
              </w:rPr>
            </w:pPr>
            <w:r>
              <w:rPr>
                <w:rFonts w:cs="Arial"/>
                <w:color w:val="000000"/>
                <w:sz w:val="16"/>
                <w:szCs w:val="16"/>
              </w:rPr>
              <w:t xml:space="preserve">      </w:t>
            </w:r>
            <w:r w:rsidRPr="00E23886" w:rsidR="00E85946">
              <w:rPr>
                <w:rFonts w:cs="Arial"/>
                <w:color w:val="000000"/>
                <w:sz w:val="16"/>
                <w:szCs w:val="16"/>
              </w:rPr>
              <w:t>8</w:t>
            </w:r>
          </w:p>
        </w:tc>
        <w:tc>
          <w:tcPr>
            <w:tcW w:w="292" w:type="pct"/>
            <w:gridSpan w:val="2"/>
            <w:tcBorders>
              <w:top w:val="dashed" w:color="auto" w:sz="4" w:space="0"/>
              <w:left w:val="nil"/>
              <w:bottom w:val="dashed" w:color="auto" w:sz="4" w:space="0"/>
              <w:right w:val="nil"/>
            </w:tcBorders>
          </w:tcPr>
          <w:p w:rsidRPr="00E23886" w:rsidR="00E85946" w:rsidP="0016573E" w:rsidRDefault="00025ADF">
            <w:pPr>
              <w:spacing w:line="252" w:lineRule="atLeast"/>
              <w:rPr>
                <w:rFonts w:cs="Arial"/>
                <w:i/>
                <w:color w:val="000000"/>
                <w:sz w:val="16"/>
                <w:szCs w:val="16"/>
              </w:rPr>
            </w:pPr>
            <w:r>
              <w:rPr>
                <w:rFonts w:cs="Arial"/>
                <w:i/>
                <w:color w:val="000000"/>
                <w:sz w:val="16"/>
                <w:szCs w:val="16"/>
              </w:rPr>
              <w:t xml:space="preserve">    </w:t>
            </w:r>
            <w:r w:rsidRPr="00E23886" w:rsidR="00E85946">
              <w:rPr>
                <w:rFonts w:cs="Arial"/>
                <w:i/>
                <w:color w:val="000000"/>
                <w:sz w:val="16"/>
                <w:szCs w:val="16"/>
              </w:rPr>
              <w:t>12</w:t>
            </w:r>
          </w:p>
        </w:tc>
        <w:tc>
          <w:tcPr>
            <w:tcW w:w="293" w:type="pct"/>
            <w:gridSpan w:val="2"/>
            <w:tcBorders>
              <w:top w:val="dashed" w:color="auto" w:sz="4" w:space="0"/>
              <w:left w:val="nil"/>
              <w:bottom w:val="dashed" w:color="auto" w:sz="4" w:space="0"/>
              <w:right w:val="nil"/>
            </w:tcBorders>
            <w:shd w:val="clear" w:color="auto" w:fill="auto"/>
            <w:noWrap/>
            <w:hideMark/>
          </w:tcPr>
          <w:p w:rsidRPr="00E23886" w:rsidR="00E85946" w:rsidP="0016573E" w:rsidRDefault="00E85946">
            <w:pPr>
              <w:spacing w:line="252" w:lineRule="atLeast"/>
              <w:rPr>
                <w:rFonts w:cs="Arial"/>
                <w:color w:val="000000"/>
                <w:sz w:val="16"/>
                <w:szCs w:val="16"/>
              </w:rPr>
            </w:pPr>
            <w:r w:rsidRPr="00E23886">
              <w:rPr>
                <w:rFonts w:cs="Arial"/>
                <w:color w:val="000000"/>
                <w:sz w:val="16"/>
                <w:szCs w:val="16"/>
              </w:rPr>
              <w:t>28.100</w:t>
            </w:r>
          </w:p>
        </w:tc>
        <w:tc>
          <w:tcPr>
            <w:tcW w:w="293" w:type="pct"/>
            <w:tcBorders>
              <w:top w:val="dashed" w:color="auto" w:sz="4" w:space="0"/>
              <w:left w:val="nil"/>
              <w:bottom w:val="dashed" w:color="auto" w:sz="4" w:space="0"/>
              <w:right w:val="nil"/>
            </w:tcBorders>
            <w:shd w:val="clear" w:color="auto" w:fill="auto"/>
            <w:noWrap/>
          </w:tcPr>
          <w:p w:rsidRPr="00E23886" w:rsidR="00E85946" w:rsidP="0016573E" w:rsidRDefault="00E85946">
            <w:pPr>
              <w:spacing w:line="252" w:lineRule="atLeast"/>
              <w:rPr>
                <w:rFonts w:cs="Arial"/>
                <w:i/>
                <w:color w:val="000000"/>
                <w:sz w:val="16"/>
                <w:szCs w:val="16"/>
              </w:rPr>
            </w:pPr>
            <w:r w:rsidRPr="00E23886">
              <w:rPr>
                <w:rFonts w:cs="Arial"/>
                <w:i/>
                <w:color w:val="000000"/>
                <w:sz w:val="16"/>
                <w:szCs w:val="16"/>
              </w:rPr>
              <w:t>18.800</w:t>
            </w:r>
          </w:p>
        </w:tc>
        <w:tc>
          <w:tcPr>
            <w:tcW w:w="298" w:type="pct"/>
            <w:gridSpan w:val="2"/>
            <w:tcBorders>
              <w:top w:val="dashed" w:color="auto" w:sz="4" w:space="0"/>
              <w:left w:val="nil"/>
              <w:bottom w:val="dashed" w:color="auto" w:sz="4" w:space="0"/>
              <w:right w:val="nil"/>
            </w:tcBorders>
          </w:tcPr>
          <w:p w:rsidRPr="00E23886" w:rsidR="00E85946" w:rsidP="0016573E" w:rsidRDefault="00E85946">
            <w:pPr>
              <w:spacing w:line="252" w:lineRule="atLeast"/>
              <w:rPr>
                <w:rFonts w:cs="Arial"/>
                <w:color w:val="000000"/>
                <w:sz w:val="16"/>
                <w:szCs w:val="16"/>
              </w:rPr>
            </w:pPr>
          </w:p>
        </w:tc>
        <w:tc>
          <w:tcPr>
            <w:tcW w:w="315" w:type="pct"/>
            <w:tcBorders>
              <w:top w:val="dashed" w:color="auto" w:sz="4" w:space="0"/>
              <w:left w:val="nil"/>
              <w:bottom w:val="dashed" w:color="auto" w:sz="4" w:space="0"/>
              <w:right w:val="nil"/>
            </w:tcBorders>
            <w:shd w:val="clear" w:color="auto" w:fill="auto"/>
            <w:noWrap/>
          </w:tcPr>
          <w:p w:rsidRPr="00E23886" w:rsidR="00E85946" w:rsidP="0016573E" w:rsidRDefault="00E85946">
            <w:pPr>
              <w:spacing w:line="252" w:lineRule="atLeast"/>
              <w:rPr>
                <w:rFonts w:cs="Arial"/>
                <w:color w:val="000000"/>
                <w:sz w:val="16"/>
                <w:szCs w:val="16"/>
              </w:rPr>
            </w:pPr>
            <w:r w:rsidRPr="00E23886">
              <w:rPr>
                <w:rFonts w:cs="Arial"/>
                <w:color w:val="000000"/>
                <w:sz w:val="16"/>
                <w:szCs w:val="16"/>
              </w:rPr>
              <w:t>430</w:t>
            </w:r>
            <w:r w:rsidRPr="00E85946">
              <w:rPr>
                <w:rFonts w:cs="Arial"/>
                <w:color w:val="000000"/>
                <w:sz w:val="16"/>
                <w:szCs w:val="16"/>
                <w:vertAlign w:val="superscript"/>
              </w:rPr>
              <w:t>d</w:t>
            </w:r>
          </w:p>
        </w:tc>
        <w:tc>
          <w:tcPr>
            <w:tcW w:w="315" w:type="pct"/>
            <w:gridSpan w:val="2"/>
            <w:tcBorders>
              <w:top w:val="dashed" w:color="auto" w:sz="4" w:space="0"/>
              <w:left w:val="nil"/>
              <w:bottom w:val="dashed" w:color="auto" w:sz="4" w:space="0"/>
              <w:right w:val="nil"/>
            </w:tcBorders>
            <w:shd w:val="clear" w:color="auto" w:fill="auto"/>
            <w:noWrap/>
          </w:tcPr>
          <w:p w:rsidRPr="00E23886" w:rsidR="00E85946" w:rsidP="0016573E" w:rsidRDefault="00E85946">
            <w:pPr>
              <w:spacing w:line="252" w:lineRule="atLeast"/>
              <w:rPr>
                <w:rFonts w:cs="Arial"/>
                <w:i/>
                <w:color w:val="000000"/>
                <w:sz w:val="16"/>
                <w:szCs w:val="16"/>
              </w:rPr>
            </w:pPr>
            <w:r w:rsidRPr="00E23886">
              <w:rPr>
                <w:rFonts w:cs="Arial"/>
                <w:i/>
                <w:color w:val="000000"/>
                <w:sz w:val="16"/>
                <w:szCs w:val="16"/>
              </w:rPr>
              <w:t>220</w:t>
            </w:r>
          </w:p>
        </w:tc>
        <w:tc>
          <w:tcPr>
            <w:tcW w:w="315" w:type="pct"/>
            <w:tcBorders>
              <w:top w:val="dashed" w:color="auto" w:sz="4" w:space="0"/>
              <w:left w:val="nil"/>
              <w:bottom w:val="dashed" w:color="auto" w:sz="4" w:space="0"/>
              <w:right w:val="nil"/>
            </w:tcBorders>
          </w:tcPr>
          <w:p w:rsidRPr="00E23886" w:rsidR="00E85946" w:rsidP="0016573E" w:rsidRDefault="00E85946">
            <w:pPr>
              <w:spacing w:line="252" w:lineRule="atLeast"/>
              <w:rPr>
                <w:rFonts w:cs="Arial"/>
                <w:color w:val="000000"/>
                <w:sz w:val="16"/>
                <w:szCs w:val="16"/>
              </w:rPr>
            </w:pPr>
            <w:r w:rsidRPr="00E23886">
              <w:rPr>
                <w:rFonts w:cs="Arial"/>
                <w:color w:val="000000"/>
                <w:sz w:val="16"/>
                <w:szCs w:val="16"/>
              </w:rPr>
              <w:t>910</w:t>
            </w:r>
            <w:r w:rsidRPr="00E85946">
              <w:rPr>
                <w:rFonts w:cs="Arial"/>
                <w:color w:val="000000"/>
                <w:sz w:val="16"/>
                <w:szCs w:val="16"/>
                <w:vertAlign w:val="superscript"/>
              </w:rPr>
              <w:t>d</w:t>
            </w:r>
          </w:p>
        </w:tc>
        <w:tc>
          <w:tcPr>
            <w:tcW w:w="315" w:type="pct"/>
            <w:gridSpan w:val="2"/>
            <w:tcBorders>
              <w:top w:val="dashed" w:color="auto" w:sz="4" w:space="0"/>
              <w:left w:val="nil"/>
              <w:bottom w:val="dashed" w:color="auto" w:sz="4" w:space="0"/>
              <w:right w:val="nil"/>
            </w:tcBorders>
          </w:tcPr>
          <w:p w:rsidRPr="00E23886" w:rsidR="00E85946" w:rsidP="0016573E" w:rsidRDefault="00E85946">
            <w:pPr>
              <w:spacing w:line="252" w:lineRule="atLeast"/>
              <w:rPr>
                <w:rFonts w:cs="Arial"/>
                <w:i/>
                <w:color w:val="000000"/>
                <w:sz w:val="16"/>
                <w:szCs w:val="16"/>
              </w:rPr>
            </w:pPr>
            <w:r w:rsidRPr="00E23886">
              <w:rPr>
                <w:rFonts w:cs="Arial"/>
                <w:i/>
                <w:color w:val="000000"/>
                <w:sz w:val="16"/>
                <w:szCs w:val="16"/>
              </w:rPr>
              <w:t>380</w:t>
            </w:r>
          </w:p>
        </w:tc>
        <w:tc>
          <w:tcPr>
            <w:tcW w:w="315" w:type="pct"/>
            <w:tcBorders>
              <w:top w:val="dashed" w:color="auto" w:sz="4" w:space="0"/>
              <w:left w:val="nil"/>
              <w:bottom w:val="dashed" w:color="auto" w:sz="4" w:space="0"/>
              <w:right w:val="nil"/>
            </w:tcBorders>
          </w:tcPr>
          <w:p w:rsidRPr="00E23886" w:rsidR="00E85946" w:rsidP="0016573E" w:rsidRDefault="00E85946">
            <w:pPr>
              <w:spacing w:line="252" w:lineRule="atLeast"/>
              <w:rPr>
                <w:rFonts w:cs="Arial"/>
                <w:color w:val="000000"/>
                <w:sz w:val="16"/>
                <w:szCs w:val="16"/>
              </w:rPr>
            </w:pPr>
            <w:r w:rsidRPr="00E23886">
              <w:rPr>
                <w:rFonts w:cs="Arial"/>
                <w:color w:val="000000"/>
                <w:sz w:val="16"/>
                <w:szCs w:val="16"/>
              </w:rPr>
              <w:t>1.300</w:t>
            </w:r>
            <w:r w:rsidRPr="00E85946">
              <w:rPr>
                <w:rFonts w:cs="Arial"/>
                <w:color w:val="000000"/>
                <w:sz w:val="16"/>
                <w:szCs w:val="16"/>
                <w:vertAlign w:val="superscript"/>
              </w:rPr>
              <w:t>d</w:t>
            </w:r>
          </w:p>
        </w:tc>
        <w:tc>
          <w:tcPr>
            <w:tcW w:w="316" w:type="pct"/>
            <w:tcBorders>
              <w:top w:val="dashed" w:color="auto" w:sz="4" w:space="0"/>
              <w:left w:val="nil"/>
              <w:bottom w:val="dashed" w:color="auto" w:sz="4" w:space="0"/>
              <w:right w:val="nil"/>
            </w:tcBorders>
          </w:tcPr>
          <w:p w:rsidRPr="00E23886" w:rsidR="00E85946" w:rsidP="0016573E" w:rsidRDefault="00025ADF">
            <w:pPr>
              <w:spacing w:line="252" w:lineRule="atLeast"/>
              <w:rPr>
                <w:rFonts w:cs="Arial"/>
                <w:i/>
                <w:color w:val="000000"/>
                <w:sz w:val="16"/>
                <w:szCs w:val="16"/>
              </w:rPr>
            </w:pPr>
            <w:r>
              <w:rPr>
                <w:rFonts w:cs="Arial"/>
                <w:i/>
                <w:color w:val="000000"/>
                <w:sz w:val="16"/>
                <w:szCs w:val="16"/>
              </w:rPr>
              <w:t xml:space="preserve">   </w:t>
            </w:r>
            <w:r w:rsidRPr="00E23886" w:rsidR="00E85946">
              <w:rPr>
                <w:rFonts w:cs="Arial"/>
                <w:i/>
                <w:color w:val="000000"/>
                <w:sz w:val="16"/>
                <w:szCs w:val="16"/>
              </w:rPr>
              <w:t>600</w:t>
            </w:r>
          </w:p>
        </w:tc>
      </w:tr>
      <w:tr w:rsidRPr="00E23886" w:rsidR="00E85946" w:rsidTr="007C641F">
        <w:trPr>
          <w:trHeight w:val="225"/>
        </w:trPr>
        <w:tc>
          <w:tcPr>
            <w:tcW w:w="470" w:type="pct"/>
            <w:gridSpan w:val="2"/>
            <w:tcBorders>
              <w:top w:val="dashed" w:color="auto" w:sz="4" w:space="0"/>
              <w:left w:val="nil"/>
              <w:bottom w:val="dashed" w:color="auto" w:sz="4" w:space="0"/>
              <w:right w:val="nil"/>
            </w:tcBorders>
            <w:shd w:val="clear" w:color="auto" w:fill="auto"/>
            <w:noWrap/>
            <w:hideMark/>
          </w:tcPr>
          <w:p w:rsidRPr="00E23886" w:rsidR="00E85946" w:rsidP="0016573E" w:rsidRDefault="00E85946">
            <w:pPr>
              <w:spacing w:line="252" w:lineRule="atLeast"/>
              <w:rPr>
                <w:rFonts w:cs="Arial"/>
                <w:color w:val="000000"/>
                <w:sz w:val="16"/>
                <w:szCs w:val="16"/>
              </w:rPr>
            </w:pPr>
            <w:r w:rsidRPr="00E23886">
              <w:rPr>
                <w:rFonts w:cs="Arial"/>
                <w:color w:val="000000"/>
                <w:sz w:val="16"/>
                <w:szCs w:val="16"/>
              </w:rPr>
              <w:t>Arbeids-ongevallen</w:t>
            </w:r>
          </w:p>
        </w:tc>
        <w:tc>
          <w:tcPr>
            <w:tcW w:w="292" w:type="pct"/>
            <w:tcBorders>
              <w:top w:val="dashed" w:color="auto" w:sz="4" w:space="0"/>
              <w:left w:val="nil"/>
              <w:bottom w:val="dashed" w:color="auto" w:sz="4" w:space="0"/>
              <w:right w:val="nil"/>
            </w:tcBorders>
            <w:shd w:val="clear" w:color="auto" w:fill="auto"/>
            <w:noWrap/>
            <w:hideMark/>
          </w:tcPr>
          <w:p w:rsidRPr="00E23886" w:rsidR="00E85946" w:rsidP="0016573E" w:rsidRDefault="00025ADF">
            <w:pPr>
              <w:spacing w:line="252" w:lineRule="atLeast"/>
              <w:rPr>
                <w:rFonts w:cs="Arial"/>
                <w:color w:val="000000"/>
                <w:sz w:val="16"/>
                <w:szCs w:val="16"/>
              </w:rPr>
            </w:pPr>
            <w:r>
              <w:rPr>
                <w:rFonts w:cs="Arial"/>
                <w:color w:val="000000"/>
                <w:sz w:val="16"/>
                <w:szCs w:val="16"/>
              </w:rPr>
              <w:t xml:space="preserve">  </w:t>
            </w:r>
            <w:r w:rsidRPr="00E23886" w:rsidR="00E85946">
              <w:rPr>
                <w:rFonts w:cs="Arial"/>
                <w:color w:val="000000"/>
                <w:sz w:val="16"/>
                <w:szCs w:val="16"/>
              </w:rPr>
              <w:t>81.000</w:t>
            </w:r>
          </w:p>
        </w:tc>
        <w:tc>
          <w:tcPr>
            <w:tcW w:w="293" w:type="pct"/>
            <w:gridSpan w:val="2"/>
            <w:tcBorders>
              <w:top w:val="dashed" w:color="auto" w:sz="4" w:space="0"/>
              <w:left w:val="nil"/>
              <w:bottom w:val="dashed" w:color="auto" w:sz="4" w:space="0"/>
              <w:right w:val="nil"/>
            </w:tcBorders>
            <w:shd w:val="clear" w:color="auto" w:fill="auto"/>
            <w:noWrap/>
          </w:tcPr>
          <w:p w:rsidRPr="00E23886" w:rsidR="00E85946" w:rsidP="0016573E" w:rsidRDefault="00025ADF">
            <w:pPr>
              <w:spacing w:line="252" w:lineRule="atLeast"/>
              <w:rPr>
                <w:rFonts w:cs="Arial"/>
                <w:i/>
                <w:color w:val="000000"/>
                <w:sz w:val="16"/>
                <w:szCs w:val="16"/>
              </w:rPr>
            </w:pPr>
            <w:r>
              <w:rPr>
                <w:rFonts w:cs="Arial"/>
                <w:i/>
                <w:color w:val="000000"/>
                <w:sz w:val="16"/>
                <w:szCs w:val="16"/>
              </w:rPr>
              <w:t xml:space="preserve">  </w:t>
            </w:r>
            <w:r w:rsidRPr="00E23886" w:rsidR="00E85946">
              <w:rPr>
                <w:rFonts w:cs="Arial"/>
                <w:i/>
                <w:color w:val="000000"/>
                <w:sz w:val="16"/>
                <w:szCs w:val="16"/>
              </w:rPr>
              <w:t>85.000</w:t>
            </w:r>
          </w:p>
        </w:tc>
        <w:tc>
          <w:tcPr>
            <w:tcW w:w="292" w:type="pct"/>
            <w:gridSpan w:val="2"/>
            <w:tcBorders>
              <w:top w:val="dashed" w:color="auto" w:sz="4" w:space="0"/>
              <w:left w:val="nil"/>
              <w:bottom w:val="dashed" w:color="auto" w:sz="4" w:space="0"/>
              <w:right w:val="nil"/>
            </w:tcBorders>
            <w:shd w:val="clear" w:color="auto" w:fill="auto"/>
            <w:noWrap/>
          </w:tcPr>
          <w:p w:rsidRPr="00E23886" w:rsidR="00E85946" w:rsidP="0016573E" w:rsidRDefault="00025ADF">
            <w:pPr>
              <w:spacing w:line="252" w:lineRule="atLeast"/>
              <w:rPr>
                <w:rFonts w:cs="Arial"/>
                <w:color w:val="000000"/>
                <w:sz w:val="16"/>
                <w:szCs w:val="16"/>
              </w:rPr>
            </w:pPr>
            <w:r>
              <w:rPr>
                <w:rFonts w:cs="Arial"/>
                <w:color w:val="000000"/>
                <w:sz w:val="16"/>
                <w:szCs w:val="16"/>
              </w:rPr>
              <w:t xml:space="preserve">  </w:t>
            </w:r>
            <w:r w:rsidRPr="00E23886" w:rsidR="00E85946">
              <w:rPr>
                <w:rFonts w:cs="Arial"/>
                <w:color w:val="000000"/>
                <w:sz w:val="16"/>
                <w:szCs w:val="16"/>
              </w:rPr>
              <w:t>6.900</w:t>
            </w:r>
            <w:r w:rsidRPr="00E85946" w:rsidR="00E85946">
              <w:rPr>
                <w:rFonts w:cs="Arial"/>
                <w:color w:val="000000"/>
                <w:sz w:val="16"/>
                <w:szCs w:val="16"/>
                <w:vertAlign w:val="superscript"/>
              </w:rPr>
              <w:t>a</w:t>
            </w:r>
          </w:p>
        </w:tc>
        <w:tc>
          <w:tcPr>
            <w:tcW w:w="293" w:type="pct"/>
            <w:gridSpan w:val="2"/>
            <w:tcBorders>
              <w:top w:val="dashed" w:color="auto" w:sz="4" w:space="0"/>
              <w:left w:val="nil"/>
              <w:bottom w:val="dashed" w:color="auto" w:sz="4" w:space="0"/>
              <w:right w:val="nil"/>
            </w:tcBorders>
            <w:shd w:val="clear" w:color="auto" w:fill="auto"/>
            <w:noWrap/>
          </w:tcPr>
          <w:p w:rsidRPr="00E23886" w:rsidR="00E85946" w:rsidP="0016573E" w:rsidRDefault="00E85946">
            <w:pPr>
              <w:spacing w:line="252" w:lineRule="atLeast"/>
              <w:rPr>
                <w:rFonts w:cs="Arial"/>
                <w:i/>
                <w:color w:val="000000"/>
                <w:sz w:val="16"/>
                <w:szCs w:val="16"/>
              </w:rPr>
            </w:pPr>
            <w:r w:rsidRPr="00E23886">
              <w:rPr>
                <w:rFonts w:cs="Arial"/>
                <w:i/>
                <w:color w:val="000000"/>
                <w:sz w:val="16"/>
                <w:szCs w:val="16"/>
              </w:rPr>
              <w:t>5.400</w:t>
            </w:r>
            <w:r w:rsidRPr="00E85946">
              <w:rPr>
                <w:rFonts w:cs="Arial"/>
                <w:i/>
                <w:color w:val="000000"/>
                <w:sz w:val="16"/>
                <w:szCs w:val="16"/>
                <w:vertAlign w:val="superscript"/>
              </w:rPr>
              <w:t>a</w:t>
            </w:r>
          </w:p>
        </w:tc>
        <w:tc>
          <w:tcPr>
            <w:tcW w:w="293" w:type="pct"/>
            <w:tcBorders>
              <w:top w:val="dashed" w:color="auto" w:sz="4" w:space="0"/>
              <w:left w:val="nil"/>
              <w:bottom w:val="dashed" w:color="auto" w:sz="4" w:space="0"/>
              <w:right w:val="nil"/>
            </w:tcBorders>
          </w:tcPr>
          <w:p w:rsidRPr="00E23886" w:rsidR="00E85946" w:rsidP="0016573E" w:rsidRDefault="00025ADF">
            <w:pPr>
              <w:spacing w:line="252" w:lineRule="atLeast"/>
              <w:rPr>
                <w:rFonts w:cs="Arial"/>
                <w:color w:val="000000"/>
                <w:sz w:val="16"/>
                <w:szCs w:val="16"/>
              </w:rPr>
            </w:pPr>
            <w:r>
              <w:rPr>
                <w:rFonts w:cs="Arial"/>
                <w:color w:val="000000"/>
                <w:sz w:val="16"/>
                <w:szCs w:val="16"/>
              </w:rPr>
              <w:t xml:space="preserve">     </w:t>
            </w:r>
            <w:r w:rsidRPr="00E23886" w:rsidR="00E85946">
              <w:rPr>
                <w:rFonts w:cs="Arial"/>
                <w:color w:val="000000"/>
                <w:sz w:val="16"/>
                <w:szCs w:val="16"/>
              </w:rPr>
              <w:t>64</w:t>
            </w:r>
            <w:r w:rsidRPr="00E85946" w:rsidR="00E85946">
              <w:rPr>
                <w:rFonts w:cs="Arial"/>
                <w:color w:val="000000"/>
                <w:sz w:val="16"/>
                <w:szCs w:val="16"/>
                <w:vertAlign w:val="superscript"/>
              </w:rPr>
              <w:t>b</w:t>
            </w:r>
          </w:p>
        </w:tc>
        <w:tc>
          <w:tcPr>
            <w:tcW w:w="292" w:type="pct"/>
            <w:gridSpan w:val="2"/>
            <w:tcBorders>
              <w:top w:val="dashed" w:color="auto" w:sz="4" w:space="0"/>
              <w:left w:val="nil"/>
              <w:bottom w:val="dashed" w:color="auto" w:sz="4" w:space="0"/>
              <w:right w:val="nil"/>
            </w:tcBorders>
          </w:tcPr>
          <w:p w:rsidRPr="00E23886" w:rsidR="00E85946" w:rsidP="0016573E" w:rsidRDefault="00025ADF">
            <w:pPr>
              <w:spacing w:line="252" w:lineRule="atLeast"/>
              <w:rPr>
                <w:rFonts w:cs="Arial"/>
                <w:i/>
                <w:color w:val="000000"/>
                <w:sz w:val="16"/>
                <w:szCs w:val="16"/>
              </w:rPr>
            </w:pPr>
            <w:r>
              <w:rPr>
                <w:rFonts w:cs="Arial"/>
                <w:i/>
                <w:color w:val="000000"/>
                <w:sz w:val="16"/>
                <w:szCs w:val="16"/>
              </w:rPr>
              <w:t xml:space="preserve">    </w:t>
            </w:r>
            <w:r w:rsidRPr="00E23886" w:rsidR="00E85946">
              <w:rPr>
                <w:rFonts w:cs="Arial"/>
                <w:i/>
                <w:color w:val="000000"/>
                <w:sz w:val="16"/>
                <w:szCs w:val="16"/>
              </w:rPr>
              <w:t>77</w:t>
            </w:r>
            <w:r w:rsidRPr="00E85946" w:rsidR="00E85946">
              <w:rPr>
                <w:rFonts w:cs="Arial"/>
                <w:i/>
                <w:color w:val="000000"/>
                <w:sz w:val="16"/>
                <w:szCs w:val="16"/>
                <w:vertAlign w:val="superscript"/>
              </w:rPr>
              <w:t>b</w:t>
            </w:r>
          </w:p>
        </w:tc>
        <w:tc>
          <w:tcPr>
            <w:tcW w:w="293" w:type="pct"/>
            <w:gridSpan w:val="2"/>
            <w:tcBorders>
              <w:top w:val="dashed" w:color="auto" w:sz="4" w:space="0"/>
              <w:left w:val="nil"/>
              <w:bottom w:val="dashed" w:color="auto" w:sz="4" w:space="0"/>
              <w:right w:val="nil"/>
            </w:tcBorders>
            <w:shd w:val="clear" w:color="auto" w:fill="auto"/>
            <w:noWrap/>
            <w:hideMark/>
          </w:tcPr>
          <w:p w:rsidRPr="00E23886" w:rsidR="00E85946" w:rsidP="0016573E" w:rsidRDefault="00025ADF">
            <w:pPr>
              <w:spacing w:line="252" w:lineRule="atLeast"/>
              <w:rPr>
                <w:rFonts w:cs="Arial"/>
                <w:color w:val="000000"/>
                <w:sz w:val="16"/>
                <w:szCs w:val="16"/>
              </w:rPr>
            </w:pPr>
            <w:r>
              <w:rPr>
                <w:rFonts w:cs="Arial"/>
                <w:color w:val="000000"/>
                <w:sz w:val="16"/>
                <w:szCs w:val="16"/>
              </w:rPr>
              <w:t xml:space="preserve">  </w:t>
            </w:r>
            <w:r w:rsidRPr="00E23886" w:rsidR="00E85946">
              <w:rPr>
                <w:rFonts w:cs="Arial"/>
                <w:color w:val="000000"/>
                <w:sz w:val="16"/>
                <w:szCs w:val="16"/>
              </w:rPr>
              <w:t>9.600</w:t>
            </w:r>
          </w:p>
        </w:tc>
        <w:tc>
          <w:tcPr>
            <w:tcW w:w="293" w:type="pct"/>
            <w:tcBorders>
              <w:top w:val="dashed" w:color="auto" w:sz="4" w:space="0"/>
              <w:left w:val="nil"/>
              <w:bottom w:val="dashed" w:color="auto" w:sz="4" w:space="0"/>
              <w:right w:val="nil"/>
            </w:tcBorders>
            <w:shd w:val="clear" w:color="auto" w:fill="auto"/>
            <w:noWrap/>
          </w:tcPr>
          <w:p w:rsidRPr="00E23886" w:rsidR="00E85946" w:rsidP="0016573E" w:rsidRDefault="00025ADF">
            <w:pPr>
              <w:spacing w:line="252" w:lineRule="atLeast"/>
              <w:rPr>
                <w:rFonts w:cs="Arial"/>
                <w:i/>
                <w:color w:val="000000"/>
                <w:sz w:val="16"/>
                <w:szCs w:val="16"/>
              </w:rPr>
            </w:pPr>
            <w:r>
              <w:rPr>
                <w:rFonts w:cs="Arial"/>
                <w:i/>
                <w:color w:val="000000"/>
                <w:sz w:val="16"/>
                <w:szCs w:val="16"/>
              </w:rPr>
              <w:t xml:space="preserve">  </w:t>
            </w:r>
            <w:r w:rsidRPr="00E23886" w:rsidR="00E85946">
              <w:rPr>
                <w:rFonts w:cs="Arial"/>
                <w:i/>
                <w:color w:val="000000"/>
                <w:sz w:val="16"/>
                <w:szCs w:val="16"/>
              </w:rPr>
              <w:t>8.900</w:t>
            </w:r>
          </w:p>
        </w:tc>
        <w:tc>
          <w:tcPr>
            <w:tcW w:w="298" w:type="pct"/>
            <w:gridSpan w:val="2"/>
            <w:tcBorders>
              <w:top w:val="dashed" w:color="auto" w:sz="4" w:space="0"/>
              <w:left w:val="nil"/>
              <w:bottom w:val="dashed" w:color="auto" w:sz="4" w:space="0"/>
              <w:right w:val="nil"/>
            </w:tcBorders>
          </w:tcPr>
          <w:p w:rsidRPr="00E23886" w:rsidR="00E85946" w:rsidP="0016573E" w:rsidRDefault="00E85946">
            <w:pPr>
              <w:spacing w:line="252" w:lineRule="atLeast"/>
              <w:rPr>
                <w:rFonts w:cs="Arial"/>
                <w:color w:val="000000"/>
                <w:sz w:val="16"/>
                <w:szCs w:val="16"/>
              </w:rPr>
            </w:pPr>
          </w:p>
        </w:tc>
        <w:tc>
          <w:tcPr>
            <w:tcW w:w="315" w:type="pct"/>
            <w:tcBorders>
              <w:top w:val="dashed" w:color="auto" w:sz="4" w:space="0"/>
              <w:left w:val="nil"/>
              <w:bottom w:val="dashed" w:color="auto" w:sz="4" w:space="0"/>
              <w:right w:val="nil"/>
            </w:tcBorders>
            <w:shd w:val="clear" w:color="auto" w:fill="auto"/>
            <w:noWrap/>
          </w:tcPr>
          <w:p w:rsidRPr="00E23886" w:rsidR="00E85946" w:rsidP="0016573E" w:rsidRDefault="00E85946">
            <w:pPr>
              <w:spacing w:line="252" w:lineRule="atLeast"/>
              <w:rPr>
                <w:rFonts w:cs="Arial"/>
                <w:color w:val="000000"/>
                <w:sz w:val="16"/>
                <w:szCs w:val="16"/>
              </w:rPr>
            </w:pPr>
            <w:r w:rsidRPr="00E23886">
              <w:rPr>
                <w:rFonts w:cs="Arial"/>
                <w:color w:val="000000"/>
                <w:sz w:val="16"/>
                <w:szCs w:val="16"/>
              </w:rPr>
              <w:t>140</w:t>
            </w:r>
            <w:r w:rsidRPr="00E85946">
              <w:rPr>
                <w:rFonts w:cs="Arial"/>
                <w:color w:val="000000"/>
                <w:sz w:val="16"/>
                <w:szCs w:val="16"/>
                <w:vertAlign w:val="superscript"/>
              </w:rPr>
              <w:t>d</w:t>
            </w:r>
          </w:p>
        </w:tc>
        <w:tc>
          <w:tcPr>
            <w:tcW w:w="315" w:type="pct"/>
            <w:gridSpan w:val="2"/>
            <w:tcBorders>
              <w:top w:val="dashed" w:color="auto" w:sz="4" w:space="0"/>
              <w:left w:val="nil"/>
              <w:bottom w:val="dashed" w:color="auto" w:sz="4" w:space="0"/>
              <w:right w:val="nil"/>
            </w:tcBorders>
            <w:shd w:val="clear" w:color="auto" w:fill="auto"/>
            <w:noWrap/>
          </w:tcPr>
          <w:p w:rsidRPr="00E23886" w:rsidR="00E85946" w:rsidP="0016573E" w:rsidRDefault="00025ADF">
            <w:pPr>
              <w:spacing w:line="252" w:lineRule="atLeast"/>
              <w:rPr>
                <w:rFonts w:cs="Arial"/>
                <w:i/>
                <w:color w:val="000000"/>
                <w:sz w:val="16"/>
                <w:szCs w:val="16"/>
              </w:rPr>
            </w:pPr>
            <w:r>
              <w:rPr>
                <w:rFonts w:cs="Arial"/>
                <w:i/>
                <w:color w:val="000000"/>
                <w:sz w:val="16"/>
                <w:szCs w:val="16"/>
              </w:rPr>
              <w:t xml:space="preserve">  </w:t>
            </w:r>
            <w:r w:rsidRPr="00E23886" w:rsidR="00E85946">
              <w:rPr>
                <w:rFonts w:cs="Arial"/>
                <w:i/>
                <w:color w:val="000000"/>
                <w:sz w:val="16"/>
                <w:szCs w:val="16"/>
              </w:rPr>
              <w:t>89</w:t>
            </w:r>
          </w:p>
        </w:tc>
        <w:tc>
          <w:tcPr>
            <w:tcW w:w="315" w:type="pct"/>
            <w:tcBorders>
              <w:top w:val="dashed" w:color="auto" w:sz="4" w:space="0"/>
              <w:left w:val="nil"/>
              <w:bottom w:val="dashed" w:color="auto" w:sz="4" w:space="0"/>
              <w:right w:val="nil"/>
            </w:tcBorders>
          </w:tcPr>
          <w:p w:rsidRPr="00E23886" w:rsidR="00E85946" w:rsidP="0016573E" w:rsidRDefault="00E85946">
            <w:pPr>
              <w:spacing w:line="252" w:lineRule="atLeast"/>
              <w:rPr>
                <w:rFonts w:cs="Arial"/>
                <w:color w:val="000000"/>
                <w:sz w:val="16"/>
                <w:szCs w:val="16"/>
              </w:rPr>
            </w:pPr>
            <w:r w:rsidRPr="00E23886">
              <w:rPr>
                <w:rFonts w:cs="Arial"/>
                <w:color w:val="000000"/>
                <w:sz w:val="16"/>
                <w:szCs w:val="16"/>
              </w:rPr>
              <w:t>620</w:t>
            </w:r>
            <w:r w:rsidRPr="00E85946">
              <w:rPr>
                <w:rFonts w:cs="Arial"/>
                <w:color w:val="000000"/>
                <w:sz w:val="16"/>
                <w:szCs w:val="16"/>
                <w:vertAlign w:val="superscript"/>
              </w:rPr>
              <w:t>d</w:t>
            </w:r>
          </w:p>
        </w:tc>
        <w:tc>
          <w:tcPr>
            <w:tcW w:w="315" w:type="pct"/>
            <w:gridSpan w:val="2"/>
            <w:tcBorders>
              <w:top w:val="dashed" w:color="auto" w:sz="4" w:space="0"/>
              <w:left w:val="nil"/>
              <w:bottom w:val="dashed" w:color="auto" w:sz="4" w:space="0"/>
              <w:right w:val="nil"/>
            </w:tcBorders>
          </w:tcPr>
          <w:p w:rsidRPr="00E23886" w:rsidR="00E85946" w:rsidP="0016573E" w:rsidRDefault="00E85946">
            <w:pPr>
              <w:spacing w:line="252" w:lineRule="atLeast"/>
              <w:rPr>
                <w:rFonts w:cs="Arial"/>
                <w:i/>
                <w:color w:val="000000"/>
                <w:sz w:val="16"/>
                <w:szCs w:val="16"/>
              </w:rPr>
            </w:pPr>
            <w:r w:rsidRPr="00E23886">
              <w:rPr>
                <w:rFonts w:cs="Arial"/>
                <w:i/>
                <w:color w:val="000000"/>
                <w:sz w:val="16"/>
                <w:szCs w:val="16"/>
              </w:rPr>
              <w:t>480</w:t>
            </w:r>
          </w:p>
        </w:tc>
        <w:tc>
          <w:tcPr>
            <w:tcW w:w="315" w:type="pct"/>
            <w:tcBorders>
              <w:top w:val="dashed" w:color="auto" w:sz="4" w:space="0"/>
              <w:left w:val="nil"/>
              <w:bottom w:val="dashed" w:color="auto" w:sz="4" w:space="0"/>
              <w:right w:val="nil"/>
            </w:tcBorders>
          </w:tcPr>
          <w:p w:rsidRPr="00E23886" w:rsidR="00E85946" w:rsidP="0016573E" w:rsidRDefault="00025ADF">
            <w:pPr>
              <w:spacing w:line="252" w:lineRule="atLeast"/>
              <w:rPr>
                <w:rFonts w:cs="Arial"/>
                <w:color w:val="000000"/>
                <w:sz w:val="16"/>
                <w:szCs w:val="16"/>
              </w:rPr>
            </w:pPr>
            <w:r>
              <w:rPr>
                <w:rFonts w:cs="Arial"/>
                <w:color w:val="000000"/>
                <w:sz w:val="16"/>
                <w:szCs w:val="16"/>
              </w:rPr>
              <w:t xml:space="preserve">   </w:t>
            </w:r>
            <w:r w:rsidRPr="00E23886" w:rsidR="00E85946">
              <w:rPr>
                <w:rFonts w:cs="Arial"/>
                <w:color w:val="000000"/>
                <w:sz w:val="16"/>
                <w:szCs w:val="16"/>
              </w:rPr>
              <w:t>760</w:t>
            </w:r>
            <w:r w:rsidRPr="00E85946" w:rsidR="00E85946">
              <w:rPr>
                <w:rFonts w:cs="Arial"/>
                <w:color w:val="000000"/>
                <w:sz w:val="16"/>
                <w:szCs w:val="16"/>
                <w:vertAlign w:val="superscript"/>
              </w:rPr>
              <w:t>d</w:t>
            </w:r>
          </w:p>
        </w:tc>
        <w:tc>
          <w:tcPr>
            <w:tcW w:w="316" w:type="pct"/>
            <w:tcBorders>
              <w:top w:val="dashed" w:color="auto" w:sz="4" w:space="0"/>
              <w:left w:val="nil"/>
              <w:bottom w:val="dashed" w:color="auto" w:sz="4" w:space="0"/>
              <w:right w:val="nil"/>
            </w:tcBorders>
          </w:tcPr>
          <w:p w:rsidRPr="00E23886" w:rsidR="00E85946" w:rsidP="0016573E" w:rsidRDefault="00025ADF">
            <w:pPr>
              <w:spacing w:line="252" w:lineRule="atLeast"/>
              <w:rPr>
                <w:rFonts w:cs="Arial"/>
                <w:i/>
                <w:color w:val="000000"/>
                <w:sz w:val="16"/>
                <w:szCs w:val="16"/>
              </w:rPr>
            </w:pPr>
            <w:r>
              <w:rPr>
                <w:rFonts w:cs="Arial"/>
                <w:i/>
                <w:color w:val="000000"/>
                <w:sz w:val="16"/>
                <w:szCs w:val="16"/>
              </w:rPr>
              <w:t xml:space="preserve">   </w:t>
            </w:r>
            <w:r w:rsidRPr="00E23886" w:rsidR="00E85946">
              <w:rPr>
                <w:rFonts w:cs="Arial"/>
                <w:i/>
                <w:color w:val="000000"/>
                <w:sz w:val="16"/>
                <w:szCs w:val="16"/>
              </w:rPr>
              <w:t>570</w:t>
            </w:r>
          </w:p>
        </w:tc>
      </w:tr>
      <w:tr w:rsidRPr="00E23886" w:rsidR="00E85946" w:rsidTr="007C641F">
        <w:trPr>
          <w:trHeight w:val="225"/>
        </w:trPr>
        <w:tc>
          <w:tcPr>
            <w:tcW w:w="470" w:type="pct"/>
            <w:gridSpan w:val="2"/>
            <w:tcBorders>
              <w:top w:val="dashed" w:color="auto" w:sz="4" w:space="0"/>
              <w:left w:val="nil"/>
              <w:bottom w:val="dashed" w:color="auto" w:sz="4" w:space="0"/>
              <w:right w:val="nil"/>
            </w:tcBorders>
            <w:shd w:val="clear" w:color="auto" w:fill="auto"/>
            <w:noWrap/>
            <w:hideMark/>
          </w:tcPr>
          <w:p w:rsidRPr="00E23886" w:rsidR="00E85946" w:rsidP="0016573E" w:rsidRDefault="00E85946">
            <w:pPr>
              <w:spacing w:line="252" w:lineRule="atLeast"/>
              <w:rPr>
                <w:rFonts w:cs="Arial"/>
                <w:color w:val="000000"/>
                <w:sz w:val="16"/>
                <w:szCs w:val="16"/>
              </w:rPr>
            </w:pPr>
            <w:r w:rsidRPr="00E23886">
              <w:rPr>
                <w:rFonts w:cs="Arial"/>
                <w:color w:val="000000"/>
                <w:sz w:val="16"/>
                <w:szCs w:val="16"/>
              </w:rPr>
              <w:t>Suïcidaal gedrag</w:t>
            </w:r>
          </w:p>
        </w:tc>
        <w:tc>
          <w:tcPr>
            <w:tcW w:w="292" w:type="pct"/>
            <w:tcBorders>
              <w:top w:val="dashed" w:color="auto" w:sz="4" w:space="0"/>
              <w:left w:val="nil"/>
              <w:bottom w:val="dashed" w:color="auto" w:sz="4" w:space="0"/>
              <w:right w:val="nil"/>
            </w:tcBorders>
            <w:shd w:val="clear" w:color="auto" w:fill="auto"/>
            <w:noWrap/>
            <w:hideMark/>
          </w:tcPr>
          <w:p w:rsidRPr="00E23886" w:rsidR="00E85946" w:rsidP="0016573E" w:rsidRDefault="00025ADF">
            <w:pPr>
              <w:spacing w:line="252" w:lineRule="atLeast"/>
              <w:rPr>
                <w:rFonts w:cs="Arial"/>
                <w:color w:val="000000"/>
                <w:sz w:val="16"/>
                <w:szCs w:val="16"/>
              </w:rPr>
            </w:pPr>
            <w:r>
              <w:rPr>
                <w:rFonts w:cs="Arial"/>
                <w:color w:val="000000"/>
                <w:sz w:val="16"/>
                <w:szCs w:val="16"/>
              </w:rPr>
              <w:t xml:space="preserve">  </w:t>
            </w:r>
            <w:r w:rsidRPr="00E23886" w:rsidR="00E85946">
              <w:rPr>
                <w:rFonts w:cs="Arial"/>
                <w:color w:val="000000"/>
                <w:sz w:val="16"/>
                <w:szCs w:val="16"/>
              </w:rPr>
              <w:t>15.000</w:t>
            </w:r>
          </w:p>
        </w:tc>
        <w:tc>
          <w:tcPr>
            <w:tcW w:w="293" w:type="pct"/>
            <w:gridSpan w:val="2"/>
            <w:tcBorders>
              <w:top w:val="dashed" w:color="auto" w:sz="4" w:space="0"/>
              <w:left w:val="nil"/>
              <w:bottom w:val="dashed" w:color="auto" w:sz="4" w:space="0"/>
              <w:right w:val="nil"/>
            </w:tcBorders>
            <w:shd w:val="clear" w:color="auto" w:fill="auto"/>
            <w:noWrap/>
          </w:tcPr>
          <w:p w:rsidRPr="00E23886" w:rsidR="00E85946" w:rsidP="0016573E" w:rsidRDefault="00025ADF">
            <w:pPr>
              <w:spacing w:line="252" w:lineRule="atLeast"/>
              <w:rPr>
                <w:rFonts w:cs="Arial"/>
                <w:i/>
                <w:color w:val="000000"/>
                <w:sz w:val="16"/>
                <w:szCs w:val="16"/>
              </w:rPr>
            </w:pPr>
            <w:r>
              <w:rPr>
                <w:rFonts w:cs="Arial"/>
                <w:i/>
                <w:color w:val="000000"/>
                <w:sz w:val="16"/>
                <w:szCs w:val="16"/>
              </w:rPr>
              <w:t xml:space="preserve">  </w:t>
            </w:r>
            <w:r w:rsidRPr="00E23886" w:rsidR="00E85946">
              <w:rPr>
                <w:rFonts w:cs="Arial"/>
                <w:i/>
                <w:color w:val="000000"/>
                <w:sz w:val="16"/>
                <w:szCs w:val="16"/>
              </w:rPr>
              <w:t>14.000</w:t>
            </w:r>
          </w:p>
        </w:tc>
        <w:tc>
          <w:tcPr>
            <w:tcW w:w="292" w:type="pct"/>
            <w:gridSpan w:val="2"/>
            <w:tcBorders>
              <w:top w:val="dashed" w:color="auto" w:sz="4" w:space="0"/>
              <w:left w:val="nil"/>
              <w:bottom w:val="dashed" w:color="auto" w:sz="4" w:space="0"/>
              <w:right w:val="nil"/>
            </w:tcBorders>
            <w:shd w:val="clear" w:color="auto" w:fill="auto"/>
            <w:noWrap/>
          </w:tcPr>
          <w:p w:rsidRPr="00E23886" w:rsidR="00E85946" w:rsidP="0016573E" w:rsidRDefault="00025ADF">
            <w:pPr>
              <w:spacing w:line="252" w:lineRule="atLeast"/>
              <w:rPr>
                <w:rFonts w:cs="Arial"/>
                <w:color w:val="000000"/>
                <w:sz w:val="16"/>
                <w:szCs w:val="16"/>
              </w:rPr>
            </w:pPr>
            <w:r>
              <w:rPr>
                <w:rFonts w:cs="Arial"/>
                <w:color w:val="000000"/>
                <w:sz w:val="16"/>
                <w:szCs w:val="16"/>
              </w:rPr>
              <w:t xml:space="preserve">  </w:t>
            </w:r>
            <w:r w:rsidRPr="00E23886" w:rsidR="00E85946">
              <w:rPr>
                <w:rFonts w:cs="Arial"/>
                <w:color w:val="000000"/>
                <w:sz w:val="16"/>
                <w:szCs w:val="16"/>
              </w:rPr>
              <w:t>9.500</w:t>
            </w:r>
          </w:p>
        </w:tc>
        <w:tc>
          <w:tcPr>
            <w:tcW w:w="293" w:type="pct"/>
            <w:gridSpan w:val="2"/>
            <w:tcBorders>
              <w:top w:val="dashed" w:color="auto" w:sz="4" w:space="0"/>
              <w:left w:val="nil"/>
              <w:bottom w:val="dashed" w:color="auto" w:sz="4" w:space="0"/>
              <w:right w:val="nil"/>
            </w:tcBorders>
            <w:shd w:val="clear" w:color="auto" w:fill="auto"/>
            <w:noWrap/>
          </w:tcPr>
          <w:p w:rsidRPr="00E23886" w:rsidR="00E85946" w:rsidP="0016573E" w:rsidRDefault="00E85946">
            <w:pPr>
              <w:spacing w:line="252" w:lineRule="atLeast"/>
              <w:rPr>
                <w:rFonts w:cs="Arial"/>
                <w:i/>
                <w:color w:val="000000"/>
                <w:sz w:val="16"/>
                <w:szCs w:val="16"/>
              </w:rPr>
            </w:pPr>
            <w:r w:rsidRPr="00E23886">
              <w:rPr>
                <w:rFonts w:cs="Arial"/>
                <w:i/>
                <w:color w:val="000000"/>
                <w:sz w:val="16"/>
                <w:szCs w:val="16"/>
              </w:rPr>
              <w:t>9.700</w:t>
            </w:r>
          </w:p>
        </w:tc>
        <w:tc>
          <w:tcPr>
            <w:tcW w:w="293" w:type="pct"/>
            <w:tcBorders>
              <w:top w:val="dashed" w:color="auto" w:sz="4" w:space="0"/>
              <w:left w:val="nil"/>
              <w:bottom w:val="dashed" w:color="auto" w:sz="4" w:space="0"/>
              <w:right w:val="nil"/>
            </w:tcBorders>
          </w:tcPr>
          <w:p w:rsidRPr="00E23886" w:rsidR="00E85946" w:rsidP="0016573E" w:rsidRDefault="00E85946">
            <w:pPr>
              <w:spacing w:line="252" w:lineRule="atLeast"/>
              <w:rPr>
                <w:rFonts w:cs="Arial"/>
                <w:color w:val="000000"/>
                <w:sz w:val="16"/>
                <w:szCs w:val="16"/>
              </w:rPr>
            </w:pPr>
            <w:r w:rsidRPr="00E23886">
              <w:rPr>
                <w:rFonts w:cs="Arial"/>
                <w:color w:val="000000"/>
                <w:sz w:val="16"/>
                <w:szCs w:val="16"/>
              </w:rPr>
              <w:t>1.500</w:t>
            </w:r>
          </w:p>
        </w:tc>
        <w:tc>
          <w:tcPr>
            <w:tcW w:w="292" w:type="pct"/>
            <w:gridSpan w:val="2"/>
            <w:tcBorders>
              <w:top w:val="dashed" w:color="auto" w:sz="4" w:space="0"/>
              <w:left w:val="nil"/>
              <w:bottom w:val="dashed" w:color="auto" w:sz="4" w:space="0"/>
              <w:right w:val="nil"/>
            </w:tcBorders>
          </w:tcPr>
          <w:p w:rsidRPr="00E23886" w:rsidR="00E85946" w:rsidP="0016573E" w:rsidRDefault="00E85946">
            <w:pPr>
              <w:spacing w:line="252" w:lineRule="atLeast"/>
              <w:rPr>
                <w:rFonts w:cs="Arial"/>
                <w:i/>
                <w:color w:val="000000"/>
                <w:sz w:val="16"/>
                <w:szCs w:val="16"/>
              </w:rPr>
            </w:pPr>
            <w:r w:rsidRPr="00E23886">
              <w:rPr>
                <w:rFonts w:cs="Arial"/>
                <w:i/>
                <w:color w:val="000000"/>
                <w:sz w:val="16"/>
                <w:szCs w:val="16"/>
              </w:rPr>
              <w:t>1.500</w:t>
            </w:r>
          </w:p>
        </w:tc>
        <w:tc>
          <w:tcPr>
            <w:tcW w:w="293" w:type="pct"/>
            <w:gridSpan w:val="2"/>
            <w:tcBorders>
              <w:top w:val="dashed" w:color="auto" w:sz="4" w:space="0"/>
              <w:left w:val="nil"/>
              <w:bottom w:val="dashed" w:color="auto" w:sz="4" w:space="0"/>
              <w:right w:val="nil"/>
            </w:tcBorders>
            <w:shd w:val="clear" w:color="auto" w:fill="auto"/>
            <w:noWrap/>
            <w:hideMark/>
          </w:tcPr>
          <w:p w:rsidRPr="00E23886" w:rsidR="00E85946" w:rsidP="0016573E" w:rsidRDefault="00E85946">
            <w:pPr>
              <w:spacing w:line="252" w:lineRule="atLeast"/>
              <w:rPr>
                <w:rFonts w:cs="Arial"/>
                <w:color w:val="000000"/>
                <w:sz w:val="16"/>
                <w:szCs w:val="16"/>
              </w:rPr>
            </w:pPr>
            <w:r w:rsidRPr="00E23886">
              <w:rPr>
                <w:rFonts w:cs="Arial"/>
                <w:color w:val="000000"/>
                <w:sz w:val="16"/>
                <w:szCs w:val="16"/>
              </w:rPr>
              <w:t>44.800</w:t>
            </w:r>
          </w:p>
        </w:tc>
        <w:tc>
          <w:tcPr>
            <w:tcW w:w="293" w:type="pct"/>
            <w:tcBorders>
              <w:top w:val="dashed" w:color="auto" w:sz="4" w:space="0"/>
              <w:left w:val="nil"/>
              <w:bottom w:val="dashed" w:color="auto" w:sz="4" w:space="0"/>
              <w:right w:val="nil"/>
            </w:tcBorders>
            <w:shd w:val="clear" w:color="auto" w:fill="auto"/>
            <w:noWrap/>
          </w:tcPr>
          <w:p w:rsidRPr="00E23886" w:rsidR="00E85946" w:rsidP="0016573E" w:rsidRDefault="00E85946">
            <w:pPr>
              <w:spacing w:line="252" w:lineRule="atLeast"/>
              <w:rPr>
                <w:rFonts w:cs="Arial"/>
                <w:i/>
                <w:color w:val="000000"/>
                <w:sz w:val="16"/>
                <w:szCs w:val="16"/>
              </w:rPr>
            </w:pPr>
            <w:r w:rsidRPr="00E23886">
              <w:rPr>
                <w:rFonts w:cs="Arial"/>
                <w:i/>
                <w:color w:val="000000"/>
                <w:sz w:val="16"/>
                <w:szCs w:val="16"/>
              </w:rPr>
              <w:t>46.800</w:t>
            </w:r>
          </w:p>
        </w:tc>
        <w:tc>
          <w:tcPr>
            <w:tcW w:w="298" w:type="pct"/>
            <w:gridSpan w:val="2"/>
            <w:tcBorders>
              <w:top w:val="dashed" w:color="auto" w:sz="4" w:space="0"/>
              <w:left w:val="nil"/>
              <w:bottom w:val="dashed" w:color="auto" w:sz="4" w:space="0"/>
              <w:right w:val="nil"/>
            </w:tcBorders>
          </w:tcPr>
          <w:p w:rsidRPr="00E23886" w:rsidR="00E85946" w:rsidP="0016573E" w:rsidRDefault="00E85946">
            <w:pPr>
              <w:spacing w:line="252" w:lineRule="atLeast"/>
              <w:rPr>
                <w:rFonts w:cs="Arial"/>
                <w:color w:val="000000"/>
                <w:sz w:val="16"/>
                <w:szCs w:val="16"/>
              </w:rPr>
            </w:pPr>
          </w:p>
        </w:tc>
        <w:tc>
          <w:tcPr>
            <w:tcW w:w="315" w:type="pct"/>
            <w:tcBorders>
              <w:top w:val="dashed" w:color="auto" w:sz="4" w:space="0"/>
              <w:left w:val="nil"/>
              <w:bottom w:val="dashed" w:color="auto" w:sz="4" w:space="0"/>
              <w:right w:val="nil"/>
            </w:tcBorders>
            <w:shd w:val="clear" w:color="auto" w:fill="auto"/>
            <w:noWrap/>
          </w:tcPr>
          <w:p w:rsidRPr="00E23886" w:rsidR="00E85946" w:rsidP="0016573E" w:rsidRDefault="00025ADF">
            <w:pPr>
              <w:spacing w:line="252" w:lineRule="atLeast"/>
              <w:rPr>
                <w:rFonts w:cs="Arial"/>
                <w:color w:val="000000"/>
                <w:sz w:val="16"/>
                <w:szCs w:val="16"/>
              </w:rPr>
            </w:pPr>
            <w:r>
              <w:rPr>
                <w:rFonts w:cs="Arial"/>
                <w:color w:val="000000"/>
                <w:sz w:val="16"/>
                <w:szCs w:val="16"/>
              </w:rPr>
              <w:t xml:space="preserve">  </w:t>
            </w:r>
            <w:r w:rsidRPr="00E23886" w:rsidR="00E85946">
              <w:rPr>
                <w:rFonts w:cs="Arial"/>
                <w:color w:val="000000"/>
                <w:sz w:val="16"/>
                <w:szCs w:val="16"/>
              </w:rPr>
              <w:t>55</w:t>
            </w:r>
            <w:r w:rsidRPr="00E85946" w:rsidR="00E85946">
              <w:rPr>
                <w:rFonts w:cs="Arial"/>
                <w:color w:val="000000"/>
                <w:sz w:val="16"/>
                <w:szCs w:val="16"/>
                <w:vertAlign w:val="superscript"/>
              </w:rPr>
              <w:t>e</w:t>
            </w:r>
          </w:p>
        </w:tc>
        <w:tc>
          <w:tcPr>
            <w:tcW w:w="315" w:type="pct"/>
            <w:gridSpan w:val="2"/>
            <w:tcBorders>
              <w:top w:val="dashed" w:color="auto" w:sz="4" w:space="0"/>
              <w:left w:val="nil"/>
              <w:bottom w:val="dashed" w:color="auto" w:sz="4" w:space="0"/>
              <w:right w:val="nil"/>
            </w:tcBorders>
            <w:shd w:val="clear" w:color="auto" w:fill="auto"/>
            <w:noWrap/>
          </w:tcPr>
          <w:p w:rsidRPr="00E23886" w:rsidR="00E85946" w:rsidP="0016573E" w:rsidRDefault="00025ADF">
            <w:pPr>
              <w:spacing w:line="252" w:lineRule="atLeast"/>
              <w:rPr>
                <w:rFonts w:cs="Arial"/>
                <w:i/>
                <w:color w:val="000000"/>
                <w:sz w:val="16"/>
                <w:szCs w:val="16"/>
              </w:rPr>
            </w:pPr>
            <w:r>
              <w:rPr>
                <w:rFonts w:cs="Arial"/>
                <w:i/>
                <w:color w:val="000000"/>
                <w:sz w:val="16"/>
                <w:szCs w:val="16"/>
              </w:rPr>
              <w:t xml:space="preserve">  </w:t>
            </w:r>
            <w:r w:rsidRPr="00E23886" w:rsidR="00E85946">
              <w:rPr>
                <w:rFonts w:cs="Arial"/>
                <w:i/>
                <w:color w:val="000000"/>
                <w:sz w:val="16"/>
                <w:szCs w:val="16"/>
              </w:rPr>
              <w:t>40</w:t>
            </w:r>
            <w:r w:rsidRPr="00E85946" w:rsidR="00E85946">
              <w:rPr>
                <w:rFonts w:cs="Arial"/>
                <w:i/>
                <w:color w:val="000000"/>
                <w:sz w:val="16"/>
                <w:szCs w:val="16"/>
                <w:vertAlign w:val="superscript"/>
              </w:rPr>
              <w:t>e</w:t>
            </w:r>
          </w:p>
        </w:tc>
        <w:tc>
          <w:tcPr>
            <w:tcW w:w="315" w:type="pct"/>
            <w:tcBorders>
              <w:top w:val="dashed" w:color="auto" w:sz="4" w:space="0"/>
              <w:left w:val="nil"/>
              <w:bottom w:val="dashed" w:color="auto" w:sz="4" w:space="0"/>
              <w:right w:val="nil"/>
            </w:tcBorders>
          </w:tcPr>
          <w:p w:rsidRPr="00E85946" w:rsidR="00E85946" w:rsidP="0016573E" w:rsidRDefault="00E85946">
            <w:pPr>
              <w:spacing w:line="252" w:lineRule="atLeast"/>
              <w:rPr>
                <w:rFonts w:cs="Arial"/>
                <w:color w:val="000000"/>
                <w:sz w:val="16"/>
                <w:szCs w:val="16"/>
                <w:vertAlign w:val="superscript"/>
              </w:rPr>
            </w:pPr>
            <w:r w:rsidRPr="00E85946">
              <w:rPr>
                <w:rFonts w:cs="Arial"/>
                <w:color w:val="000000"/>
                <w:sz w:val="16"/>
                <w:szCs w:val="16"/>
                <w:vertAlign w:val="superscript"/>
              </w:rPr>
              <w:t>e</w:t>
            </w:r>
          </w:p>
        </w:tc>
        <w:tc>
          <w:tcPr>
            <w:tcW w:w="315" w:type="pct"/>
            <w:gridSpan w:val="2"/>
            <w:tcBorders>
              <w:top w:val="dashed" w:color="auto" w:sz="4" w:space="0"/>
              <w:left w:val="nil"/>
              <w:bottom w:val="dashed" w:color="auto" w:sz="4" w:space="0"/>
              <w:right w:val="nil"/>
            </w:tcBorders>
          </w:tcPr>
          <w:p w:rsidRPr="00E85946" w:rsidR="00E85946" w:rsidP="0016573E" w:rsidRDefault="00E85946">
            <w:pPr>
              <w:spacing w:line="252" w:lineRule="atLeast"/>
              <w:rPr>
                <w:rFonts w:cs="Arial"/>
                <w:i/>
                <w:color w:val="000000"/>
                <w:sz w:val="16"/>
                <w:szCs w:val="16"/>
                <w:vertAlign w:val="superscript"/>
              </w:rPr>
            </w:pPr>
            <w:r w:rsidRPr="00E85946">
              <w:rPr>
                <w:rFonts w:cs="Arial"/>
                <w:i/>
                <w:color w:val="000000"/>
                <w:sz w:val="16"/>
                <w:szCs w:val="16"/>
                <w:vertAlign w:val="superscript"/>
              </w:rPr>
              <w:t>e</w:t>
            </w:r>
          </w:p>
        </w:tc>
        <w:tc>
          <w:tcPr>
            <w:tcW w:w="315" w:type="pct"/>
            <w:tcBorders>
              <w:top w:val="dashed" w:color="auto" w:sz="4" w:space="0"/>
              <w:left w:val="nil"/>
              <w:bottom w:val="dashed" w:color="auto" w:sz="4" w:space="0"/>
              <w:right w:val="nil"/>
            </w:tcBorders>
          </w:tcPr>
          <w:p w:rsidRPr="00E23886" w:rsidR="00E85946" w:rsidP="0016573E" w:rsidRDefault="00025ADF">
            <w:pPr>
              <w:spacing w:line="252" w:lineRule="atLeast"/>
              <w:rPr>
                <w:rFonts w:cs="Arial"/>
                <w:color w:val="000000"/>
                <w:sz w:val="16"/>
                <w:szCs w:val="16"/>
              </w:rPr>
            </w:pPr>
            <w:r>
              <w:rPr>
                <w:rFonts w:cs="Arial"/>
                <w:color w:val="000000"/>
                <w:sz w:val="16"/>
                <w:szCs w:val="16"/>
              </w:rPr>
              <w:t xml:space="preserve">     </w:t>
            </w:r>
            <w:r w:rsidR="00E85946">
              <w:rPr>
                <w:rFonts w:cs="Arial"/>
                <w:color w:val="000000"/>
                <w:sz w:val="16"/>
                <w:szCs w:val="16"/>
              </w:rPr>
              <w:t>55</w:t>
            </w:r>
            <w:r w:rsidRPr="00E85946" w:rsidR="00E85946">
              <w:rPr>
                <w:rFonts w:cs="Arial"/>
                <w:color w:val="000000"/>
                <w:sz w:val="16"/>
                <w:szCs w:val="16"/>
                <w:vertAlign w:val="superscript"/>
              </w:rPr>
              <w:t>e</w:t>
            </w:r>
          </w:p>
        </w:tc>
        <w:tc>
          <w:tcPr>
            <w:tcW w:w="316" w:type="pct"/>
            <w:tcBorders>
              <w:top w:val="dashed" w:color="auto" w:sz="4" w:space="0"/>
              <w:left w:val="nil"/>
              <w:bottom w:val="dashed" w:color="auto" w:sz="4" w:space="0"/>
              <w:right w:val="nil"/>
            </w:tcBorders>
          </w:tcPr>
          <w:p w:rsidRPr="00E23886" w:rsidR="00E85946" w:rsidP="0016573E" w:rsidRDefault="00025ADF">
            <w:pPr>
              <w:spacing w:line="252" w:lineRule="atLeast"/>
              <w:rPr>
                <w:rFonts w:cs="Arial"/>
                <w:i/>
                <w:color w:val="000000"/>
                <w:sz w:val="16"/>
                <w:szCs w:val="16"/>
              </w:rPr>
            </w:pPr>
            <w:r>
              <w:rPr>
                <w:rFonts w:cs="Arial"/>
                <w:i/>
                <w:color w:val="000000"/>
                <w:sz w:val="16"/>
                <w:szCs w:val="16"/>
              </w:rPr>
              <w:t xml:space="preserve">    </w:t>
            </w:r>
            <w:r w:rsidRPr="00E23886" w:rsidR="00E85946">
              <w:rPr>
                <w:rFonts w:cs="Arial"/>
                <w:i/>
                <w:color w:val="000000"/>
                <w:sz w:val="16"/>
                <w:szCs w:val="16"/>
              </w:rPr>
              <w:t>40</w:t>
            </w:r>
            <w:r w:rsidRPr="00E85946" w:rsidR="00E85946">
              <w:rPr>
                <w:rFonts w:cs="Arial"/>
                <w:i/>
                <w:color w:val="000000"/>
                <w:sz w:val="16"/>
                <w:szCs w:val="16"/>
                <w:vertAlign w:val="superscript"/>
              </w:rPr>
              <w:t>e</w:t>
            </w:r>
          </w:p>
        </w:tc>
      </w:tr>
      <w:tr w:rsidRPr="00E23886" w:rsidR="00E85946" w:rsidTr="007C641F">
        <w:trPr>
          <w:trHeight w:val="225"/>
        </w:trPr>
        <w:tc>
          <w:tcPr>
            <w:tcW w:w="470" w:type="pct"/>
            <w:gridSpan w:val="2"/>
            <w:tcBorders>
              <w:top w:val="dashed" w:color="auto" w:sz="4" w:space="0"/>
              <w:left w:val="nil"/>
              <w:right w:val="nil"/>
            </w:tcBorders>
            <w:shd w:val="clear" w:color="auto" w:fill="auto"/>
            <w:noWrap/>
            <w:hideMark/>
          </w:tcPr>
          <w:p w:rsidRPr="00E23886" w:rsidR="00E85946" w:rsidP="0016573E" w:rsidRDefault="00E85946">
            <w:pPr>
              <w:spacing w:line="252" w:lineRule="atLeast"/>
              <w:rPr>
                <w:rFonts w:cs="Arial"/>
                <w:color w:val="000000"/>
                <w:sz w:val="16"/>
                <w:szCs w:val="16"/>
              </w:rPr>
            </w:pPr>
            <w:r w:rsidRPr="00E23886">
              <w:rPr>
                <w:rFonts w:cs="Arial"/>
                <w:color w:val="000000"/>
                <w:sz w:val="16"/>
                <w:szCs w:val="16"/>
              </w:rPr>
              <w:t>Geweld</w:t>
            </w:r>
          </w:p>
        </w:tc>
        <w:tc>
          <w:tcPr>
            <w:tcW w:w="292" w:type="pct"/>
            <w:tcBorders>
              <w:top w:val="dashed" w:color="auto" w:sz="4" w:space="0"/>
              <w:left w:val="nil"/>
              <w:right w:val="nil"/>
            </w:tcBorders>
            <w:shd w:val="clear" w:color="auto" w:fill="auto"/>
            <w:noWrap/>
            <w:hideMark/>
          </w:tcPr>
          <w:p w:rsidRPr="00E23886" w:rsidR="00E85946" w:rsidP="0016573E" w:rsidRDefault="00025ADF">
            <w:pPr>
              <w:spacing w:line="252" w:lineRule="atLeast"/>
              <w:rPr>
                <w:rFonts w:cs="Arial"/>
                <w:color w:val="000000"/>
                <w:sz w:val="16"/>
                <w:szCs w:val="16"/>
              </w:rPr>
            </w:pPr>
            <w:r>
              <w:rPr>
                <w:rFonts w:cs="Arial"/>
                <w:color w:val="000000"/>
                <w:sz w:val="16"/>
                <w:szCs w:val="16"/>
              </w:rPr>
              <w:t xml:space="preserve">  </w:t>
            </w:r>
            <w:r w:rsidRPr="00E23886" w:rsidR="00E85946">
              <w:rPr>
                <w:rFonts w:cs="Arial"/>
                <w:color w:val="000000"/>
                <w:sz w:val="16"/>
                <w:szCs w:val="16"/>
              </w:rPr>
              <w:t>28.000</w:t>
            </w:r>
          </w:p>
        </w:tc>
        <w:tc>
          <w:tcPr>
            <w:tcW w:w="293" w:type="pct"/>
            <w:gridSpan w:val="2"/>
            <w:tcBorders>
              <w:top w:val="dashed" w:color="auto" w:sz="4" w:space="0"/>
              <w:left w:val="nil"/>
              <w:right w:val="nil"/>
            </w:tcBorders>
            <w:shd w:val="clear" w:color="auto" w:fill="auto"/>
            <w:noWrap/>
          </w:tcPr>
          <w:p w:rsidRPr="00E23886" w:rsidR="00E85946" w:rsidP="0016573E" w:rsidRDefault="00025ADF">
            <w:pPr>
              <w:spacing w:line="252" w:lineRule="atLeast"/>
              <w:rPr>
                <w:rFonts w:cs="Arial"/>
                <w:i/>
                <w:color w:val="000000"/>
                <w:sz w:val="16"/>
                <w:szCs w:val="16"/>
              </w:rPr>
            </w:pPr>
            <w:r>
              <w:rPr>
                <w:rFonts w:cs="Arial"/>
                <w:i/>
                <w:color w:val="000000"/>
                <w:sz w:val="16"/>
                <w:szCs w:val="16"/>
              </w:rPr>
              <w:t xml:space="preserve">  </w:t>
            </w:r>
            <w:r w:rsidRPr="00E23886" w:rsidR="00E85946">
              <w:rPr>
                <w:rFonts w:cs="Arial"/>
                <w:i/>
                <w:color w:val="000000"/>
                <w:sz w:val="16"/>
                <w:szCs w:val="16"/>
              </w:rPr>
              <w:t>34.000</w:t>
            </w:r>
          </w:p>
        </w:tc>
        <w:tc>
          <w:tcPr>
            <w:tcW w:w="292" w:type="pct"/>
            <w:gridSpan w:val="2"/>
            <w:tcBorders>
              <w:top w:val="dashed" w:color="auto" w:sz="4" w:space="0"/>
              <w:left w:val="nil"/>
              <w:right w:val="nil"/>
            </w:tcBorders>
            <w:shd w:val="clear" w:color="auto" w:fill="auto"/>
            <w:noWrap/>
          </w:tcPr>
          <w:p w:rsidRPr="00E23886" w:rsidR="00E85946" w:rsidP="0016573E" w:rsidRDefault="00025ADF">
            <w:pPr>
              <w:spacing w:line="252" w:lineRule="atLeast"/>
              <w:rPr>
                <w:rFonts w:cs="Arial"/>
                <w:color w:val="000000"/>
                <w:sz w:val="16"/>
                <w:szCs w:val="16"/>
              </w:rPr>
            </w:pPr>
            <w:r>
              <w:rPr>
                <w:rFonts w:cs="Arial"/>
                <w:color w:val="000000"/>
                <w:sz w:val="16"/>
                <w:szCs w:val="16"/>
              </w:rPr>
              <w:t xml:space="preserve">  </w:t>
            </w:r>
            <w:r w:rsidRPr="00E23886" w:rsidR="00E85946">
              <w:rPr>
                <w:rFonts w:cs="Arial"/>
                <w:color w:val="000000"/>
                <w:sz w:val="16"/>
                <w:szCs w:val="16"/>
              </w:rPr>
              <w:t>3.500</w:t>
            </w:r>
          </w:p>
        </w:tc>
        <w:tc>
          <w:tcPr>
            <w:tcW w:w="293" w:type="pct"/>
            <w:gridSpan w:val="2"/>
            <w:tcBorders>
              <w:top w:val="dashed" w:color="auto" w:sz="4" w:space="0"/>
              <w:left w:val="nil"/>
              <w:right w:val="nil"/>
            </w:tcBorders>
            <w:shd w:val="clear" w:color="auto" w:fill="auto"/>
            <w:noWrap/>
          </w:tcPr>
          <w:p w:rsidRPr="00E23886" w:rsidR="00E85946" w:rsidP="0016573E" w:rsidRDefault="00E85946">
            <w:pPr>
              <w:spacing w:line="252" w:lineRule="atLeast"/>
              <w:rPr>
                <w:rFonts w:cs="Arial"/>
                <w:i/>
                <w:color w:val="000000"/>
                <w:sz w:val="16"/>
                <w:szCs w:val="16"/>
              </w:rPr>
            </w:pPr>
            <w:r w:rsidRPr="00E23886">
              <w:rPr>
                <w:rFonts w:cs="Arial"/>
                <w:i/>
                <w:color w:val="000000"/>
                <w:sz w:val="16"/>
                <w:szCs w:val="16"/>
              </w:rPr>
              <w:t>2.700</w:t>
            </w:r>
          </w:p>
        </w:tc>
        <w:tc>
          <w:tcPr>
            <w:tcW w:w="293" w:type="pct"/>
            <w:tcBorders>
              <w:top w:val="dashed" w:color="auto" w:sz="4" w:space="0"/>
              <w:left w:val="nil"/>
              <w:right w:val="nil"/>
            </w:tcBorders>
          </w:tcPr>
          <w:p w:rsidRPr="00E23886" w:rsidR="00E85946" w:rsidP="0016573E" w:rsidRDefault="00025ADF">
            <w:pPr>
              <w:spacing w:line="252" w:lineRule="atLeast"/>
              <w:rPr>
                <w:rFonts w:cs="Arial"/>
                <w:color w:val="000000"/>
                <w:sz w:val="16"/>
                <w:szCs w:val="16"/>
              </w:rPr>
            </w:pPr>
            <w:r>
              <w:rPr>
                <w:rFonts w:cs="Arial"/>
                <w:color w:val="000000"/>
                <w:sz w:val="16"/>
                <w:szCs w:val="16"/>
              </w:rPr>
              <w:t xml:space="preserve">   </w:t>
            </w:r>
            <w:r w:rsidRPr="00E23886" w:rsidR="00E85946">
              <w:rPr>
                <w:rFonts w:cs="Arial"/>
                <w:color w:val="000000"/>
                <w:sz w:val="16"/>
                <w:szCs w:val="16"/>
              </w:rPr>
              <w:t>150</w:t>
            </w:r>
          </w:p>
        </w:tc>
        <w:tc>
          <w:tcPr>
            <w:tcW w:w="292" w:type="pct"/>
            <w:gridSpan w:val="2"/>
            <w:tcBorders>
              <w:top w:val="dashed" w:color="auto" w:sz="4" w:space="0"/>
              <w:left w:val="nil"/>
              <w:right w:val="nil"/>
            </w:tcBorders>
          </w:tcPr>
          <w:p w:rsidRPr="00E23886" w:rsidR="00E85946" w:rsidP="0016573E" w:rsidRDefault="00025ADF">
            <w:pPr>
              <w:spacing w:line="252" w:lineRule="atLeast"/>
              <w:rPr>
                <w:rFonts w:cs="Arial"/>
                <w:i/>
                <w:color w:val="000000"/>
                <w:sz w:val="16"/>
                <w:szCs w:val="16"/>
              </w:rPr>
            </w:pPr>
            <w:r>
              <w:rPr>
                <w:rFonts w:cs="Arial"/>
                <w:i/>
                <w:color w:val="000000"/>
                <w:sz w:val="16"/>
                <w:szCs w:val="16"/>
              </w:rPr>
              <w:t xml:space="preserve">  </w:t>
            </w:r>
            <w:r w:rsidRPr="00E23886" w:rsidR="00E85946">
              <w:rPr>
                <w:rFonts w:cs="Arial"/>
                <w:i/>
                <w:color w:val="000000"/>
                <w:sz w:val="16"/>
                <w:szCs w:val="16"/>
              </w:rPr>
              <w:t>190</w:t>
            </w:r>
          </w:p>
        </w:tc>
        <w:tc>
          <w:tcPr>
            <w:tcW w:w="293" w:type="pct"/>
            <w:gridSpan w:val="2"/>
            <w:tcBorders>
              <w:top w:val="dashed" w:color="auto" w:sz="4" w:space="0"/>
              <w:left w:val="nil"/>
              <w:right w:val="nil"/>
            </w:tcBorders>
            <w:shd w:val="clear" w:color="auto" w:fill="auto"/>
            <w:noWrap/>
            <w:hideMark/>
          </w:tcPr>
          <w:p w:rsidRPr="00E23886" w:rsidR="00E85946" w:rsidP="0016573E" w:rsidRDefault="00025ADF">
            <w:pPr>
              <w:spacing w:line="252" w:lineRule="atLeast"/>
              <w:rPr>
                <w:rFonts w:cs="Arial"/>
                <w:color w:val="000000"/>
                <w:sz w:val="16"/>
                <w:szCs w:val="16"/>
              </w:rPr>
            </w:pPr>
            <w:r>
              <w:rPr>
                <w:rFonts w:cs="Arial"/>
                <w:color w:val="000000"/>
                <w:sz w:val="16"/>
                <w:szCs w:val="16"/>
              </w:rPr>
              <w:t xml:space="preserve">  </w:t>
            </w:r>
            <w:r w:rsidRPr="00E23886" w:rsidR="00E85946">
              <w:rPr>
                <w:rFonts w:cs="Arial"/>
                <w:color w:val="000000"/>
                <w:sz w:val="16"/>
                <w:szCs w:val="16"/>
              </w:rPr>
              <w:t>6.200</w:t>
            </w:r>
          </w:p>
        </w:tc>
        <w:tc>
          <w:tcPr>
            <w:tcW w:w="293" w:type="pct"/>
            <w:tcBorders>
              <w:top w:val="dashed" w:color="auto" w:sz="4" w:space="0"/>
              <w:left w:val="nil"/>
              <w:right w:val="nil"/>
            </w:tcBorders>
            <w:shd w:val="clear" w:color="auto" w:fill="auto"/>
            <w:noWrap/>
          </w:tcPr>
          <w:p w:rsidRPr="00E23886" w:rsidR="00E85946" w:rsidP="0016573E" w:rsidRDefault="00025ADF">
            <w:pPr>
              <w:spacing w:line="252" w:lineRule="atLeast"/>
              <w:rPr>
                <w:rFonts w:cs="Arial"/>
                <w:i/>
                <w:color w:val="000000"/>
                <w:sz w:val="16"/>
                <w:szCs w:val="16"/>
              </w:rPr>
            </w:pPr>
            <w:r>
              <w:rPr>
                <w:rFonts w:cs="Arial"/>
                <w:i/>
                <w:color w:val="000000"/>
                <w:sz w:val="16"/>
                <w:szCs w:val="16"/>
              </w:rPr>
              <w:t xml:space="preserve">  </w:t>
            </w:r>
            <w:r w:rsidRPr="00E23886" w:rsidR="00E85946">
              <w:rPr>
                <w:rFonts w:cs="Arial"/>
                <w:i/>
                <w:color w:val="000000"/>
                <w:sz w:val="16"/>
                <w:szCs w:val="16"/>
              </w:rPr>
              <w:t>8.000</w:t>
            </w:r>
          </w:p>
        </w:tc>
        <w:tc>
          <w:tcPr>
            <w:tcW w:w="298" w:type="pct"/>
            <w:gridSpan w:val="2"/>
            <w:tcBorders>
              <w:top w:val="dashed" w:color="auto" w:sz="4" w:space="0"/>
              <w:left w:val="nil"/>
              <w:right w:val="nil"/>
            </w:tcBorders>
          </w:tcPr>
          <w:p w:rsidRPr="00E23886" w:rsidR="00E85946" w:rsidP="0016573E" w:rsidRDefault="00E85946">
            <w:pPr>
              <w:spacing w:line="252" w:lineRule="atLeast"/>
              <w:rPr>
                <w:rFonts w:cs="Arial"/>
                <w:color w:val="000000"/>
                <w:sz w:val="16"/>
                <w:szCs w:val="16"/>
              </w:rPr>
            </w:pPr>
          </w:p>
        </w:tc>
        <w:tc>
          <w:tcPr>
            <w:tcW w:w="315" w:type="pct"/>
            <w:tcBorders>
              <w:top w:val="dashed" w:color="auto" w:sz="4" w:space="0"/>
              <w:left w:val="nil"/>
              <w:right w:val="nil"/>
            </w:tcBorders>
            <w:shd w:val="clear" w:color="auto" w:fill="auto"/>
            <w:noWrap/>
          </w:tcPr>
          <w:p w:rsidRPr="00E23886" w:rsidR="00E85946" w:rsidP="0016573E" w:rsidRDefault="00025ADF">
            <w:pPr>
              <w:spacing w:line="252" w:lineRule="atLeast"/>
              <w:rPr>
                <w:rFonts w:cs="Arial"/>
                <w:color w:val="000000"/>
                <w:sz w:val="16"/>
                <w:szCs w:val="16"/>
              </w:rPr>
            </w:pPr>
            <w:r>
              <w:rPr>
                <w:rFonts w:cs="Arial"/>
                <w:color w:val="000000"/>
                <w:sz w:val="16"/>
                <w:szCs w:val="16"/>
              </w:rPr>
              <w:t xml:space="preserve">  </w:t>
            </w:r>
            <w:r w:rsidRPr="00E23886" w:rsidR="00E85946">
              <w:rPr>
                <w:rFonts w:cs="Arial"/>
                <w:color w:val="000000"/>
                <w:sz w:val="16"/>
                <w:szCs w:val="16"/>
              </w:rPr>
              <w:t>33</w:t>
            </w:r>
            <w:r w:rsidRPr="00E85946" w:rsidR="00E85946">
              <w:rPr>
                <w:rFonts w:cs="Arial"/>
                <w:color w:val="000000"/>
                <w:sz w:val="16"/>
                <w:szCs w:val="16"/>
                <w:vertAlign w:val="superscript"/>
              </w:rPr>
              <w:t>e</w:t>
            </w:r>
          </w:p>
        </w:tc>
        <w:tc>
          <w:tcPr>
            <w:tcW w:w="315" w:type="pct"/>
            <w:gridSpan w:val="2"/>
            <w:tcBorders>
              <w:top w:val="dashed" w:color="auto" w:sz="4" w:space="0"/>
              <w:left w:val="nil"/>
              <w:right w:val="nil"/>
            </w:tcBorders>
            <w:shd w:val="clear" w:color="auto" w:fill="auto"/>
            <w:noWrap/>
          </w:tcPr>
          <w:p w:rsidRPr="00E23886" w:rsidR="00E85946" w:rsidP="0016573E" w:rsidRDefault="00025ADF">
            <w:pPr>
              <w:spacing w:line="252" w:lineRule="atLeast"/>
              <w:rPr>
                <w:rFonts w:cs="Arial"/>
                <w:i/>
                <w:color w:val="000000"/>
                <w:sz w:val="16"/>
                <w:szCs w:val="16"/>
              </w:rPr>
            </w:pPr>
            <w:r>
              <w:rPr>
                <w:rFonts w:cs="Arial"/>
                <w:i/>
                <w:color w:val="000000"/>
                <w:sz w:val="16"/>
                <w:szCs w:val="16"/>
              </w:rPr>
              <w:t xml:space="preserve">  </w:t>
            </w:r>
            <w:r w:rsidRPr="00E23886" w:rsidR="00E85946">
              <w:rPr>
                <w:rFonts w:cs="Arial"/>
                <w:i/>
                <w:color w:val="000000"/>
                <w:sz w:val="16"/>
                <w:szCs w:val="16"/>
              </w:rPr>
              <w:t>31</w:t>
            </w:r>
            <w:r w:rsidRPr="00E85946" w:rsidR="00E85946">
              <w:rPr>
                <w:rFonts w:cs="Arial"/>
                <w:i/>
                <w:color w:val="000000"/>
                <w:sz w:val="16"/>
                <w:szCs w:val="16"/>
                <w:vertAlign w:val="superscript"/>
              </w:rPr>
              <w:t>e</w:t>
            </w:r>
          </w:p>
        </w:tc>
        <w:tc>
          <w:tcPr>
            <w:tcW w:w="315" w:type="pct"/>
            <w:tcBorders>
              <w:top w:val="dashed" w:color="auto" w:sz="4" w:space="0"/>
              <w:left w:val="nil"/>
              <w:right w:val="nil"/>
            </w:tcBorders>
          </w:tcPr>
          <w:p w:rsidRPr="00E23886" w:rsidR="00E85946" w:rsidP="0016573E" w:rsidRDefault="00025ADF">
            <w:pPr>
              <w:spacing w:line="252" w:lineRule="atLeast"/>
              <w:rPr>
                <w:rFonts w:cs="Arial"/>
                <w:color w:val="000000"/>
                <w:sz w:val="16"/>
                <w:szCs w:val="16"/>
              </w:rPr>
            </w:pPr>
            <w:r>
              <w:rPr>
                <w:rFonts w:cs="Arial"/>
                <w:color w:val="000000"/>
                <w:sz w:val="16"/>
                <w:szCs w:val="16"/>
              </w:rPr>
              <w:t xml:space="preserve">  </w:t>
            </w:r>
            <w:r w:rsidRPr="00E23886" w:rsidR="00E85946">
              <w:rPr>
                <w:rFonts w:cs="Arial"/>
                <w:color w:val="000000"/>
                <w:sz w:val="16"/>
                <w:szCs w:val="16"/>
              </w:rPr>
              <w:t>70</w:t>
            </w:r>
            <w:r w:rsidRPr="00E85946" w:rsidR="00E85946">
              <w:rPr>
                <w:rFonts w:cs="Arial"/>
                <w:color w:val="000000"/>
                <w:sz w:val="16"/>
                <w:szCs w:val="16"/>
                <w:vertAlign w:val="superscript"/>
              </w:rPr>
              <w:t>e</w:t>
            </w:r>
          </w:p>
        </w:tc>
        <w:tc>
          <w:tcPr>
            <w:tcW w:w="315" w:type="pct"/>
            <w:gridSpan w:val="2"/>
            <w:tcBorders>
              <w:top w:val="dashed" w:color="auto" w:sz="4" w:space="0"/>
              <w:left w:val="nil"/>
              <w:right w:val="nil"/>
            </w:tcBorders>
          </w:tcPr>
          <w:p w:rsidRPr="00E23886" w:rsidR="00E85946" w:rsidP="0016573E" w:rsidRDefault="00025ADF">
            <w:pPr>
              <w:spacing w:line="252" w:lineRule="atLeast"/>
              <w:rPr>
                <w:rFonts w:cs="Arial"/>
                <w:i/>
                <w:color w:val="000000"/>
                <w:sz w:val="16"/>
                <w:szCs w:val="16"/>
              </w:rPr>
            </w:pPr>
            <w:r>
              <w:rPr>
                <w:rFonts w:cs="Arial"/>
                <w:i/>
                <w:color w:val="000000"/>
                <w:sz w:val="16"/>
                <w:szCs w:val="16"/>
              </w:rPr>
              <w:t xml:space="preserve">  </w:t>
            </w:r>
            <w:r w:rsidRPr="00E23886" w:rsidR="00E85946">
              <w:rPr>
                <w:rFonts w:cs="Arial"/>
                <w:i/>
                <w:color w:val="000000"/>
                <w:sz w:val="16"/>
                <w:szCs w:val="16"/>
              </w:rPr>
              <w:t>52</w:t>
            </w:r>
          </w:p>
        </w:tc>
        <w:tc>
          <w:tcPr>
            <w:tcW w:w="315" w:type="pct"/>
            <w:tcBorders>
              <w:top w:val="dashed" w:color="auto" w:sz="4" w:space="0"/>
              <w:left w:val="nil"/>
              <w:right w:val="nil"/>
            </w:tcBorders>
          </w:tcPr>
          <w:p w:rsidRPr="00E23886" w:rsidR="00E85946" w:rsidP="0016573E" w:rsidRDefault="00025ADF">
            <w:pPr>
              <w:spacing w:line="252" w:lineRule="atLeast"/>
              <w:rPr>
                <w:rFonts w:cs="Arial"/>
                <w:color w:val="000000"/>
                <w:sz w:val="16"/>
                <w:szCs w:val="16"/>
              </w:rPr>
            </w:pPr>
            <w:r>
              <w:rPr>
                <w:rFonts w:cs="Arial"/>
                <w:color w:val="000000"/>
                <w:sz w:val="16"/>
                <w:szCs w:val="16"/>
              </w:rPr>
              <w:t xml:space="preserve">   </w:t>
            </w:r>
            <w:r w:rsidRPr="00E23886" w:rsidR="00E85946">
              <w:rPr>
                <w:rFonts w:cs="Arial"/>
                <w:color w:val="000000"/>
                <w:sz w:val="16"/>
                <w:szCs w:val="16"/>
              </w:rPr>
              <w:t>100</w:t>
            </w:r>
            <w:r w:rsidRPr="00E85946" w:rsidR="00E85946">
              <w:rPr>
                <w:rFonts w:cs="Arial"/>
                <w:color w:val="000000"/>
                <w:sz w:val="16"/>
                <w:szCs w:val="16"/>
                <w:vertAlign w:val="superscript"/>
              </w:rPr>
              <w:t>e</w:t>
            </w:r>
          </w:p>
        </w:tc>
        <w:tc>
          <w:tcPr>
            <w:tcW w:w="316" w:type="pct"/>
            <w:tcBorders>
              <w:top w:val="dashed" w:color="auto" w:sz="4" w:space="0"/>
              <w:left w:val="nil"/>
              <w:right w:val="nil"/>
            </w:tcBorders>
          </w:tcPr>
          <w:p w:rsidRPr="00E23886" w:rsidR="00E85946" w:rsidP="0016573E" w:rsidRDefault="00025ADF">
            <w:pPr>
              <w:spacing w:line="252" w:lineRule="atLeast"/>
              <w:rPr>
                <w:rFonts w:cs="Arial"/>
                <w:i/>
                <w:color w:val="000000"/>
                <w:sz w:val="16"/>
                <w:szCs w:val="16"/>
              </w:rPr>
            </w:pPr>
            <w:r>
              <w:rPr>
                <w:rFonts w:cs="Arial"/>
                <w:i/>
                <w:color w:val="000000"/>
                <w:sz w:val="16"/>
                <w:szCs w:val="16"/>
              </w:rPr>
              <w:t xml:space="preserve">    </w:t>
            </w:r>
            <w:r w:rsidRPr="00E23886" w:rsidR="00E85946">
              <w:rPr>
                <w:rFonts w:cs="Arial"/>
                <w:i/>
                <w:color w:val="000000"/>
                <w:sz w:val="16"/>
                <w:szCs w:val="16"/>
              </w:rPr>
              <w:t>84</w:t>
            </w:r>
            <w:r w:rsidRPr="00E85946" w:rsidR="00E85946">
              <w:rPr>
                <w:rFonts w:cs="Arial"/>
                <w:i/>
                <w:color w:val="000000"/>
                <w:sz w:val="16"/>
                <w:szCs w:val="16"/>
                <w:vertAlign w:val="superscript"/>
              </w:rPr>
              <w:t>e</w:t>
            </w:r>
          </w:p>
        </w:tc>
      </w:tr>
      <w:tr w:rsidRPr="00E23886" w:rsidR="00E85946" w:rsidTr="007C641F">
        <w:trPr>
          <w:trHeight w:val="225"/>
        </w:trPr>
        <w:tc>
          <w:tcPr>
            <w:tcW w:w="470" w:type="pct"/>
            <w:gridSpan w:val="2"/>
            <w:tcBorders>
              <w:left w:val="nil"/>
              <w:bottom w:val="single" w:color="auto" w:sz="4" w:space="0"/>
              <w:right w:val="nil"/>
            </w:tcBorders>
            <w:shd w:val="clear" w:color="auto" w:fill="auto"/>
            <w:noWrap/>
            <w:hideMark/>
          </w:tcPr>
          <w:p w:rsidRPr="00E23886" w:rsidR="00E85946" w:rsidP="0016573E" w:rsidRDefault="00E85946">
            <w:pPr>
              <w:spacing w:line="252" w:lineRule="atLeast"/>
              <w:rPr>
                <w:rFonts w:cs="Arial"/>
                <w:color w:val="000000"/>
                <w:sz w:val="16"/>
                <w:szCs w:val="16"/>
              </w:rPr>
            </w:pPr>
          </w:p>
        </w:tc>
        <w:tc>
          <w:tcPr>
            <w:tcW w:w="292" w:type="pct"/>
            <w:tcBorders>
              <w:left w:val="nil"/>
              <w:bottom w:val="single" w:color="auto" w:sz="4" w:space="0"/>
              <w:right w:val="nil"/>
            </w:tcBorders>
            <w:shd w:val="clear" w:color="auto" w:fill="auto"/>
            <w:noWrap/>
            <w:hideMark/>
          </w:tcPr>
          <w:p w:rsidRPr="00E23886" w:rsidR="00E85946" w:rsidP="0016573E" w:rsidRDefault="00E85946">
            <w:pPr>
              <w:spacing w:line="252" w:lineRule="atLeast"/>
              <w:rPr>
                <w:rFonts w:cs="Arial"/>
                <w:color w:val="000000"/>
                <w:sz w:val="16"/>
                <w:szCs w:val="16"/>
              </w:rPr>
            </w:pPr>
          </w:p>
        </w:tc>
        <w:tc>
          <w:tcPr>
            <w:tcW w:w="293" w:type="pct"/>
            <w:gridSpan w:val="2"/>
            <w:tcBorders>
              <w:left w:val="nil"/>
              <w:bottom w:val="single" w:color="auto" w:sz="4" w:space="0"/>
              <w:right w:val="nil"/>
            </w:tcBorders>
            <w:shd w:val="clear" w:color="auto" w:fill="auto"/>
            <w:noWrap/>
          </w:tcPr>
          <w:p w:rsidRPr="00E23886" w:rsidR="00E85946" w:rsidP="0016573E" w:rsidRDefault="00E85946">
            <w:pPr>
              <w:spacing w:line="252" w:lineRule="atLeast"/>
              <w:rPr>
                <w:rFonts w:cs="Arial"/>
                <w:i/>
                <w:color w:val="000000"/>
                <w:sz w:val="16"/>
                <w:szCs w:val="16"/>
              </w:rPr>
            </w:pPr>
          </w:p>
        </w:tc>
        <w:tc>
          <w:tcPr>
            <w:tcW w:w="292" w:type="pct"/>
            <w:gridSpan w:val="2"/>
            <w:tcBorders>
              <w:left w:val="nil"/>
              <w:bottom w:val="single" w:color="auto" w:sz="4" w:space="0"/>
              <w:right w:val="nil"/>
            </w:tcBorders>
            <w:shd w:val="clear" w:color="auto" w:fill="auto"/>
            <w:noWrap/>
          </w:tcPr>
          <w:p w:rsidRPr="00E23886" w:rsidR="00E85946" w:rsidP="0016573E" w:rsidRDefault="00E85946">
            <w:pPr>
              <w:spacing w:line="252" w:lineRule="atLeast"/>
              <w:rPr>
                <w:rFonts w:cs="Arial"/>
                <w:color w:val="000000"/>
                <w:sz w:val="16"/>
                <w:szCs w:val="16"/>
              </w:rPr>
            </w:pPr>
          </w:p>
        </w:tc>
        <w:tc>
          <w:tcPr>
            <w:tcW w:w="293" w:type="pct"/>
            <w:gridSpan w:val="2"/>
            <w:tcBorders>
              <w:left w:val="nil"/>
              <w:bottom w:val="single" w:color="auto" w:sz="4" w:space="0"/>
              <w:right w:val="nil"/>
            </w:tcBorders>
            <w:shd w:val="clear" w:color="auto" w:fill="auto"/>
            <w:noWrap/>
          </w:tcPr>
          <w:p w:rsidRPr="00E23886" w:rsidR="00E85946" w:rsidP="0016573E" w:rsidRDefault="00E85946">
            <w:pPr>
              <w:spacing w:line="252" w:lineRule="atLeast"/>
              <w:rPr>
                <w:rFonts w:cs="Arial"/>
                <w:i/>
                <w:color w:val="000000"/>
                <w:sz w:val="16"/>
                <w:szCs w:val="16"/>
              </w:rPr>
            </w:pPr>
          </w:p>
        </w:tc>
        <w:tc>
          <w:tcPr>
            <w:tcW w:w="293" w:type="pct"/>
            <w:tcBorders>
              <w:left w:val="nil"/>
              <w:bottom w:val="single" w:color="auto" w:sz="4" w:space="0"/>
              <w:right w:val="nil"/>
            </w:tcBorders>
          </w:tcPr>
          <w:p w:rsidRPr="00E23886" w:rsidR="00E85946" w:rsidP="0016573E" w:rsidRDefault="00E85946">
            <w:pPr>
              <w:spacing w:line="252" w:lineRule="atLeast"/>
              <w:rPr>
                <w:rFonts w:cs="Arial"/>
                <w:color w:val="000000"/>
                <w:sz w:val="16"/>
                <w:szCs w:val="16"/>
              </w:rPr>
            </w:pPr>
          </w:p>
        </w:tc>
        <w:tc>
          <w:tcPr>
            <w:tcW w:w="292" w:type="pct"/>
            <w:gridSpan w:val="2"/>
            <w:tcBorders>
              <w:left w:val="nil"/>
              <w:bottom w:val="single" w:color="auto" w:sz="4" w:space="0"/>
              <w:right w:val="nil"/>
            </w:tcBorders>
          </w:tcPr>
          <w:p w:rsidRPr="00E23886" w:rsidR="00E85946" w:rsidP="0016573E" w:rsidRDefault="00E85946">
            <w:pPr>
              <w:spacing w:line="252" w:lineRule="atLeast"/>
              <w:rPr>
                <w:rFonts w:cs="Arial"/>
                <w:i/>
                <w:color w:val="000000"/>
                <w:sz w:val="16"/>
                <w:szCs w:val="16"/>
              </w:rPr>
            </w:pPr>
          </w:p>
        </w:tc>
        <w:tc>
          <w:tcPr>
            <w:tcW w:w="293" w:type="pct"/>
            <w:gridSpan w:val="2"/>
            <w:tcBorders>
              <w:left w:val="nil"/>
              <w:bottom w:val="single" w:color="auto" w:sz="4" w:space="0"/>
              <w:right w:val="nil"/>
            </w:tcBorders>
            <w:shd w:val="clear" w:color="auto" w:fill="auto"/>
            <w:noWrap/>
            <w:hideMark/>
          </w:tcPr>
          <w:p w:rsidRPr="00E23886" w:rsidR="00E85946" w:rsidP="0016573E" w:rsidRDefault="00E85946">
            <w:pPr>
              <w:spacing w:line="252" w:lineRule="atLeast"/>
              <w:rPr>
                <w:rFonts w:cs="Arial"/>
                <w:color w:val="000000"/>
                <w:sz w:val="16"/>
                <w:szCs w:val="16"/>
              </w:rPr>
            </w:pPr>
          </w:p>
        </w:tc>
        <w:tc>
          <w:tcPr>
            <w:tcW w:w="293" w:type="pct"/>
            <w:tcBorders>
              <w:left w:val="nil"/>
              <w:bottom w:val="single" w:color="auto" w:sz="4" w:space="0"/>
              <w:right w:val="nil"/>
            </w:tcBorders>
            <w:shd w:val="clear" w:color="auto" w:fill="auto"/>
            <w:noWrap/>
          </w:tcPr>
          <w:p w:rsidRPr="00E23886" w:rsidR="00E85946" w:rsidP="0016573E" w:rsidRDefault="00E85946">
            <w:pPr>
              <w:spacing w:line="252" w:lineRule="atLeast"/>
              <w:rPr>
                <w:rFonts w:cs="Arial"/>
                <w:i/>
                <w:color w:val="000000"/>
                <w:sz w:val="16"/>
                <w:szCs w:val="16"/>
              </w:rPr>
            </w:pPr>
          </w:p>
        </w:tc>
        <w:tc>
          <w:tcPr>
            <w:tcW w:w="298" w:type="pct"/>
            <w:gridSpan w:val="2"/>
            <w:tcBorders>
              <w:left w:val="nil"/>
              <w:bottom w:val="single" w:color="auto" w:sz="4" w:space="0"/>
              <w:right w:val="nil"/>
            </w:tcBorders>
          </w:tcPr>
          <w:p w:rsidRPr="00E23886" w:rsidR="00E85946" w:rsidP="0016573E" w:rsidRDefault="00E85946">
            <w:pPr>
              <w:spacing w:line="252" w:lineRule="atLeast"/>
              <w:rPr>
                <w:rFonts w:cs="Arial"/>
                <w:color w:val="000000"/>
                <w:sz w:val="16"/>
                <w:szCs w:val="16"/>
              </w:rPr>
            </w:pPr>
          </w:p>
        </w:tc>
        <w:tc>
          <w:tcPr>
            <w:tcW w:w="315" w:type="pct"/>
            <w:tcBorders>
              <w:left w:val="nil"/>
              <w:bottom w:val="single" w:color="auto" w:sz="4" w:space="0"/>
              <w:right w:val="nil"/>
            </w:tcBorders>
            <w:shd w:val="clear" w:color="auto" w:fill="auto"/>
            <w:noWrap/>
          </w:tcPr>
          <w:p w:rsidRPr="00E23886" w:rsidR="00E85946" w:rsidP="0016573E" w:rsidRDefault="00E85946">
            <w:pPr>
              <w:spacing w:line="252" w:lineRule="atLeast"/>
              <w:rPr>
                <w:rFonts w:cs="Arial"/>
                <w:color w:val="000000"/>
                <w:sz w:val="16"/>
                <w:szCs w:val="16"/>
              </w:rPr>
            </w:pPr>
          </w:p>
        </w:tc>
        <w:tc>
          <w:tcPr>
            <w:tcW w:w="315" w:type="pct"/>
            <w:gridSpan w:val="2"/>
            <w:tcBorders>
              <w:left w:val="nil"/>
              <w:bottom w:val="single" w:color="auto" w:sz="4" w:space="0"/>
              <w:right w:val="nil"/>
            </w:tcBorders>
            <w:shd w:val="clear" w:color="auto" w:fill="auto"/>
            <w:noWrap/>
          </w:tcPr>
          <w:p w:rsidRPr="00E23886" w:rsidR="00E85946" w:rsidP="0016573E" w:rsidRDefault="00E85946">
            <w:pPr>
              <w:spacing w:line="252" w:lineRule="atLeast"/>
              <w:rPr>
                <w:rFonts w:cs="Arial"/>
                <w:i/>
                <w:color w:val="000000"/>
                <w:sz w:val="16"/>
                <w:szCs w:val="16"/>
              </w:rPr>
            </w:pPr>
          </w:p>
        </w:tc>
        <w:tc>
          <w:tcPr>
            <w:tcW w:w="315" w:type="pct"/>
            <w:tcBorders>
              <w:left w:val="nil"/>
              <w:bottom w:val="single" w:color="auto" w:sz="4" w:space="0"/>
              <w:right w:val="nil"/>
            </w:tcBorders>
          </w:tcPr>
          <w:p w:rsidRPr="00E23886" w:rsidR="00E85946" w:rsidP="0016573E" w:rsidRDefault="00E85946">
            <w:pPr>
              <w:spacing w:line="252" w:lineRule="atLeast"/>
              <w:rPr>
                <w:rFonts w:cs="Arial"/>
                <w:color w:val="000000"/>
                <w:sz w:val="16"/>
                <w:szCs w:val="16"/>
              </w:rPr>
            </w:pPr>
          </w:p>
        </w:tc>
        <w:tc>
          <w:tcPr>
            <w:tcW w:w="315" w:type="pct"/>
            <w:gridSpan w:val="2"/>
            <w:tcBorders>
              <w:left w:val="nil"/>
              <w:bottom w:val="single" w:color="auto" w:sz="4" w:space="0"/>
              <w:right w:val="nil"/>
            </w:tcBorders>
          </w:tcPr>
          <w:p w:rsidRPr="00E23886" w:rsidR="00E85946" w:rsidP="0016573E" w:rsidRDefault="00E85946">
            <w:pPr>
              <w:spacing w:line="252" w:lineRule="atLeast"/>
              <w:rPr>
                <w:rFonts w:cs="Arial"/>
                <w:i/>
                <w:color w:val="000000"/>
                <w:sz w:val="16"/>
                <w:szCs w:val="16"/>
              </w:rPr>
            </w:pPr>
          </w:p>
        </w:tc>
        <w:tc>
          <w:tcPr>
            <w:tcW w:w="315" w:type="pct"/>
            <w:tcBorders>
              <w:left w:val="nil"/>
              <w:bottom w:val="single" w:color="auto" w:sz="4" w:space="0"/>
              <w:right w:val="nil"/>
            </w:tcBorders>
          </w:tcPr>
          <w:p w:rsidRPr="00E23886" w:rsidR="00E85946" w:rsidP="0016573E" w:rsidRDefault="00E85946">
            <w:pPr>
              <w:spacing w:line="252" w:lineRule="atLeast"/>
              <w:rPr>
                <w:rFonts w:cs="Arial"/>
                <w:color w:val="000000"/>
                <w:sz w:val="16"/>
                <w:szCs w:val="16"/>
              </w:rPr>
            </w:pPr>
          </w:p>
        </w:tc>
        <w:tc>
          <w:tcPr>
            <w:tcW w:w="316" w:type="pct"/>
            <w:tcBorders>
              <w:left w:val="nil"/>
              <w:bottom w:val="single" w:color="auto" w:sz="4" w:space="0"/>
              <w:right w:val="nil"/>
            </w:tcBorders>
          </w:tcPr>
          <w:p w:rsidRPr="00E23886" w:rsidR="00E85946" w:rsidP="0016573E" w:rsidRDefault="00E85946">
            <w:pPr>
              <w:spacing w:line="252" w:lineRule="atLeast"/>
              <w:rPr>
                <w:rFonts w:cs="Arial"/>
                <w:i/>
                <w:color w:val="000000"/>
                <w:sz w:val="16"/>
                <w:szCs w:val="16"/>
              </w:rPr>
            </w:pPr>
          </w:p>
        </w:tc>
      </w:tr>
      <w:tr w:rsidRPr="00E23886" w:rsidR="00E85946" w:rsidTr="00C3167D">
        <w:trPr>
          <w:trHeight w:val="225"/>
        </w:trPr>
        <w:tc>
          <w:tcPr>
            <w:tcW w:w="470" w:type="pct"/>
            <w:gridSpan w:val="2"/>
            <w:tcBorders>
              <w:top w:val="single" w:color="auto" w:sz="4" w:space="0"/>
              <w:left w:val="nil"/>
              <w:bottom w:val="single" w:color="auto" w:sz="4" w:space="0"/>
              <w:right w:val="nil"/>
            </w:tcBorders>
            <w:shd w:val="clear" w:color="auto" w:fill="auto"/>
            <w:noWrap/>
            <w:hideMark/>
          </w:tcPr>
          <w:p w:rsidRPr="00E23886" w:rsidR="00E85946" w:rsidP="0016573E" w:rsidRDefault="00E85946">
            <w:pPr>
              <w:spacing w:line="252" w:lineRule="atLeast"/>
              <w:rPr>
                <w:rFonts w:cs="Arial"/>
                <w:color w:val="000000"/>
                <w:sz w:val="16"/>
                <w:szCs w:val="16"/>
              </w:rPr>
            </w:pPr>
            <w:r w:rsidRPr="00E23886">
              <w:rPr>
                <w:rFonts w:cs="Arial"/>
                <w:color w:val="000000"/>
                <w:sz w:val="16"/>
                <w:szCs w:val="16"/>
              </w:rPr>
              <w:t>Totaal</w:t>
            </w:r>
          </w:p>
        </w:tc>
        <w:tc>
          <w:tcPr>
            <w:tcW w:w="292" w:type="pct"/>
            <w:tcBorders>
              <w:top w:val="single" w:color="auto" w:sz="4" w:space="0"/>
              <w:left w:val="nil"/>
              <w:bottom w:val="single" w:color="auto" w:sz="4" w:space="0"/>
              <w:right w:val="nil"/>
            </w:tcBorders>
            <w:shd w:val="clear" w:color="auto" w:fill="auto"/>
            <w:noWrap/>
            <w:hideMark/>
          </w:tcPr>
          <w:p w:rsidRPr="00E23886" w:rsidR="00E85946" w:rsidP="0016573E" w:rsidRDefault="00E85946">
            <w:pPr>
              <w:spacing w:line="252" w:lineRule="atLeast"/>
              <w:rPr>
                <w:rFonts w:cs="Arial"/>
                <w:color w:val="000000"/>
                <w:sz w:val="16"/>
                <w:szCs w:val="16"/>
              </w:rPr>
            </w:pPr>
            <w:r w:rsidRPr="00E23886">
              <w:rPr>
                <w:rFonts w:cs="Arial"/>
                <w:color w:val="000000"/>
                <w:sz w:val="16"/>
                <w:szCs w:val="16"/>
              </w:rPr>
              <w:t>870.000</w:t>
            </w:r>
          </w:p>
        </w:tc>
        <w:tc>
          <w:tcPr>
            <w:tcW w:w="293" w:type="pct"/>
            <w:gridSpan w:val="2"/>
            <w:tcBorders>
              <w:top w:val="single" w:color="auto" w:sz="4" w:space="0"/>
              <w:left w:val="nil"/>
              <w:bottom w:val="single" w:color="auto" w:sz="4" w:space="0"/>
              <w:right w:val="nil"/>
            </w:tcBorders>
            <w:shd w:val="clear" w:color="auto" w:fill="auto"/>
            <w:noWrap/>
          </w:tcPr>
          <w:p w:rsidRPr="00E23886" w:rsidR="00E85946" w:rsidP="0016573E" w:rsidRDefault="00E85946">
            <w:pPr>
              <w:spacing w:line="252" w:lineRule="atLeast"/>
              <w:rPr>
                <w:rFonts w:cs="Arial"/>
                <w:i/>
                <w:color w:val="000000"/>
                <w:sz w:val="16"/>
                <w:szCs w:val="16"/>
              </w:rPr>
            </w:pPr>
            <w:r w:rsidRPr="00E23886">
              <w:rPr>
                <w:rFonts w:cs="Arial"/>
                <w:i/>
                <w:color w:val="000000"/>
                <w:sz w:val="16"/>
                <w:szCs w:val="16"/>
              </w:rPr>
              <w:t>890.000</w:t>
            </w:r>
          </w:p>
        </w:tc>
        <w:tc>
          <w:tcPr>
            <w:tcW w:w="292" w:type="pct"/>
            <w:gridSpan w:val="2"/>
            <w:tcBorders>
              <w:top w:val="single" w:color="auto" w:sz="4" w:space="0"/>
              <w:left w:val="nil"/>
              <w:bottom w:val="single" w:color="auto" w:sz="4" w:space="0"/>
              <w:right w:val="nil"/>
            </w:tcBorders>
            <w:shd w:val="clear" w:color="auto" w:fill="auto"/>
            <w:noWrap/>
          </w:tcPr>
          <w:p w:rsidRPr="00E23886" w:rsidR="00E85946" w:rsidP="0016573E" w:rsidRDefault="00E85946">
            <w:pPr>
              <w:spacing w:line="252" w:lineRule="atLeast"/>
              <w:rPr>
                <w:rFonts w:cs="Arial"/>
                <w:color w:val="000000"/>
                <w:sz w:val="16"/>
                <w:szCs w:val="16"/>
              </w:rPr>
            </w:pPr>
            <w:r w:rsidRPr="00E23886">
              <w:rPr>
                <w:rFonts w:cs="Arial"/>
                <w:color w:val="000000"/>
                <w:sz w:val="16"/>
                <w:szCs w:val="16"/>
              </w:rPr>
              <w:t>150.000</w:t>
            </w:r>
          </w:p>
        </w:tc>
        <w:tc>
          <w:tcPr>
            <w:tcW w:w="293" w:type="pct"/>
            <w:gridSpan w:val="2"/>
            <w:tcBorders>
              <w:top w:val="single" w:color="auto" w:sz="4" w:space="0"/>
              <w:left w:val="nil"/>
              <w:bottom w:val="single" w:color="auto" w:sz="4" w:space="0"/>
              <w:right w:val="nil"/>
            </w:tcBorders>
            <w:shd w:val="clear" w:color="auto" w:fill="auto"/>
            <w:noWrap/>
          </w:tcPr>
          <w:p w:rsidRPr="00E23886" w:rsidR="00E85946" w:rsidP="0016573E" w:rsidRDefault="00E85946">
            <w:pPr>
              <w:spacing w:line="252" w:lineRule="atLeast"/>
              <w:rPr>
                <w:rFonts w:cs="Arial"/>
                <w:i/>
                <w:color w:val="000000"/>
                <w:sz w:val="16"/>
                <w:szCs w:val="16"/>
              </w:rPr>
            </w:pPr>
            <w:r w:rsidRPr="00E23886">
              <w:rPr>
                <w:rFonts w:cs="Arial"/>
                <w:i/>
                <w:color w:val="000000"/>
                <w:sz w:val="16"/>
                <w:szCs w:val="16"/>
              </w:rPr>
              <w:t>120.000</w:t>
            </w:r>
          </w:p>
        </w:tc>
        <w:tc>
          <w:tcPr>
            <w:tcW w:w="293" w:type="pct"/>
            <w:tcBorders>
              <w:top w:val="single" w:color="auto" w:sz="4" w:space="0"/>
              <w:left w:val="nil"/>
              <w:bottom w:val="single" w:color="auto" w:sz="4" w:space="0"/>
              <w:right w:val="nil"/>
            </w:tcBorders>
          </w:tcPr>
          <w:p w:rsidRPr="00E23886" w:rsidR="00E85946" w:rsidP="0016573E" w:rsidRDefault="00E85946">
            <w:pPr>
              <w:spacing w:line="252" w:lineRule="atLeast"/>
              <w:rPr>
                <w:rFonts w:cs="Arial"/>
                <w:color w:val="000000"/>
                <w:sz w:val="16"/>
                <w:szCs w:val="16"/>
              </w:rPr>
            </w:pPr>
            <w:r w:rsidRPr="00E23886">
              <w:rPr>
                <w:rFonts w:cs="Arial"/>
                <w:color w:val="000000"/>
                <w:sz w:val="16"/>
                <w:szCs w:val="16"/>
              </w:rPr>
              <w:t>5.600</w:t>
            </w:r>
          </w:p>
        </w:tc>
        <w:tc>
          <w:tcPr>
            <w:tcW w:w="292" w:type="pct"/>
            <w:gridSpan w:val="2"/>
            <w:tcBorders>
              <w:top w:val="single" w:color="auto" w:sz="4" w:space="0"/>
              <w:left w:val="nil"/>
              <w:bottom w:val="single" w:color="auto" w:sz="4" w:space="0"/>
              <w:right w:val="nil"/>
            </w:tcBorders>
          </w:tcPr>
          <w:p w:rsidRPr="00E23886" w:rsidR="00E85946" w:rsidP="0016573E" w:rsidRDefault="00E85946">
            <w:pPr>
              <w:spacing w:line="252" w:lineRule="atLeast"/>
              <w:rPr>
                <w:rFonts w:cs="Arial"/>
                <w:i/>
                <w:color w:val="000000"/>
                <w:sz w:val="16"/>
                <w:szCs w:val="16"/>
              </w:rPr>
            </w:pPr>
            <w:r w:rsidRPr="00E23886">
              <w:rPr>
                <w:rFonts w:cs="Arial"/>
                <w:i/>
                <w:color w:val="000000"/>
                <w:sz w:val="16"/>
                <w:szCs w:val="16"/>
              </w:rPr>
              <w:t>5.300</w:t>
            </w:r>
          </w:p>
        </w:tc>
        <w:tc>
          <w:tcPr>
            <w:tcW w:w="293" w:type="pct"/>
            <w:gridSpan w:val="2"/>
            <w:tcBorders>
              <w:top w:val="single" w:color="auto" w:sz="4" w:space="0"/>
              <w:left w:val="nil"/>
              <w:bottom w:val="single" w:color="auto" w:sz="4" w:space="0"/>
              <w:right w:val="nil"/>
            </w:tcBorders>
            <w:shd w:val="clear" w:color="auto" w:fill="auto"/>
            <w:noWrap/>
            <w:hideMark/>
          </w:tcPr>
          <w:p w:rsidRPr="00E23886" w:rsidR="00E85946" w:rsidP="0016573E" w:rsidRDefault="00E85946">
            <w:pPr>
              <w:spacing w:line="252" w:lineRule="atLeast"/>
              <w:rPr>
                <w:rFonts w:cs="Arial"/>
                <w:color w:val="000000"/>
                <w:sz w:val="16"/>
                <w:szCs w:val="16"/>
              </w:rPr>
            </w:pPr>
            <w:r w:rsidRPr="00E23886">
              <w:rPr>
                <w:rFonts w:cs="Arial"/>
                <w:color w:val="000000"/>
                <w:sz w:val="16"/>
                <w:szCs w:val="16"/>
              </w:rPr>
              <w:t>260.000</w:t>
            </w:r>
          </w:p>
        </w:tc>
        <w:tc>
          <w:tcPr>
            <w:tcW w:w="293" w:type="pct"/>
            <w:tcBorders>
              <w:top w:val="single" w:color="auto" w:sz="4" w:space="0"/>
              <w:left w:val="nil"/>
              <w:bottom w:val="single" w:color="auto" w:sz="4" w:space="0"/>
              <w:right w:val="nil"/>
            </w:tcBorders>
            <w:shd w:val="clear" w:color="auto" w:fill="auto"/>
            <w:noWrap/>
            <w:hideMark/>
          </w:tcPr>
          <w:p w:rsidRPr="00E23886" w:rsidR="00E85946" w:rsidP="0016573E" w:rsidRDefault="00E85946">
            <w:pPr>
              <w:spacing w:line="252" w:lineRule="atLeast"/>
              <w:rPr>
                <w:rFonts w:cs="Arial"/>
                <w:i/>
                <w:color w:val="000000"/>
                <w:sz w:val="16"/>
                <w:szCs w:val="16"/>
              </w:rPr>
            </w:pPr>
            <w:r w:rsidRPr="00E23886">
              <w:rPr>
                <w:rFonts w:cs="Arial"/>
                <w:i/>
                <w:color w:val="000000"/>
                <w:sz w:val="16"/>
                <w:szCs w:val="16"/>
              </w:rPr>
              <w:t>243.600</w:t>
            </w:r>
          </w:p>
        </w:tc>
        <w:tc>
          <w:tcPr>
            <w:tcW w:w="298" w:type="pct"/>
            <w:gridSpan w:val="2"/>
            <w:tcBorders>
              <w:top w:val="single" w:color="auto" w:sz="4" w:space="0"/>
              <w:left w:val="nil"/>
              <w:bottom w:val="single" w:color="auto" w:sz="4" w:space="0"/>
              <w:right w:val="nil"/>
            </w:tcBorders>
          </w:tcPr>
          <w:p w:rsidRPr="00E23886" w:rsidR="00E85946" w:rsidP="0016573E" w:rsidRDefault="00E85946">
            <w:pPr>
              <w:spacing w:line="252" w:lineRule="atLeast"/>
              <w:rPr>
                <w:rFonts w:cs="Arial"/>
                <w:color w:val="000000"/>
                <w:sz w:val="16"/>
                <w:szCs w:val="16"/>
              </w:rPr>
            </w:pPr>
          </w:p>
        </w:tc>
        <w:tc>
          <w:tcPr>
            <w:tcW w:w="315" w:type="pct"/>
            <w:tcBorders>
              <w:top w:val="single" w:color="auto" w:sz="4" w:space="0"/>
              <w:left w:val="nil"/>
              <w:bottom w:val="single" w:color="auto" w:sz="4" w:space="0"/>
              <w:right w:val="nil"/>
            </w:tcBorders>
            <w:shd w:val="clear" w:color="auto" w:fill="auto"/>
            <w:noWrap/>
          </w:tcPr>
          <w:p w:rsidRPr="00E23886" w:rsidR="00E85946" w:rsidP="0016573E" w:rsidRDefault="00E85946">
            <w:pPr>
              <w:spacing w:line="252" w:lineRule="atLeast"/>
              <w:rPr>
                <w:rFonts w:cs="Arial"/>
                <w:color w:val="000000"/>
                <w:sz w:val="16"/>
                <w:szCs w:val="16"/>
              </w:rPr>
            </w:pPr>
            <w:r>
              <w:rPr>
                <w:rFonts w:cs="Arial"/>
                <w:color w:val="000000"/>
                <w:sz w:val="16"/>
                <w:szCs w:val="16"/>
              </w:rPr>
              <w:t>2500</w:t>
            </w:r>
          </w:p>
        </w:tc>
        <w:tc>
          <w:tcPr>
            <w:tcW w:w="315" w:type="pct"/>
            <w:gridSpan w:val="2"/>
            <w:tcBorders>
              <w:top w:val="single" w:color="auto" w:sz="4" w:space="0"/>
              <w:left w:val="nil"/>
              <w:bottom w:val="single" w:color="auto" w:sz="4" w:space="0"/>
              <w:right w:val="nil"/>
            </w:tcBorders>
            <w:shd w:val="clear" w:color="auto" w:fill="auto"/>
            <w:noWrap/>
          </w:tcPr>
          <w:p w:rsidRPr="00E23886" w:rsidR="00E85946" w:rsidP="0016573E" w:rsidRDefault="00E85946">
            <w:pPr>
              <w:spacing w:line="252" w:lineRule="atLeast"/>
              <w:rPr>
                <w:rFonts w:cs="Arial"/>
                <w:i/>
                <w:color w:val="000000"/>
                <w:sz w:val="16"/>
                <w:szCs w:val="16"/>
              </w:rPr>
            </w:pPr>
            <w:r w:rsidRPr="00E23886">
              <w:rPr>
                <w:rFonts w:cs="Arial"/>
                <w:i/>
                <w:color w:val="000000"/>
                <w:sz w:val="16"/>
                <w:szCs w:val="16"/>
              </w:rPr>
              <w:t>1600</w:t>
            </w:r>
            <w:r w:rsidRPr="00E85946">
              <w:rPr>
                <w:rFonts w:cs="Arial"/>
                <w:i/>
                <w:color w:val="000000"/>
                <w:sz w:val="16"/>
                <w:szCs w:val="16"/>
                <w:vertAlign w:val="superscript"/>
              </w:rPr>
              <w:t>e</w:t>
            </w:r>
          </w:p>
        </w:tc>
        <w:tc>
          <w:tcPr>
            <w:tcW w:w="315" w:type="pct"/>
            <w:tcBorders>
              <w:top w:val="single" w:color="auto" w:sz="4" w:space="0"/>
              <w:left w:val="nil"/>
              <w:bottom w:val="single" w:color="auto" w:sz="4" w:space="0"/>
              <w:right w:val="nil"/>
            </w:tcBorders>
          </w:tcPr>
          <w:p w:rsidRPr="00E23886" w:rsidR="00E85946" w:rsidP="0016573E" w:rsidRDefault="00E85946">
            <w:pPr>
              <w:spacing w:line="252" w:lineRule="atLeast"/>
              <w:rPr>
                <w:rFonts w:cs="Arial"/>
                <w:color w:val="000000"/>
                <w:sz w:val="16"/>
                <w:szCs w:val="16"/>
              </w:rPr>
            </w:pPr>
            <w:r>
              <w:rPr>
                <w:rFonts w:cs="Arial"/>
                <w:color w:val="000000"/>
                <w:sz w:val="16"/>
                <w:szCs w:val="16"/>
              </w:rPr>
              <w:t>3000</w:t>
            </w:r>
          </w:p>
        </w:tc>
        <w:tc>
          <w:tcPr>
            <w:tcW w:w="315" w:type="pct"/>
            <w:gridSpan w:val="2"/>
            <w:tcBorders>
              <w:top w:val="single" w:color="auto" w:sz="4" w:space="0"/>
              <w:left w:val="nil"/>
              <w:bottom w:val="single" w:color="auto" w:sz="4" w:space="0"/>
              <w:right w:val="nil"/>
            </w:tcBorders>
          </w:tcPr>
          <w:p w:rsidRPr="00E23886" w:rsidR="00E85946" w:rsidP="0016573E" w:rsidRDefault="00E85946">
            <w:pPr>
              <w:spacing w:line="252" w:lineRule="atLeast"/>
              <w:rPr>
                <w:rFonts w:cs="Arial"/>
                <w:i/>
                <w:color w:val="000000"/>
                <w:sz w:val="16"/>
                <w:szCs w:val="16"/>
              </w:rPr>
            </w:pPr>
            <w:r w:rsidRPr="00E23886">
              <w:rPr>
                <w:rFonts w:cs="Arial"/>
                <w:i/>
                <w:color w:val="000000"/>
                <w:sz w:val="16"/>
                <w:szCs w:val="16"/>
              </w:rPr>
              <w:t>2100</w:t>
            </w:r>
            <w:r w:rsidRPr="00E85946">
              <w:rPr>
                <w:rFonts w:cs="Arial"/>
                <w:i/>
                <w:color w:val="000000"/>
                <w:sz w:val="16"/>
                <w:szCs w:val="16"/>
                <w:vertAlign w:val="superscript"/>
              </w:rPr>
              <w:t>e</w:t>
            </w:r>
          </w:p>
        </w:tc>
        <w:tc>
          <w:tcPr>
            <w:tcW w:w="315" w:type="pct"/>
            <w:tcBorders>
              <w:top w:val="single" w:color="auto" w:sz="4" w:space="0"/>
              <w:left w:val="nil"/>
              <w:bottom w:val="single" w:color="auto" w:sz="4" w:space="0"/>
              <w:right w:val="nil"/>
            </w:tcBorders>
          </w:tcPr>
          <w:p w:rsidRPr="00E23886" w:rsidR="00E85946" w:rsidP="0016573E" w:rsidRDefault="00E85946">
            <w:pPr>
              <w:spacing w:line="252" w:lineRule="atLeast"/>
              <w:rPr>
                <w:rFonts w:cs="Arial"/>
                <w:color w:val="000000"/>
                <w:sz w:val="16"/>
                <w:szCs w:val="16"/>
              </w:rPr>
            </w:pPr>
            <w:r>
              <w:rPr>
                <w:rFonts w:cs="Arial"/>
                <w:color w:val="000000"/>
                <w:sz w:val="16"/>
                <w:szCs w:val="16"/>
              </w:rPr>
              <w:t>5500</w:t>
            </w:r>
          </w:p>
        </w:tc>
        <w:tc>
          <w:tcPr>
            <w:tcW w:w="316" w:type="pct"/>
            <w:tcBorders>
              <w:top w:val="single" w:color="auto" w:sz="4" w:space="0"/>
              <w:left w:val="nil"/>
              <w:bottom w:val="single" w:color="auto" w:sz="4" w:space="0"/>
              <w:right w:val="nil"/>
            </w:tcBorders>
          </w:tcPr>
          <w:p w:rsidRPr="00E23886" w:rsidR="00E85946" w:rsidP="0016573E" w:rsidRDefault="00E85946">
            <w:pPr>
              <w:spacing w:line="252" w:lineRule="atLeast"/>
              <w:rPr>
                <w:rFonts w:cs="Arial"/>
                <w:i/>
                <w:color w:val="000000"/>
                <w:sz w:val="16"/>
                <w:szCs w:val="16"/>
              </w:rPr>
            </w:pPr>
            <w:r w:rsidRPr="00E23886">
              <w:rPr>
                <w:rFonts w:cs="Arial"/>
                <w:i/>
                <w:color w:val="000000"/>
                <w:sz w:val="16"/>
                <w:szCs w:val="16"/>
              </w:rPr>
              <w:t>3600</w:t>
            </w:r>
            <w:r w:rsidRPr="00E85946">
              <w:rPr>
                <w:rFonts w:cs="Arial"/>
                <w:i/>
                <w:color w:val="000000"/>
                <w:sz w:val="16"/>
                <w:szCs w:val="16"/>
                <w:vertAlign w:val="superscript"/>
              </w:rPr>
              <w:t>e</w:t>
            </w:r>
          </w:p>
        </w:tc>
      </w:tr>
    </w:tbl>
    <w:p w:rsidRPr="00534E2A" w:rsidR="00933F04" w:rsidP="0016573E" w:rsidRDefault="00933F04">
      <w:pPr>
        <w:spacing w:line="252" w:lineRule="atLeast"/>
        <w:rPr>
          <w:rFonts w:cs="Arial"/>
          <w:sz w:val="16"/>
          <w:szCs w:val="16"/>
        </w:rPr>
      </w:pPr>
      <w:r w:rsidRPr="00534E2A">
        <w:rPr>
          <w:rFonts w:cs="Arial"/>
          <w:sz w:val="16"/>
          <w:szCs w:val="16"/>
        </w:rPr>
        <w:t xml:space="preserve">Bron: Letsel Informatie Systeem 2007-2011, VeiligheidNL; Landelijke Medische Registratie 2007-2011, Dutch Hospital Data; Statistiek niet-natuurlijke dood 2007-2011, Centraal Bureau voor de Statistiek; Statistiek Verkeersdoden 2007-2011, Centraal Bureau voor de Statistiek i.s.m. Dienst Verkeer en Scheepvaart van het Ministerie van Infrastructuur en Milieu; </w:t>
      </w:r>
      <w:r w:rsidRPr="00534E2A">
        <w:rPr>
          <w:rFonts w:cs="Arial"/>
          <w:bCs/>
          <w:sz w:val="16"/>
          <w:szCs w:val="16"/>
          <w:lang w:eastAsia="nl-NL"/>
        </w:rPr>
        <w:t xml:space="preserve">Hoeymans, N., Melse M.J., Schoemaker, C.G. (Eindredactie) (2011). Gezondheid en determinanten. Deelrapport van de Volksgezondheid Toekomst Verkenning 2011. Van gezond naar beter. Bilthoven : </w:t>
      </w:r>
      <w:r w:rsidRPr="00534E2A">
        <w:rPr>
          <w:rFonts w:cs="Arial"/>
          <w:sz w:val="16"/>
          <w:szCs w:val="16"/>
          <w:lang w:eastAsia="nl-NL"/>
        </w:rPr>
        <w:t xml:space="preserve">Rijksinstituut voor Volksgezondheid en Milieu; </w:t>
      </w:r>
      <w:r w:rsidRPr="00534E2A">
        <w:rPr>
          <w:rFonts w:cs="Arial"/>
          <w:sz w:val="16"/>
          <w:szCs w:val="16"/>
        </w:rPr>
        <w:t>Letsellastmodel 2011, VeiligheidNL i.s.m. Erasmus Medisch Centrum.</w:t>
      </w:r>
      <w:r w:rsidRPr="00534E2A">
        <w:rPr>
          <w:rFonts w:cs="Arial"/>
          <w:bCs/>
          <w:sz w:val="16"/>
          <w:szCs w:val="16"/>
          <w:lang w:eastAsia="nl-NL"/>
        </w:rPr>
        <w:t xml:space="preserve"> </w:t>
      </w:r>
    </w:p>
    <w:p w:rsidRPr="00534E2A" w:rsidR="00933F04" w:rsidP="0016573E" w:rsidRDefault="00933F04">
      <w:pPr>
        <w:spacing w:line="200" w:lineRule="atLeast"/>
        <w:rPr>
          <w:rFonts w:cs="Arial"/>
          <w:sz w:val="16"/>
          <w:szCs w:val="16"/>
        </w:rPr>
      </w:pPr>
    </w:p>
    <w:p w:rsidRPr="00534E2A" w:rsidR="000D45AD" w:rsidP="0016573E" w:rsidRDefault="000D45AD">
      <w:pPr>
        <w:spacing w:line="200" w:lineRule="atLeast"/>
        <w:rPr>
          <w:rFonts w:cs="Arial"/>
          <w:sz w:val="16"/>
          <w:szCs w:val="16"/>
        </w:rPr>
      </w:pPr>
    </w:p>
    <w:p w:rsidR="00534E2A" w:rsidP="0016573E" w:rsidRDefault="00534E2A">
      <w:pPr>
        <w:tabs>
          <w:tab w:val="left" w:pos="284"/>
        </w:tabs>
        <w:spacing w:line="200" w:lineRule="atLeast"/>
        <w:ind w:hanging="284"/>
        <w:rPr>
          <w:rFonts w:cs="Arial"/>
          <w:sz w:val="16"/>
          <w:szCs w:val="16"/>
        </w:rPr>
      </w:pPr>
    </w:p>
    <w:p w:rsidR="00534E2A" w:rsidP="0016573E" w:rsidRDefault="00534E2A">
      <w:pPr>
        <w:tabs>
          <w:tab w:val="left" w:pos="284"/>
        </w:tabs>
        <w:spacing w:line="200" w:lineRule="atLeast"/>
        <w:ind w:hanging="284"/>
        <w:rPr>
          <w:rFonts w:cs="Arial"/>
          <w:sz w:val="16"/>
          <w:szCs w:val="16"/>
        </w:rPr>
      </w:pPr>
    </w:p>
    <w:p w:rsidR="000D45AD" w:rsidP="003A2B18" w:rsidRDefault="000D45AD">
      <w:pPr>
        <w:spacing w:line="200" w:lineRule="atLeast"/>
        <w:ind w:left="426" w:hanging="426"/>
        <w:rPr>
          <w:rFonts w:cs="Arial"/>
          <w:sz w:val="16"/>
          <w:szCs w:val="16"/>
        </w:rPr>
      </w:pPr>
      <w:r w:rsidRPr="00534E2A">
        <w:rPr>
          <w:rFonts w:cs="Arial"/>
          <w:sz w:val="16"/>
          <w:szCs w:val="16"/>
        </w:rPr>
        <w:t xml:space="preserve">* </w:t>
      </w:r>
      <w:r w:rsidRPr="00534E2A" w:rsidR="006C2896">
        <w:rPr>
          <w:rFonts w:cs="Arial"/>
          <w:sz w:val="16"/>
          <w:szCs w:val="16"/>
        </w:rPr>
        <w:tab/>
      </w:r>
      <w:r w:rsidRPr="00534E2A">
        <w:rPr>
          <w:rFonts w:cs="Arial"/>
          <w:sz w:val="16"/>
          <w:szCs w:val="16"/>
        </w:rPr>
        <w:t>De cijfers voor 2012 zijn nog niet bekend ten tijde van deze rapportage, daarom wordt de periode 2007-2011 beschreven. Dit wijkt dus af van de beleidsperiode 2008-2012.</w:t>
      </w:r>
    </w:p>
    <w:p w:rsidR="00EE7F5A" w:rsidP="003A2B18" w:rsidRDefault="00EE7F5A">
      <w:pPr>
        <w:spacing w:line="200" w:lineRule="atLeast"/>
        <w:ind w:left="426" w:hanging="426"/>
        <w:rPr>
          <w:sz w:val="16"/>
          <w:szCs w:val="16"/>
        </w:rPr>
      </w:pPr>
      <w:r>
        <w:rPr>
          <w:rFonts w:cs="Arial"/>
          <w:sz w:val="16"/>
          <w:szCs w:val="16"/>
        </w:rPr>
        <w:t xml:space="preserve">** </w:t>
      </w:r>
      <w:r w:rsidR="00626F0B">
        <w:rPr>
          <w:rFonts w:cs="Arial"/>
          <w:sz w:val="16"/>
          <w:szCs w:val="16"/>
        </w:rPr>
        <w:tab/>
      </w:r>
      <w:r w:rsidRPr="0007468F">
        <w:rPr>
          <w:sz w:val="16"/>
          <w:szCs w:val="16"/>
        </w:rPr>
        <w:t>De ziektelast ('Burden of Disease') is de hoeveelheid gezondheidsverlies in een populatie die veroorzaakt wordt door ziekten. De ziektelast wordt uitgedrukt in DALY's ('Disability-Adjusted Life-Years'). De DALY kwantificeert gezondheidsverlies en is opgebouwd uit twee componenten: de jaren verloren door vroegtijdige sterfte en de jaren geleefd met ziekte. De verloren levensjaren worden berekend door het aantal ziektespecifieke sterfgevallen per jaar te vermenigvuldigen met de resterende levensverwachting op de betreffende leeftijd. De jaren geleefd met de ziekte worden uitgedrukt in ziektejaarequivalenten ('Years Lived with Disability'). Deze jaren met ziekte worden, met behulp van wegingsfactoren, 'gewogen' voor de ernst van de ziekte, zodat ze vergelijkbaar worden met door sterfte verloren levensjaren. Als bijvoorbeeld een ziekte een wegingsfactor van 0,5 heeft, betekent dit dat een jaar leven met deze ziekte equivalent wordt beschouwd aan een half jaar verloren door vroegtijdige sterfte.</w:t>
      </w:r>
    </w:p>
    <w:p w:rsidRPr="0007468F" w:rsidR="00626F0B" w:rsidP="003A2B18" w:rsidRDefault="00626F0B">
      <w:pPr>
        <w:spacing w:line="200" w:lineRule="atLeast"/>
        <w:ind w:left="426" w:hanging="426"/>
        <w:rPr>
          <w:sz w:val="16"/>
          <w:szCs w:val="16"/>
        </w:rPr>
      </w:pPr>
      <w:r>
        <w:rPr>
          <w:sz w:val="16"/>
          <w:szCs w:val="16"/>
        </w:rPr>
        <w:t>***</w:t>
      </w:r>
      <w:r>
        <w:rPr>
          <w:sz w:val="16"/>
          <w:szCs w:val="16"/>
        </w:rPr>
        <w:tab/>
      </w:r>
      <w:r w:rsidR="00036B31">
        <w:rPr>
          <w:sz w:val="16"/>
          <w:szCs w:val="16"/>
        </w:rPr>
        <w:t>Alle vermelde</w:t>
      </w:r>
      <w:r>
        <w:rPr>
          <w:sz w:val="16"/>
          <w:szCs w:val="16"/>
        </w:rPr>
        <w:t xml:space="preserve"> kosten </w:t>
      </w:r>
      <w:r w:rsidR="00036B31">
        <w:rPr>
          <w:sz w:val="16"/>
          <w:szCs w:val="16"/>
        </w:rPr>
        <w:t xml:space="preserve">zijn </w:t>
      </w:r>
      <w:r>
        <w:rPr>
          <w:sz w:val="16"/>
          <w:szCs w:val="16"/>
        </w:rPr>
        <w:t xml:space="preserve">gemiddelde kosten </w:t>
      </w:r>
      <w:r w:rsidR="00036B31">
        <w:rPr>
          <w:sz w:val="16"/>
          <w:szCs w:val="16"/>
        </w:rPr>
        <w:t xml:space="preserve">per jaar </w:t>
      </w:r>
      <w:r>
        <w:rPr>
          <w:sz w:val="16"/>
          <w:szCs w:val="16"/>
        </w:rPr>
        <w:t xml:space="preserve">voor </w:t>
      </w:r>
      <w:r w:rsidR="00036B31">
        <w:rPr>
          <w:sz w:val="16"/>
          <w:szCs w:val="16"/>
        </w:rPr>
        <w:t>een vijfjaars</w:t>
      </w:r>
      <w:r>
        <w:rPr>
          <w:sz w:val="16"/>
          <w:szCs w:val="16"/>
        </w:rPr>
        <w:t xml:space="preserve">periode </w:t>
      </w:r>
      <w:r w:rsidR="00036B31">
        <w:rPr>
          <w:sz w:val="16"/>
          <w:szCs w:val="16"/>
        </w:rPr>
        <w:t>(</w:t>
      </w:r>
      <w:r>
        <w:rPr>
          <w:sz w:val="16"/>
          <w:szCs w:val="16"/>
        </w:rPr>
        <w:t>2007-2011</w:t>
      </w:r>
      <w:r w:rsidR="00036B31">
        <w:rPr>
          <w:sz w:val="16"/>
          <w:szCs w:val="16"/>
        </w:rPr>
        <w:t>)</w:t>
      </w:r>
      <w:r>
        <w:rPr>
          <w:sz w:val="16"/>
          <w:szCs w:val="16"/>
        </w:rPr>
        <w:t xml:space="preserve">, waarbij wordt </w:t>
      </w:r>
      <w:r w:rsidR="00036B31">
        <w:rPr>
          <w:sz w:val="16"/>
          <w:szCs w:val="16"/>
        </w:rPr>
        <w:t>uitgegaan van de kosten van het laatste jaar (2010). Op deze wijze wordt rekening gehouden met prijsschommelingen in de zorg.</w:t>
      </w:r>
    </w:p>
    <w:p w:rsidRPr="00534E2A" w:rsidR="00EE7F5A" w:rsidP="003A2B18" w:rsidRDefault="00EE7F5A">
      <w:pPr>
        <w:tabs>
          <w:tab w:val="left" w:pos="284"/>
        </w:tabs>
        <w:spacing w:line="200" w:lineRule="atLeast"/>
        <w:ind w:left="426" w:hanging="426"/>
        <w:rPr>
          <w:rFonts w:cs="Arial"/>
          <w:sz w:val="16"/>
          <w:szCs w:val="16"/>
        </w:rPr>
      </w:pPr>
    </w:p>
    <w:p w:rsidRPr="00534E2A" w:rsidR="00933F04" w:rsidP="003A2B18" w:rsidRDefault="006C2896">
      <w:pPr>
        <w:spacing w:line="200" w:lineRule="atLeast"/>
        <w:ind w:left="426" w:hanging="426"/>
        <w:rPr>
          <w:rFonts w:cs="Arial"/>
          <w:sz w:val="16"/>
          <w:szCs w:val="16"/>
        </w:rPr>
      </w:pPr>
      <w:r w:rsidRPr="00534E2A">
        <w:rPr>
          <w:rFonts w:cs="Arial"/>
          <w:sz w:val="16"/>
          <w:szCs w:val="16"/>
        </w:rPr>
        <w:t xml:space="preserve">a </w:t>
      </w:r>
      <w:r w:rsidRPr="00534E2A">
        <w:rPr>
          <w:rFonts w:cs="Arial"/>
          <w:sz w:val="16"/>
          <w:szCs w:val="16"/>
        </w:rPr>
        <w:tab/>
        <w:t>S</w:t>
      </w:r>
      <w:r w:rsidRPr="00534E2A" w:rsidR="00933F04">
        <w:rPr>
          <w:rFonts w:cs="Arial"/>
          <w:sz w:val="16"/>
          <w:szCs w:val="16"/>
        </w:rPr>
        <w:t>chatting door middel van ophoging van het aantal ziekenhuisopnamen na SEH-behandeling naar alle ziekenhuisopnamen als gevolg van een privéongeval, sportblessure respectievelijk arbeidsongeval.</w:t>
      </w:r>
    </w:p>
    <w:p w:rsidRPr="00534E2A" w:rsidR="00933F04" w:rsidP="003A2B18" w:rsidRDefault="006C2896">
      <w:pPr>
        <w:spacing w:line="200" w:lineRule="atLeast"/>
        <w:ind w:left="426" w:hanging="426"/>
        <w:rPr>
          <w:rFonts w:cs="Arial"/>
          <w:sz w:val="16"/>
          <w:szCs w:val="16"/>
        </w:rPr>
      </w:pPr>
      <w:r w:rsidRPr="00534E2A">
        <w:rPr>
          <w:rFonts w:cs="Arial"/>
          <w:sz w:val="16"/>
          <w:szCs w:val="16"/>
        </w:rPr>
        <w:t xml:space="preserve">b </w:t>
      </w:r>
      <w:r w:rsidRPr="00534E2A">
        <w:rPr>
          <w:rFonts w:cs="Arial"/>
          <w:sz w:val="16"/>
          <w:szCs w:val="16"/>
        </w:rPr>
        <w:tab/>
        <w:t>Ex</w:t>
      </w:r>
      <w:r w:rsidRPr="00534E2A" w:rsidR="00933F04">
        <w:rPr>
          <w:rFonts w:cs="Arial"/>
          <w:sz w:val="16"/>
          <w:szCs w:val="16"/>
        </w:rPr>
        <w:t>clusief verkeersongevallen die tevens arbeidsongeval zijn.</w:t>
      </w:r>
    </w:p>
    <w:p w:rsidRPr="00534E2A" w:rsidR="00933F04" w:rsidP="003A2B18" w:rsidRDefault="00933F04">
      <w:pPr>
        <w:spacing w:line="200" w:lineRule="atLeast"/>
        <w:ind w:left="426" w:hanging="426"/>
        <w:rPr>
          <w:rFonts w:cs="Arial"/>
          <w:sz w:val="16"/>
          <w:szCs w:val="16"/>
        </w:rPr>
      </w:pPr>
      <w:r w:rsidRPr="00534E2A">
        <w:rPr>
          <w:rFonts w:cs="Arial"/>
          <w:sz w:val="16"/>
          <w:szCs w:val="16"/>
        </w:rPr>
        <w:t xml:space="preserve">c </w:t>
      </w:r>
      <w:r w:rsidRPr="00534E2A" w:rsidR="006C2896">
        <w:rPr>
          <w:rFonts w:cs="Arial"/>
          <w:sz w:val="16"/>
          <w:szCs w:val="16"/>
        </w:rPr>
        <w:tab/>
      </w:r>
      <w:r w:rsidRPr="00534E2A">
        <w:rPr>
          <w:rFonts w:cs="Arial"/>
          <w:sz w:val="16"/>
          <w:szCs w:val="16"/>
        </w:rPr>
        <w:t>De indeling (en de selectie van ziekten) is gebaseerd op die in de VTV 2011 (zie bronvermelding) met uitzondering van letsels door automutilatie/suïcide. Die zijn in deze tabel (naast letsels door een privé- verkeers-, sport- of arbeidsongeval en letsel door geweld) opgenomen in de categorie 'letsels', in de VTV 2011 in de categorie 'psychische aandoeningen'; Aantal DALY’s m.b.t. letsel door geweld uitsluitend gebaseerd op verloren levensjaren.</w:t>
      </w:r>
    </w:p>
    <w:p w:rsidRPr="00534E2A" w:rsidR="00933F04" w:rsidP="003A2B18" w:rsidRDefault="006C2896">
      <w:pPr>
        <w:spacing w:line="200" w:lineRule="atLeast"/>
        <w:ind w:left="426" w:hanging="426"/>
        <w:rPr>
          <w:rFonts w:cs="Arial"/>
          <w:sz w:val="16"/>
          <w:szCs w:val="16"/>
        </w:rPr>
      </w:pPr>
      <w:r w:rsidRPr="00534E2A">
        <w:rPr>
          <w:rFonts w:cs="Arial"/>
          <w:sz w:val="16"/>
          <w:szCs w:val="16"/>
        </w:rPr>
        <w:t>d</w:t>
      </w:r>
      <w:r w:rsidRPr="00534E2A" w:rsidR="00933F04">
        <w:rPr>
          <w:rFonts w:cs="Arial"/>
          <w:sz w:val="16"/>
          <w:szCs w:val="16"/>
        </w:rPr>
        <w:t xml:space="preserve"> </w:t>
      </w:r>
      <w:r w:rsidRPr="00534E2A">
        <w:rPr>
          <w:rFonts w:cs="Arial"/>
          <w:sz w:val="16"/>
          <w:szCs w:val="16"/>
        </w:rPr>
        <w:tab/>
      </w:r>
      <w:r w:rsidRPr="00534E2A" w:rsidR="00933F04">
        <w:rPr>
          <w:rFonts w:cs="Arial"/>
          <w:sz w:val="16"/>
          <w:szCs w:val="16"/>
        </w:rPr>
        <w:t xml:space="preserve">Directe medische kosten / verzuimkosten van slachtoffers die zijn behandeld op een SEH-afdeling van een ziekenhuis, opgenomen zijn geweest en/of zijn behandeld door een huisarts, fysiotherapeut of specialist. </w:t>
      </w:r>
    </w:p>
    <w:p w:rsidRPr="00534E2A" w:rsidR="00933F04" w:rsidP="003A2B18" w:rsidRDefault="00933F04">
      <w:pPr>
        <w:spacing w:line="200" w:lineRule="atLeast"/>
        <w:ind w:left="426" w:hanging="426"/>
        <w:rPr>
          <w:rFonts w:cs="Arial"/>
          <w:sz w:val="16"/>
          <w:szCs w:val="16"/>
        </w:rPr>
      </w:pPr>
      <w:r w:rsidRPr="00534E2A">
        <w:rPr>
          <w:rFonts w:cs="Arial"/>
          <w:sz w:val="16"/>
          <w:szCs w:val="16"/>
        </w:rPr>
        <w:t xml:space="preserve">e </w:t>
      </w:r>
      <w:r w:rsidRPr="00534E2A" w:rsidR="006C2896">
        <w:rPr>
          <w:rFonts w:cs="Arial"/>
          <w:sz w:val="16"/>
          <w:szCs w:val="16"/>
        </w:rPr>
        <w:tab/>
      </w:r>
      <w:r w:rsidRPr="00534E2A">
        <w:rPr>
          <w:rFonts w:cs="Arial"/>
          <w:sz w:val="16"/>
          <w:szCs w:val="16"/>
        </w:rPr>
        <w:t>Directe medische kosten / verzuimkosten van slachtoffers die zijn behandeld op een SEH-afdeling van een ziekenhuis en/of opgenomen zijn geweest. Verzuimkosten na suïcidaal gedrag onbekend.</w:t>
      </w:r>
    </w:p>
    <w:p w:rsidRPr="00F61CBB" w:rsidR="00933F04" w:rsidP="003A2B18" w:rsidRDefault="00933F04">
      <w:pPr>
        <w:ind w:left="426" w:hanging="426"/>
        <w:rPr>
          <w:sz w:val="16"/>
          <w:szCs w:val="16"/>
        </w:rPr>
      </w:pPr>
      <w:r w:rsidRPr="00F61CBB">
        <w:rPr>
          <w:sz w:val="16"/>
          <w:szCs w:val="16"/>
        </w:rPr>
        <w:t xml:space="preserve">f </w:t>
      </w:r>
      <w:r w:rsidRPr="00F61CBB" w:rsidR="006C2896">
        <w:rPr>
          <w:sz w:val="16"/>
          <w:szCs w:val="16"/>
        </w:rPr>
        <w:tab/>
      </w:r>
      <w:r w:rsidRPr="00F61CBB">
        <w:rPr>
          <w:sz w:val="16"/>
          <w:szCs w:val="16"/>
        </w:rPr>
        <w:t>Privé-sport-arbei</w:t>
      </w:r>
      <w:r w:rsidRPr="00F61CBB" w:rsidR="000D45AD">
        <w:rPr>
          <w:sz w:val="16"/>
          <w:szCs w:val="16"/>
        </w:rPr>
        <w:t>d</w:t>
      </w:r>
    </w:p>
    <w:p w:rsidRPr="00F61CBB" w:rsidR="008F6B77" w:rsidP="003A2B18" w:rsidRDefault="008F6B77">
      <w:pPr>
        <w:ind w:left="426" w:hanging="426"/>
        <w:rPr>
          <w:sz w:val="16"/>
          <w:szCs w:val="16"/>
        </w:rPr>
      </w:pPr>
      <w:r w:rsidRPr="00F61CBB">
        <w:rPr>
          <w:sz w:val="16"/>
          <w:szCs w:val="16"/>
        </w:rPr>
        <w:t>g</w:t>
      </w:r>
      <w:r w:rsidRPr="00F61CBB">
        <w:rPr>
          <w:sz w:val="16"/>
          <w:szCs w:val="16"/>
        </w:rPr>
        <w:tab/>
        <w:t xml:space="preserve">Dit totaal is gebaseerd op </w:t>
      </w:r>
      <w:r w:rsidRPr="00F61CBB">
        <w:rPr>
          <w:rFonts w:cs="Arial"/>
          <w:sz w:val="16"/>
          <w:szCs w:val="16"/>
        </w:rPr>
        <w:t>de directe medische kosten geschat op basis van noot d en op de verzuimkosten geschat op basis van noot e.</w:t>
      </w:r>
    </w:p>
    <w:p w:rsidR="000D45AD" w:rsidP="0016573E" w:rsidRDefault="000D45AD">
      <w:pPr>
        <w:rPr>
          <w:szCs w:val="18"/>
        </w:rPr>
      </w:pPr>
    </w:p>
    <w:p w:rsidR="008704AB" w:rsidP="0016573E" w:rsidRDefault="008704AB">
      <w:pPr>
        <w:spacing w:line="240" w:lineRule="auto"/>
        <w:sectPr w:rsidR="008704AB" w:rsidSect="008704AB">
          <w:pgSz w:w="16837" w:h="11905" w:orient="landscape"/>
          <w:pgMar w:top="1701" w:right="3856" w:bottom="964" w:left="1134" w:header="2750" w:footer="709" w:gutter="1134"/>
          <w:cols w:space="708"/>
          <w:docGrid w:linePitch="326"/>
        </w:sectPr>
      </w:pPr>
    </w:p>
    <w:p w:rsidRPr="004C5029" w:rsidR="000D45AD" w:rsidP="0016573E" w:rsidRDefault="000D45AD">
      <w:pPr>
        <w:rPr>
          <w:szCs w:val="18"/>
        </w:rPr>
      </w:pPr>
      <w:r w:rsidRPr="004C5029">
        <w:rPr>
          <w:szCs w:val="18"/>
        </w:rPr>
        <w:t>Bij de interpretatie van de cijfers in de tabel moet rekening worden gehouden met de volgende punten:</w:t>
      </w:r>
    </w:p>
    <w:p w:rsidRPr="004C5029" w:rsidR="000D45AD" w:rsidP="003A2B18" w:rsidRDefault="000D45AD">
      <w:pPr>
        <w:pStyle w:val="Lijstalinea"/>
        <w:numPr>
          <w:ilvl w:val="0"/>
          <w:numId w:val="31"/>
        </w:numPr>
        <w:spacing w:after="0" w:line="240" w:lineRule="auto"/>
        <w:ind w:left="284" w:hanging="284"/>
        <w:rPr>
          <w:rFonts w:ascii="Verdana" w:hAnsi="Verdana"/>
          <w:sz w:val="18"/>
          <w:szCs w:val="18"/>
        </w:rPr>
      </w:pPr>
      <w:r w:rsidRPr="004C5029">
        <w:rPr>
          <w:rFonts w:ascii="Verdana" w:hAnsi="Verdana"/>
          <w:sz w:val="18"/>
          <w:szCs w:val="18"/>
        </w:rPr>
        <w:t>De tabel geeft geen volledig overzicht van de probleemomvang, doordat gevallen die niet behandeld worden ontbreken. Hierdoor is sprake van een onderschatting van de totale probleemomvang en wordt ook de onderlinge vergelijking van categorieën beïnvloed. Zo worden letsels door geweld in de gepresenteerde cijfers relatief vaker gemist dan letsels door ongevallen, vanwege extra drempels om zich te laten behandelen.</w:t>
      </w:r>
    </w:p>
    <w:p w:rsidRPr="004C5029" w:rsidR="000D45AD" w:rsidP="003A2B18" w:rsidRDefault="000D45AD">
      <w:pPr>
        <w:pStyle w:val="Lijstalinea"/>
        <w:numPr>
          <w:ilvl w:val="0"/>
          <w:numId w:val="31"/>
        </w:numPr>
        <w:spacing w:after="0" w:line="240" w:lineRule="auto"/>
        <w:ind w:left="284" w:hanging="284"/>
        <w:rPr>
          <w:rFonts w:ascii="Verdana" w:hAnsi="Verdana"/>
          <w:sz w:val="18"/>
          <w:szCs w:val="18"/>
        </w:rPr>
      </w:pPr>
      <w:r w:rsidRPr="004C5029">
        <w:rPr>
          <w:rFonts w:ascii="Verdana" w:hAnsi="Verdana"/>
          <w:sz w:val="18"/>
          <w:szCs w:val="18"/>
        </w:rPr>
        <w:t xml:space="preserve">De indicatoren SEH-behandelingen en ziekenhuisopnamen worden niet alleen beïnvloed door de incidentie van letsels, maar ook door ontwikkelingen in zorggebruik. Het zorggebruik wordt bijvoorbeeld beïnvloed door het hulpzoekgedrag van patiënten en ook door veranderingen in richtlijnen, financiering, opnamebeleid en indicatiestelling van zorgverleners. De sterk stijgende trend in ziekenhuisopname </w:t>
      </w:r>
      <w:r w:rsidRPr="004C5029" w:rsidR="005F59C5">
        <w:rPr>
          <w:rFonts w:ascii="Verdana" w:hAnsi="Verdana"/>
          <w:sz w:val="18"/>
          <w:szCs w:val="18"/>
        </w:rPr>
        <w:t xml:space="preserve">kan </w:t>
      </w:r>
      <w:r w:rsidRPr="004C5029">
        <w:rPr>
          <w:rFonts w:ascii="Verdana" w:hAnsi="Verdana"/>
          <w:sz w:val="18"/>
          <w:szCs w:val="18"/>
        </w:rPr>
        <w:t xml:space="preserve">hier </w:t>
      </w:r>
      <w:r w:rsidRPr="004C5029" w:rsidR="005F59C5">
        <w:rPr>
          <w:rFonts w:ascii="Verdana" w:hAnsi="Verdana"/>
          <w:sz w:val="18"/>
          <w:szCs w:val="18"/>
        </w:rPr>
        <w:t>waarschijnlijk</w:t>
      </w:r>
      <w:r w:rsidRPr="004C5029">
        <w:rPr>
          <w:rFonts w:ascii="Verdana" w:hAnsi="Verdana"/>
          <w:sz w:val="18"/>
          <w:szCs w:val="18"/>
        </w:rPr>
        <w:t xml:space="preserve"> </w:t>
      </w:r>
      <w:r w:rsidRPr="004C5029" w:rsidR="005F59C5">
        <w:rPr>
          <w:rFonts w:ascii="Verdana" w:hAnsi="Verdana"/>
          <w:sz w:val="18"/>
          <w:szCs w:val="18"/>
        </w:rPr>
        <w:t xml:space="preserve">deels </w:t>
      </w:r>
      <w:r w:rsidRPr="004C5029">
        <w:rPr>
          <w:rFonts w:ascii="Verdana" w:hAnsi="Verdana"/>
          <w:sz w:val="18"/>
          <w:szCs w:val="18"/>
        </w:rPr>
        <w:t xml:space="preserve">mee </w:t>
      </w:r>
      <w:r w:rsidRPr="004C5029" w:rsidR="005F59C5">
        <w:rPr>
          <w:rFonts w:ascii="Verdana" w:hAnsi="Verdana"/>
          <w:sz w:val="18"/>
          <w:szCs w:val="18"/>
        </w:rPr>
        <w:t>worden verklaard</w:t>
      </w:r>
      <w:r w:rsidRPr="004C5029">
        <w:rPr>
          <w:rFonts w:ascii="Verdana" w:hAnsi="Verdana"/>
          <w:sz w:val="18"/>
          <w:szCs w:val="18"/>
        </w:rPr>
        <w:t>, vermoedelijk wordt men sneller (maar korter) opgenomen, o.a. ter observatie</w:t>
      </w:r>
      <w:r w:rsidRPr="004C5029" w:rsidR="005F59C5">
        <w:rPr>
          <w:rFonts w:ascii="Verdana" w:hAnsi="Verdana"/>
          <w:sz w:val="18"/>
          <w:szCs w:val="18"/>
        </w:rPr>
        <w:t xml:space="preserve"> of eerder geopereerd</w:t>
      </w:r>
      <w:r w:rsidRPr="004C5029">
        <w:rPr>
          <w:rFonts w:ascii="Verdana" w:hAnsi="Verdana"/>
          <w:sz w:val="18"/>
          <w:szCs w:val="18"/>
        </w:rPr>
        <w:t xml:space="preserve">. </w:t>
      </w:r>
    </w:p>
    <w:p w:rsidRPr="004C5029" w:rsidR="000D45AD" w:rsidP="003A2B18" w:rsidRDefault="000D45AD">
      <w:pPr>
        <w:pStyle w:val="Lijstalinea"/>
        <w:numPr>
          <w:ilvl w:val="0"/>
          <w:numId w:val="31"/>
        </w:numPr>
        <w:spacing w:after="0" w:line="240" w:lineRule="auto"/>
        <w:ind w:left="284" w:hanging="284"/>
        <w:rPr>
          <w:rFonts w:ascii="Verdana" w:hAnsi="Verdana"/>
          <w:sz w:val="18"/>
          <w:szCs w:val="18"/>
        </w:rPr>
      </w:pPr>
      <w:r w:rsidRPr="004C5029">
        <w:rPr>
          <w:rFonts w:ascii="Verdana" w:hAnsi="Verdana"/>
          <w:sz w:val="18"/>
          <w:szCs w:val="18"/>
        </w:rPr>
        <w:t>Met betrekking tot het hulpzoekgedrag zijn er tot dusverre geen aanwijzingen gevonden dat huisartsenposten een significant aantal letselpatiënten afvangen van de SEH. Uit de meetweken van het Julius centrum blijkt dat patiënten met ziekteklachten zoals buikpijn eerder naar de huisartsenpost gaan en met letsels eerder naar de SEH. Met mogelijke effecten hiervan op de trends moet rekening worden gehouden bij de vergelijking van de cijfers uit 2007-2011 met 2001-2005; veranderingen in SEH-gebruik en ziekenhuisopnamen kunnen niet zonder meer als ‘veranderingen in incidentie van letsels’ geïnterpreteerd worden (zie bijvoorbeeld Lyons et al, 2006).</w:t>
      </w:r>
    </w:p>
    <w:p w:rsidRPr="004C5029" w:rsidR="000D45AD" w:rsidP="003A2B18" w:rsidRDefault="000D45AD">
      <w:pPr>
        <w:pStyle w:val="Lijstalinea"/>
        <w:numPr>
          <w:ilvl w:val="0"/>
          <w:numId w:val="31"/>
        </w:numPr>
        <w:spacing w:after="0" w:line="240" w:lineRule="auto"/>
        <w:ind w:left="284" w:hanging="284"/>
        <w:rPr>
          <w:rFonts w:ascii="Verdana" w:hAnsi="Verdana"/>
          <w:sz w:val="18"/>
          <w:szCs w:val="18"/>
        </w:rPr>
      </w:pPr>
      <w:r w:rsidRPr="004C5029">
        <w:rPr>
          <w:rFonts w:ascii="Verdana" w:hAnsi="Verdana"/>
          <w:sz w:val="18"/>
          <w:szCs w:val="18"/>
        </w:rPr>
        <w:t>In de toegepaste methode van DALY-berekeningen zijn letsels van geringe ernst niet meegenomen. Er wordt wel rekening gehouden met veranderingen in de ernst van het letsel (zie Haagsma et al, 2012). Psychische gevolgen van ongevallen en geweld worden niet meegenomen. Dit betekent dat de DALY’s een onderschatting zijn, die relatief het grootst zal zijn bij de categorieën met veel psychische impact. Hierdoor worden met name de DALY’s door letsels bij geweld, arbeidsongevallen en verkeersongevallen onderschat.</w:t>
      </w:r>
    </w:p>
    <w:p w:rsidRPr="004C5029" w:rsidR="000D45AD" w:rsidP="003A2B18" w:rsidRDefault="000D45AD">
      <w:pPr>
        <w:pStyle w:val="Lijstalinea"/>
        <w:numPr>
          <w:ilvl w:val="0"/>
          <w:numId w:val="31"/>
        </w:numPr>
        <w:spacing w:after="0" w:line="240" w:lineRule="auto"/>
        <w:ind w:left="284" w:hanging="284"/>
        <w:rPr>
          <w:rFonts w:ascii="Verdana" w:hAnsi="Verdana"/>
          <w:sz w:val="18"/>
          <w:szCs w:val="18"/>
        </w:rPr>
      </w:pPr>
      <w:r w:rsidRPr="004C5029">
        <w:rPr>
          <w:rFonts w:ascii="Verdana" w:hAnsi="Verdana"/>
          <w:sz w:val="18"/>
          <w:szCs w:val="18"/>
        </w:rPr>
        <w:t>De indicator kosten geeft waarschijnlijk een betere indruk van (ontwikkelingen in) de gevolgen door ongevallen vanuit volksgezondheidsperspectief; hiermee wordt het gezamenlijk effect van (veranderingen in) incidentie, letselernst en zorggebruik in kaart gebracht. Maar ook de kosten worden onderschat, vooral bij suïcidaal gedrag (waarvoor de verzuimkosten in het geheel niet konden worden berekend) en geweld. Verder zijn v</w:t>
      </w:r>
      <w:r w:rsidRPr="004C5029" w:rsidR="008704AB">
        <w:rPr>
          <w:rFonts w:ascii="Verdana" w:hAnsi="Verdana"/>
          <w:sz w:val="18"/>
          <w:szCs w:val="18"/>
        </w:rPr>
        <w:t>er</w:t>
      </w:r>
      <w:r w:rsidRPr="004C5029">
        <w:rPr>
          <w:rFonts w:ascii="Verdana" w:hAnsi="Verdana"/>
          <w:sz w:val="18"/>
          <w:szCs w:val="18"/>
        </w:rPr>
        <w:t>zuimduren na letsel berekend naar letseltype (bv. polsfractuur of hersenschudding) zonder rekening te houden met de oorzaak van het letsel. Mogelijk leidt bijvoorbeeld een hersenschudding na geweld tot een langer verzuim dan een hersenschudding door een sportongeval, mede vanwege de bijkomende psychische impact.</w:t>
      </w:r>
    </w:p>
    <w:p w:rsidRPr="004C5029" w:rsidR="000D45AD" w:rsidP="003A2B18" w:rsidRDefault="000D45AD">
      <w:pPr>
        <w:pStyle w:val="Lijstalinea"/>
        <w:numPr>
          <w:ilvl w:val="0"/>
          <w:numId w:val="31"/>
        </w:numPr>
        <w:spacing w:after="0" w:line="240" w:lineRule="auto"/>
        <w:ind w:left="284" w:hanging="284"/>
        <w:rPr>
          <w:rFonts w:ascii="Verdana" w:hAnsi="Verdana"/>
          <w:sz w:val="18"/>
          <w:szCs w:val="18"/>
        </w:rPr>
      </w:pPr>
      <w:r w:rsidRPr="004C5029">
        <w:rPr>
          <w:rFonts w:ascii="Verdana" w:hAnsi="Verdana"/>
          <w:sz w:val="18"/>
          <w:szCs w:val="18"/>
        </w:rPr>
        <w:t xml:space="preserve">Ook de kostenindicator geeft nog </w:t>
      </w:r>
      <w:r w:rsidR="003A32F2">
        <w:rPr>
          <w:rFonts w:ascii="Verdana" w:hAnsi="Verdana"/>
          <w:sz w:val="18"/>
          <w:szCs w:val="18"/>
        </w:rPr>
        <w:t>geen</w:t>
      </w:r>
      <w:r w:rsidRPr="004C5029">
        <w:rPr>
          <w:rFonts w:ascii="Verdana" w:hAnsi="Verdana"/>
          <w:sz w:val="18"/>
          <w:szCs w:val="18"/>
        </w:rPr>
        <w:t xml:space="preserve"> volledige indruk van de totale maatschappelijke schade door ongevallen; zo ontbreekt bijvoorbeeld de materiële schade in deze overzichten; dit betekent dat bijvoorbeeld voor verkeersongevallen slechts een gering deel van de maatschappelijke kosten in de tabel zichtbaar wordt gemaakt. De materiële schade kan ook groot zijn bij arbeidsongevallen, geweld en privéongevallen, zoals brand. Ook is de immateriële schade door sterfte en beperkingen na niet-fatale ongevallen in het overzicht niet in monetaire termen gekwantificeerd, zoals in sectoren buiten de gezondheidszorg gebruikelijk is (‘human costs’). </w:t>
      </w:r>
    </w:p>
    <w:p w:rsidR="00397CF1" w:rsidP="0016573E" w:rsidRDefault="00397CF1">
      <w:pPr>
        <w:rPr>
          <w:szCs w:val="18"/>
        </w:rPr>
      </w:pPr>
    </w:p>
    <w:p w:rsidRPr="004C5029" w:rsidR="008704AB" w:rsidP="0016573E" w:rsidRDefault="002F2A7C">
      <w:pPr>
        <w:rPr>
          <w:szCs w:val="18"/>
        </w:rPr>
      </w:pPr>
      <w:r w:rsidRPr="004C5029">
        <w:rPr>
          <w:szCs w:val="18"/>
        </w:rPr>
        <w:t>D</w:t>
      </w:r>
      <w:r w:rsidRPr="004C5029" w:rsidR="000D45AD">
        <w:rPr>
          <w:szCs w:val="18"/>
        </w:rPr>
        <w:t xml:space="preserve">eze punten laten zien dat we bij de interpretatie van trends voorzichtig moeten zijn </w:t>
      </w:r>
      <w:r w:rsidRPr="004C5029" w:rsidR="008A0967">
        <w:rPr>
          <w:szCs w:val="18"/>
        </w:rPr>
        <w:t>met</w:t>
      </w:r>
      <w:r w:rsidRPr="004C5029" w:rsidR="000D45AD">
        <w:rPr>
          <w:szCs w:val="18"/>
        </w:rPr>
        <w:t xml:space="preserve"> het trekken van conclusies.</w:t>
      </w:r>
    </w:p>
    <w:p w:rsidR="003A2B18" w:rsidRDefault="003A2B18">
      <w:pPr>
        <w:spacing w:line="240" w:lineRule="auto"/>
        <w:rPr>
          <w:u w:val="single"/>
        </w:rPr>
      </w:pPr>
      <w:r>
        <w:rPr>
          <w:u w:val="single"/>
        </w:rPr>
        <w:br w:type="page"/>
      </w:r>
    </w:p>
    <w:p w:rsidRPr="00A7065A" w:rsidR="00B73A84" w:rsidP="0016573E" w:rsidRDefault="00B73A84">
      <w:pPr>
        <w:tabs>
          <w:tab w:val="left" w:pos="8080"/>
        </w:tabs>
        <w:rPr>
          <w:u w:val="single"/>
        </w:rPr>
      </w:pPr>
      <w:r w:rsidRPr="00A7065A">
        <w:rPr>
          <w:u w:val="single"/>
        </w:rPr>
        <w:t>Trends in letsels</w:t>
      </w:r>
    </w:p>
    <w:p w:rsidRPr="00F019BD" w:rsidR="002F2A7C" w:rsidP="0016573E" w:rsidRDefault="002F2A7C">
      <w:pPr>
        <w:tabs>
          <w:tab w:val="left" w:pos="8080"/>
        </w:tabs>
      </w:pPr>
      <w:r w:rsidRPr="00F019BD">
        <w:t>Uit tabel 1 wordt duidelijk dat met uitzondering van de SEH-behandelingen alle andere indicatoren zich ongunstig hebben ontwikkeld in de periode 2007-2011 ten opzichte van de periode 2001-2005</w:t>
      </w:r>
      <w:r w:rsidR="008A0967">
        <w:rPr>
          <w:rStyle w:val="Voetnootmarkering"/>
        </w:rPr>
        <w:footnoteReference w:id="15"/>
      </w:r>
      <w:r w:rsidRPr="00F019BD">
        <w:t xml:space="preserve">, met duidelijke verschillen tussen de verschillende ongevalscategorieën. In tabel 2 worden de resultaten gepresenteerd van een trendanalyse van het aantal SEH-behandelingen en de sterfte in de periode 2001-2011 voor de verschillende letselcategorieën. </w:t>
      </w:r>
    </w:p>
    <w:p w:rsidR="002F2A7C" w:rsidP="0016573E" w:rsidRDefault="002F2A7C">
      <w:pPr>
        <w:tabs>
          <w:tab w:val="left" w:pos="8080"/>
        </w:tabs>
      </w:pPr>
    </w:p>
    <w:p w:rsidRPr="00C3325C" w:rsidR="0044402A" w:rsidP="0016573E" w:rsidRDefault="0044402A">
      <w:pPr>
        <w:tabs>
          <w:tab w:val="left" w:pos="8080"/>
        </w:tabs>
        <w:spacing w:line="252" w:lineRule="atLeast"/>
        <w:rPr>
          <w:rFonts w:cs="Arial"/>
          <w:b/>
          <w:szCs w:val="18"/>
        </w:rPr>
      </w:pPr>
      <w:r w:rsidRPr="00C3325C">
        <w:rPr>
          <w:rFonts w:cs="Arial"/>
          <w:b/>
          <w:szCs w:val="18"/>
        </w:rPr>
        <w:t>Tabel 2: Trends in letsels periodes 2001-2005 en 2007-2011</w:t>
      </w:r>
    </w:p>
    <w:tbl>
      <w:tblPr>
        <w:tblStyle w:val="Tabelraster"/>
        <w:tblW w:w="0" w:type="auto"/>
        <w:tblInd w:w="108" w:type="dxa"/>
        <w:tblLook w:val="04A0"/>
      </w:tblPr>
      <w:tblGrid>
        <w:gridCol w:w="1926"/>
        <w:gridCol w:w="1571"/>
        <w:gridCol w:w="1176"/>
        <w:gridCol w:w="1571"/>
        <w:gridCol w:w="1176"/>
      </w:tblGrid>
      <w:tr w:rsidRPr="00F019BD" w:rsidR="0044402A" w:rsidTr="00916BD7">
        <w:tc>
          <w:tcPr>
            <w:tcW w:w="2093" w:type="dxa"/>
          </w:tcPr>
          <w:p w:rsidRPr="00F019BD" w:rsidR="0044402A" w:rsidP="0016573E" w:rsidRDefault="0044402A">
            <w:pPr>
              <w:tabs>
                <w:tab w:val="left" w:pos="8080"/>
              </w:tabs>
              <w:spacing w:line="252" w:lineRule="atLeast"/>
              <w:rPr>
                <w:rFonts w:ascii="Arial" w:hAnsi="Arial" w:cs="Arial"/>
                <w:b/>
                <w:szCs w:val="18"/>
              </w:rPr>
            </w:pPr>
          </w:p>
        </w:tc>
        <w:tc>
          <w:tcPr>
            <w:tcW w:w="3189" w:type="dxa"/>
            <w:gridSpan w:val="2"/>
          </w:tcPr>
          <w:p w:rsidRPr="00F019BD" w:rsidR="0044402A" w:rsidP="0016573E" w:rsidRDefault="0044402A">
            <w:pPr>
              <w:tabs>
                <w:tab w:val="left" w:pos="8080"/>
              </w:tabs>
              <w:spacing w:line="252" w:lineRule="atLeast"/>
              <w:jc w:val="center"/>
              <w:rPr>
                <w:rFonts w:ascii="Arial" w:hAnsi="Arial" w:cs="Arial"/>
                <w:b/>
                <w:szCs w:val="18"/>
              </w:rPr>
            </w:pPr>
            <w:r w:rsidRPr="00F019BD">
              <w:rPr>
                <w:rFonts w:ascii="Arial" w:hAnsi="Arial" w:cs="Arial"/>
                <w:b/>
                <w:szCs w:val="18"/>
              </w:rPr>
              <w:t>2001-2005</w:t>
            </w:r>
            <w:r w:rsidRPr="00F019BD">
              <w:rPr>
                <w:rFonts w:ascii="Arial" w:hAnsi="Arial" w:cs="Arial"/>
                <w:szCs w:val="18"/>
                <w:vertAlign w:val="superscript"/>
              </w:rPr>
              <w:t>3</w:t>
            </w:r>
          </w:p>
        </w:tc>
        <w:tc>
          <w:tcPr>
            <w:tcW w:w="3190" w:type="dxa"/>
            <w:gridSpan w:val="2"/>
          </w:tcPr>
          <w:p w:rsidRPr="00F019BD" w:rsidR="0044402A" w:rsidP="0016573E" w:rsidRDefault="0044402A">
            <w:pPr>
              <w:tabs>
                <w:tab w:val="left" w:pos="8080"/>
              </w:tabs>
              <w:spacing w:line="252" w:lineRule="atLeast"/>
              <w:jc w:val="center"/>
              <w:rPr>
                <w:rFonts w:ascii="Arial" w:hAnsi="Arial" w:cs="Arial"/>
                <w:b/>
                <w:szCs w:val="18"/>
              </w:rPr>
            </w:pPr>
            <w:r w:rsidRPr="00F019BD">
              <w:rPr>
                <w:rFonts w:ascii="Arial" w:hAnsi="Arial" w:cs="Arial"/>
                <w:b/>
                <w:szCs w:val="18"/>
              </w:rPr>
              <w:t>2007-2011</w:t>
            </w:r>
          </w:p>
        </w:tc>
      </w:tr>
      <w:tr w:rsidRPr="00F019BD" w:rsidR="0044402A" w:rsidTr="00916BD7">
        <w:tc>
          <w:tcPr>
            <w:tcW w:w="2093" w:type="dxa"/>
          </w:tcPr>
          <w:p w:rsidRPr="00F019BD" w:rsidR="0044402A" w:rsidP="0016573E" w:rsidRDefault="0044402A">
            <w:pPr>
              <w:tabs>
                <w:tab w:val="left" w:pos="8080"/>
              </w:tabs>
              <w:spacing w:line="252" w:lineRule="atLeast"/>
              <w:rPr>
                <w:rFonts w:ascii="Arial" w:hAnsi="Arial" w:cs="Arial"/>
                <w:b/>
                <w:szCs w:val="18"/>
              </w:rPr>
            </w:pPr>
          </w:p>
        </w:tc>
        <w:tc>
          <w:tcPr>
            <w:tcW w:w="1594" w:type="dxa"/>
          </w:tcPr>
          <w:p w:rsidRPr="00F019BD" w:rsidR="0044402A" w:rsidP="0016573E" w:rsidRDefault="0044402A">
            <w:pPr>
              <w:tabs>
                <w:tab w:val="left" w:pos="8080"/>
              </w:tabs>
              <w:spacing w:line="252" w:lineRule="atLeast"/>
              <w:jc w:val="center"/>
              <w:rPr>
                <w:rFonts w:ascii="Arial" w:hAnsi="Arial" w:cs="Arial"/>
                <w:b/>
                <w:szCs w:val="18"/>
              </w:rPr>
            </w:pPr>
            <w:r w:rsidRPr="00F019BD">
              <w:rPr>
                <w:rFonts w:ascii="Arial" w:hAnsi="Arial" w:cs="Arial"/>
                <w:b/>
                <w:szCs w:val="18"/>
              </w:rPr>
              <w:t>SEH-</w:t>
            </w:r>
            <w:r>
              <w:rPr>
                <w:rFonts w:ascii="Arial" w:hAnsi="Arial" w:cs="Arial"/>
                <w:b/>
                <w:szCs w:val="18"/>
              </w:rPr>
              <w:t>b</w:t>
            </w:r>
            <w:r w:rsidRPr="00F019BD">
              <w:rPr>
                <w:rFonts w:ascii="Arial" w:hAnsi="Arial" w:cs="Arial"/>
                <w:b/>
                <w:szCs w:val="18"/>
              </w:rPr>
              <w:t>ehandelingen</w:t>
            </w:r>
            <w:r w:rsidRPr="00F019BD">
              <w:rPr>
                <w:rFonts w:ascii="Arial" w:hAnsi="Arial" w:cs="Arial"/>
                <w:b/>
                <w:szCs w:val="18"/>
                <w:vertAlign w:val="superscript"/>
              </w:rPr>
              <w:t>1</w:t>
            </w:r>
          </w:p>
        </w:tc>
        <w:tc>
          <w:tcPr>
            <w:tcW w:w="1595" w:type="dxa"/>
          </w:tcPr>
          <w:p w:rsidRPr="00F019BD" w:rsidR="0044402A" w:rsidP="0016573E" w:rsidRDefault="0044402A">
            <w:pPr>
              <w:tabs>
                <w:tab w:val="left" w:pos="8080"/>
              </w:tabs>
              <w:spacing w:line="252" w:lineRule="atLeast"/>
              <w:jc w:val="center"/>
              <w:rPr>
                <w:rFonts w:ascii="Arial" w:hAnsi="Arial" w:cs="Arial"/>
                <w:b/>
                <w:szCs w:val="18"/>
              </w:rPr>
            </w:pPr>
            <w:r w:rsidRPr="00F019BD">
              <w:rPr>
                <w:rFonts w:ascii="Arial" w:hAnsi="Arial" w:cs="Arial"/>
                <w:b/>
                <w:szCs w:val="18"/>
              </w:rPr>
              <w:t>Sterfte</w:t>
            </w:r>
            <w:r w:rsidRPr="00F019BD">
              <w:rPr>
                <w:rFonts w:ascii="Arial" w:hAnsi="Arial" w:cs="Arial"/>
                <w:b/>
                <w:szCs w:val="18"/>
                <w:vertAlign w:val="superscript"/>
              </w:rPr>
              <w:t>2</w:t>
            </w:r>
          </w:p>
        </w:tc>
        <w:tc>
          <w:tcPr>
            <w:tcW w:w="1595" w:type="dxa"/>
          </w:tcPr>
          <w:p w:rsidRPr="00F019BD" w:rsidR="0044402A" w:rsidP="0016573E" w:rsidRDefault="0044402A">
            <w:pPr>
              <w:tabs>
                <w:tab w:val="left" w:pos="8080"/>
              </w:tabs>
              <w:spacing w:line="252" w:lineRule="atLeast"/>
              <w:jc w:val="center"/>
              <w:rPr>
                <w:rFonts w:ascii="Arial" w:hAnsi="Arial" w:cs="Arial"/>
                <w:b/>
                <w:szCs w:val="18"/>
              </w:rPr>
            </w:pPr>
            <w:r w:rsidRPr="00F019BD">
              <w:rPr>
                <w:rFonts w:ascii="Arial" w:hAnsi="Arial" w:cs="Arial"/>
                <w:b/>
                <w:szCs w:val="18"/>
              </w:rPr>
              <w:t>SEH-behandelingen</w:t>
            </w:r>
            <w:r w:rsidRPr="00F019BD">
              <w:rPr>
                <w:rFonts w:ascii="Arial" w:hAnsi="Arial" w:cs="Arial"/>
                <w:szCs w:val="18"/>
                <w:vertAlign w:val="superscript"/>
              </w:rPr>
              <w:t>1</w:t>
            </w:r>
          </w:p>
        </w:tc>
        <w:tc>
          <w:tcPr>
            <w:tcW w:w="1595" w:type="dxa"/>
          </w:tcPr>
          <w:p w:rsidR="0044402A" w:rsidP="0016573E" w:rsidRDefault="0044402A">
            <w:pPr>
              <w:tabs>
                <w:tab w:val="left" w:pos="8080"/>
              </w:tabs>
              <w:spacing w:line="252" w:lineRule="atLeast"/>
              <w:jc w:val="center"/>
              <w:rPr>
                <w:rFonts w:ascii="Arial" w:hAnsi="Arial" w:cs="Arial"/>
                <w:b/>
                <w:szCs w:val="18"/>
              </w:rPr>
            </w:pPr>
            <w:r w:rsidRPr="00F019BD">
              <w:rPr>
                <w:rFonts w:ascii="Arial" w:hAnsi="Arial" w:cs="Arial"/>
                <w:b/>
                <w:szCs w:val="18"/>
              </w:rPr>
              <w:t>Sterfte</w:t>
            </w:r>
            <w:r w:rsidRPr="00F019BD">
              <w:rPr>
                <w:rFonts w:ascii="Arial" w:hAnsi="Arial" w:cs="Arial"/>
                <w:szCs w:val="18"/>
                <w:vertAlign w:val="superscript"/>
              </w:rPr>
              <w:t>2</w:t>
            </w:r>
          </w:p>
          <w:p w:rsidRPr="00E410D6" w:rsidR="0044402A" w:rsidP="0016573E" w:rsidRDefault="0044402A">
            <w:pPr>
              <w:rPr>
                <w:rFonts w:ascii="Arial" w:hAnsi="Arial" w:cs="Arial"/>
                <w:szCs w:val="18"/>
              </w:rPr>
            </w:pPr>
          </w:p>
        </w:tc>
      </w:tr>
      <w:tr w:rsidRPr="00F019BD" w:rsidR="0044402A" w:rsidTr="00916BD7">
        <w:tc>
          <w:tcPr>
            <w:tcW w:w="2093" w:type="dxa"/>
          </w:tcPr>
          <w:p w:rsidRPr="00F019BD" w:rsidR="0044402A" w:rsidP="0016573E" w:rsidRDefault="0044402A">
            <w:pPr>
              <w:tabs>
                <w:tab w:val="left" w:pos="8080"/>
              </w:tabs>
              <w:spacing w:line="252" w:lineRule="atLeast"/>
              <w:rPr>
                <w:rFonts w:ascii="Arial" w:hAnsi="Arial" w:cs="Arial"/>
                <w:szCs w:val="18"/>
              </w:rPr>
            </w:pPr>
            <w:r w:rsidRPr="00F019BD">
              <w:rPr>
                <w:rFonts w:ascii="Arial" w:hAnsi="Arial" w:cs="Arial"/>
                <w:szCs w:val="18"/>
              </w:rPr>
              <w:t>Privéongevallen</w:t>
            </w:r>
          </w:p>
        </w:tc>
        <w:tc>
          <w:tcPr>
            <w:tcW w:w="1594" w:type="dxa"/>
          </w:tcPr>
          <w:p w:rsidRPr="00F019BD" w:rsidR="0044402A" w:rsidP="0016573E" w:rsidRDefault="0044402A">
            <w:pPr>
              <w:tabs>
                <w:tab w:val="left" w:pos="8080"/>
              </w:tabs>
              <w:spacing w:line="252" w:lineRule="atLeast"/>
              <w:rPr>
                <w:rFonts w:ascii="Arial" w:hAnsi="Arial" w:cs="Arial"/>
                <w:szCs w:val="18"/>
              </w:rPr>
            </w:pPr>
            <w:r w:rsidRPr="00F019BD">
              <w:rPr>
                <w:rFonts w:ascii="Arial" w:hAnsi="Arial" w:cs="Arial"/>
                <w:szCs w:val="18"/>
              </w:rPr>
              <w:t>-26%</w:t>
            </w:r>
          </w:p>
        </w:tc>
        <w:tc>
          <w:tcPr>
            <w:tcW w:w="1595" w:type="dxa"/>
          </w:tcPr>
          <w:p w:rsidRPr="00F019BD" w:rsidR="0044402A" w:rsidP="0016573E" w:rsidRDefault="0044402A">
            <w:pPr>
              <w:tabs>
                <w:tab w:val="left" w:pos="8080"/>
              </w:tabs>
              <w:spacing w:line="252" w:lineRule="atLeast"/>
              <w:rPr>
                <w:rFonts w:ascii="Arial" w:hAnsi="Arial" w:cs="Arial"/>
                <w:szCs w:val="18"/>
              </w:rPr>
            </w:pPr>
            <w:r w:rsidRPr="00F019BD">
              <w:rPr>
                <w:rFonts w:ascii="Arial" w:hAnsi="Arial" w:cs="Arial"/>
                <w:szCs w:val="18"/>
              </w:rPr>
              <w:t>+8% ns</w:t>
            </w:r>
          </w:p>
        </w:tc>
        <w:tc>
          <w:tcPr>
            <w:tcW w:w="1595" w:type="dxa"/>
          </w:tcPr>
          <w:p w:rsidRPr="00F019BD" w:rsidR="0044402A" w:rsidP="0016573E" w:rsidRDefault="0044402A">
            <w:pPr>
              <w:tabs>
                <w:tab w:val="left" w:pos="8080"/>
              </w:tabs>
              <w:spacing w:line="252" w:lineRule="atLeast"/>
              <w:rPr>
                <w:rFonts w:ascii="Arial" w:hAnsi="Arial" w:cs="Arial"/>
                <w:szCs w:val="18"/>
              </w:rPr>
            </w:pPr>
            <w:r w:rsidRPr="00F019BD">
              <w:rPr>
                <w:rFonts w:ascii="Arial" w:hAnsi="Arial" w:cs="Arial"/>
                <w:szCs w:val="18"/>
              </w:rPr>
              <w:t>-3% ns</w:t>
            </w:r>
          </w:p>
        </w:tc>
        <w:tc>
          <w:tcPr>
            <w:tcW w:w="1595" w:type="dxa"/>
          </w:tcPr>
          <w:p w:rsidRPr="00F019BD" w:rsidR="0044402A" w:rsidP="0016573E" w:rsidRDefault="0044402A">
            <w:pPr>
              <w:tabs>
                <w:tab w:val="left" w:pos="8080"/>
              </w:tabs>
              <w:spacing w:line="252" w:lineRule="atLeast"/>
              <w:rPr>
                <w:rFonts w:ascii="Arial" w:hAnsi="Arial" w:cs="Arial"/>
                <w:szCs w:val="18"/>
              </w:rPr>
            </w:pPr>
            <w:r w:rsidRPr="00F019BD">
              <w:rPr>
                <w:rFonts w:ascii="Arial" w:hAnsi="Arial" w:cs="Arial"/>
                <w:szCs w:val="18"/>
              </w:rPr>
              <w:t>+6% ns</w:t>
            </w:r>
          </w:p>
        </w:tc>
      </w:tr>
      <w:tr w:rsidRPr="00F019BD" w:rsidR="0044402A" w:rsidTr="00916BD7">
        <w:tc>
          <w:tcPr>
            <w:tcW w:w="2093" w:type="dxa"/>
          </w:tcPr>
          <w:p w:rsidRPr="00F019BD" w:rsidR="0044402A" w:rsidP="0016573E" w:rsidRDefault="0044402A">
            <w:pPr>
              <w:tabs>
                <w:tab w:val="left" w:pos="8080"/>
              </w:tabs>
              <w:spacing w:line="252" w:lineRule="atLeast"/>
              <w:rPr>
                <w:rFonts w:ascii="Arial" w:hAnsi="Arial" w:cs="Arial"/>
                <w:szCs w:val="18"/>
              </w:rPr>
            </w:pPr>
            <w:r w:rsidRPr="00F019BD">
              <w:rPr>
                <w:rFonts w:ascii="Arial" w:hAnsi="Arial" w:cs="Arial"/>
                <w:szCs w:val="18"/>
              </w:rPr>
              <w:t>Verkeersongevallen</w:t>
            </w:r>
          </w:p>
        </w:tc>
        <w:tc>
          <w:tcPr>
            <w:tcW w:w="1594" w:type="dxa"/>
          </w:tcPr>
          <w:p w:rsidRPr="00F019BD" w:rsidR="0044402A" w:rsidP="0016573E" w:rsidRDefault="0044402A">
            <w:pPr>
              <w:tabs>
                <w:tab w:val="left" w:pos="8080"/>
              </w:tabs>
              <w:spacing w:line="252" w:lineRule="atLeast"/>
              <w:rPr>
                <w:rFonts w:ascii="Arial" w:hAnsi="Arial" w:cs="Arial"/>
                <w:szCs w:val="18"/>
              </w:rPr>
            </w:pPr>
            <w:r w:rsidRPr="00F019BD">
              <w:rPr>
                <w:rFonts w:ascii="Arial" w:hAnsi="Arial" w:cs="Arial"/>
                <w:szCs w:val="18"/>
              </w:rPr>
              <w:t>-19%</w:t>
            </w:r>
          </w:p>
        </w:tc>
        <w:tc>
          <w:tcPr>
            <w:tcW w:w="1595" w:type="dxa"/>
          </w:tcPr>
          <w:p w:rsidRPr="00F019BD" w:rsidR="0044402A" w:rsidP="0016573E" w:rsidRDefault="0044402A">
            <w:pPr>
              <w:tabs>
                <w:tab w:val="left" w:pos="8080"/>
              </w:tabs>
              <w:spacing w:line="252" w:lineRule="atLeast"/>
              <w:rPr>
                <w:rFonts w:ascii="Arial" w:hAnsi="Arial" w:cs="Arial"/>
                <w:szCs w:val="18"/>
              </w:rPr>
            </w:pPr>
            <w:r w:rsidRPr="00F019BD">
              <w:rPr>
                <w:rFonts w:ascii="Arial" w:hAnsi="Arial" w:cs="Arial"/>
                <w:szCs w:val="18"/>
              </w:rPr>
              <w:t>-27%</w:t>
            </w:r>
          </w:p>
        </w:tc>
        <w:tc>
          <w:tcPr>
            <w:tcW w:w="1595" w:type="dxa"/>
          </w:tcPr>
          <w:p w:rsidRPr="00F019BD" w:rsidR="0044402A" w:rsidP="0016573E" w:rsidRDefault="0044402A">
            <w:pPr>
              <w:tabs>
                <w:tab w:val="left" w:pos="8080"/>
              </w:tabs>
              <w:spacing w:line="252" w:lineRule="atLeast"/>
              <w:rPr>
                <w:rFonts w:ascii="Arial" w:hAnsi="Arial" w:cs="Arial"/>
                <w:szCs w:val="18"/>
              </w:rPr>
            </w:pPr>
            <w:r w:rsidRPr="00F019BD">
              <w:rPr>
                <w:rFonts w:ascii="Arial" w:hAnsi="Arial" w:cs="Arial"/>
                <w:szCs w:val="18"/>
              </w:rPr>
              <w:t>+8% ns</w:t>
            </w:r>
          </w:p>
        </w:tc>
        <w:tc>
          <w:tcPr>
            <w:tcW w:w="1595" w:type="dxa"/>
          </w:tcPr>
          <w:p w:rsidRPr="00F019BD" w:rsidR="0044402A" w:rsidP="0016573E" w:rsidRDefault="0044402A">
            <w:pPr>
              <w:tabs>
                <w:tab w:val="left" w:pos="8080"/>
              </w:tabs>
              <w:spacing w:line="252" w:lineRule="atLeast"/>
              <w:rPr>
                <w:rFonts w:ascii="Arial" w:hAnsi="Arial" w:cs="Arial"/>
                <w:szCs w:val="18"/>
              </w:rPr>
            </w:pPr>
            <w:r w:rsidRPr="00F019BD">
              <w:rPr>
                <w:rFonts w:ascii="Arial" w:hAnsi="Arial" w:cs="Arial"/>
                <w:szCs w:val="18"/>
              </w:rPr>
              <w:t>-19%</w:t>
            </w:r>
          </w:p>
        </w:tc>
      </w:tr>
      <w:tr w:rsidRPr="00F019BD" w:rsidR="0044402A" w:rsidTr="00916BD7">
        <w:tc>
          <w:tcPr>
            <w:tcW w:w="2093" w:type="dxa"/>
          </w:tcPr>
          <w:p w:rsidRPr="00F019BD" w:rsidR="0044402A" w:rsidP="0016573E" w:rsidRDefault="0044402A">
            <w:pPr>
              <w:tabs>
                <w:tab w:val="left" w:pos="8080"/>
              </w:tabs>
              <w:spacing w:line="252" w:lineRule="atLeast"/>
              <w:rPr>
                <w:rFonts w:ascii="Arial" w:hAnsi="Arial" w:cs="Arial"/>
                <w:szCs w:val="18"/>
              </w:rPr>
            </w:pPr>
            <w:r w:rsidRPr="00F019BD">
              <w:rPr>
                <w:rFonts w:ascii="Arial" w:hAnsi="Arial" w:cs="Arial"/>
                <w:szCs w:val="18"/>
              </w:rPr>
              <w:t>Sportblessures</w:t>
            </w:r>
          </w:p>
        </w:tc>
        <w:tc>
          <w:tcPr>
            <w:tcW w:w="1594" w:type="dxa"/>
          </w:tcPr>
          <w:p w:rsidRPr="00F019BD" w:rsidR="0044402A" w:rsidP="0016573E" w:rsidRDefault="0044402A">
            <w:pPr>
              <w:tabs>
                <w:tab w:val="left" w:pos="8080"/>
              </w:tabs>
              <w:spacing w:line="252" w:lineRule="atLeast"/>
              <w:rPr>
                <w:rFonts w:ascii="Arial" w:hAnsi="Arial" w:cs="Arial"/>
                <w:szCs w:val="18"/>
              </w:rPr>
            </w:pPr>
            <w:r w:rsidRPr="00F019BD">
              <w:rPr>
                <w:rFonts w:ascii="Arial" w:hAnsi="Arial" w:cs="Arial"/>
                <w:szCs w:val="18"/>
              </w:rPr>
              <w:t>-15%</w:t>
            </w:r>
          </w:p>
        </w:tc>
        <w:tc>
          <w:tcPr>
            <w:tcW w:w="1595" w:type="dxa"/>
          </w:tcPr>
          <w:p w:rsidRPr="00F019BD" w:rsidR="0044402A" w:rsidP="0016573E" w:rsidRDefault="0044402A">
            <w:pPr>
              <w:tabs>
                <w:tab w:val="left" w:pos="8080"/>
              </w:tabs>
              <w:spacing w:line="252" w:lineRule="atLeast"/>
              <w:rPr>
                <w:rFonts w:ascii="Arial" w:hAnsi="Arial" w:cs="Arial"/>
                <w:szCs w:val="18"/>
              </w:rPr>
            </w:pPr>
          </w:p>
        </w:tc>
        <w:tc>
          <w:tcPr>
            <w:tcW w:w="1595" w:type="dxa"/>
          </w:tcPr>
          <w:p w:rsidRPr="00F019BD" w:rsidR="0044402A" w:rsidP="0016573E" w:rsidRDefault="0044402A">
            <w:pPr>
              <w:tabs>
                <w:tab w:val="left" w:pos="8080"/>
              </w:tabs>
              <w:spacing w:line="252" w:lineRule="atLeast"/>
              <w:rPr>
                <w:rFonts w:ascii="Arial" w:hAnsi="Arial" w:cs="Arial"/>
                <w:szCs w:val="18"/>
              </w:rPr>
            </w:pPr>
            <w:r w:rsidRPr="00F019BD">
              <w:rPr>
                <w:rFonts w:ascii="Arial" w:hAnsi="Arial" w:cs="Arial"/>
                <w:szCs w:val="18"/>
              </w:rPr>
              <w:t>+4% ns</w:t>
            </w:r>
          </w:p>
        </w:tc>
        <w:tc>
          <w:tcPr>
            <w:tcW w:w="1595" w:type="dxa"/>
          </w:tcPr>
          <w:p w:rsidRPr="00F019BD" w:rsidR="0044402A" w:rsidP="0016573E" w:rsidRDefault="0044402A">
            <w:pPr>
              <w:tabs>
                <w:tab w:val="left" w:pos="8080"/>
              </w:tabs>
              <w:spacing w:line="252" w:lineRule="atLeast"/>
              <w:rPr>
                <w:rFonts w:ascii="Arial" w:hAnsi="Arial" w:cs="Arial"/>
                <w:szCs w:val="18"/>
              </w:rPr>
            </w:pPr>
          </w:p>
        </w:tc>
      </w:tr>
      <w:tr w:rsidRPr="00F019BD" w:rsidR="0044402A" w:rsidTr="00916BD7">
        <w:tc>
          <w:tcPr>
            <w:tcW w:w="2093" w:type="dxa"/>
          </w:tcPr>
          <w:p w:rsidRPr="00F019BD" w:rsidR="0044402A" w:rsidP="0016573E" w:rsidRDefault="0044402A">
            <w:pPr>
              <w:tabs>
                <w:tab w:val="left" w:pos="8080"/>
              </w:tabs>
              <w:spacing w:line="252" w:lineRule="atLeast"/>
              <w:rPr>
                <w:rFonts w:ascii="Arial" w:hAnsi="Arial" w:cs="Arial"/>
                <w:szCs w:val="18"/>
              </w:rPr>
            </w:pPr>
            <w:r w:rsidRPr="00F019BD">
              <w:rPr>
                <w:rFonts w:ascii="Arial" w:hAnsi="Arial" w:cs="Arial"/>
                <w:szCs w:val="18"/>
              </w:rPr>
              <w:t>Arbeidsongevallen</w:t>
            </w:r>
          </w:p>
        </w:tc>
        <w:tc>
          <w:tcPr>
            <w:tcW w:w="1594" w:type="dxa"/>
          </w:tcPr>
          <w:p w:rsidRPr="00F019BD" w:rsidR="0044402A" w:rsidP="0016573E" w:rsidRDefault="0044402A">
            <w:pPr>
              <w:tabs>
                <w:tab w:val="left" w:pos="8080"/>
              </w:tabs>
              <w:spacing w:line="252" w:lineRule="atLeast"/>
              <w:rPr>
                <w:rFonts w:ascii="Arial" w:hAnsi="Arial" w:cs="Arial"/>
                <w:szCs w:val="18"/>
              </w:rPr>
            </w:pPr>
            <w:r w:rsidRPr="00F019BD">
              <w:rPr>
                <w:rFonts w:ascii="Arial" w:hAnsi="Arial" w:cs="Arial"/>
                <w:szCs w:val="18"/>
              </w:rPr>
              <w:t>-29%</w:t>
            </w:r>
          </w:p>
        </w:tc>
        <w:tc>
          <w:tcPr>
            <w:tcW w:w="1595" w:type="dxa"/>
          </w:tcPr>
          <w:p w:rsidRPr="00F019BD" w:rsidR="0044402A" w:rsidP="0016573E" w:rsidRDefault="0044402A">
            <w:pPr>
              <w:tabs>
                <w:tab w:val="left" w:pos="8080"/>
              </w:tabs>
              <w:spacing w:line="252" w:lineRule="atLeast"/>
              <w:rPr>
                <w:rFonts w:ascii="Arial" w:hAnsi="Arial" w:cs="Arial"/>
                <w:szCs w:val="18"/>
              </w:rPr>
            </w:pPr>
            <w:r w:rsidRPr="00F019BD">
              <w:rPr>
                <w:rFonts w:ascii="Arial" w:hAnsi="Arial" w:cs="Arial"/>
                <w:szCs w:val="18"/>
              </w:rPr>
              <w:t>-24% ns</w:t>
            </w:r>
          </w:p>
        </w:tc>
        <w:tc>
          <w:tcPr>
            <w:tcW w:w="1595" w:type="dxa"/>
          </w:tcPr>
          <w:p w:rsidRPr="00F019BD" w:rsidR="0044402A" w:rsidP="0016573E" w:rsidRDefault="0044402A">
            <w:pPr>
              <w:tabs>
                <w:tab w:val="left" w:pos="8080"/>
              </w:tabs>
              <w:spacing w:line="252" w:lineRule="atLeast"/>
              <w:rPr>
                <w:rFonts w:ascii="Arial" w:hAnsi="Arial" w:cs="Arial"/>
                <w:szCs w:val="18"/>
              </w:rPr>
            </w:pPr>
            <w:r w:rsidRPr="00F019BD">
              <w:rPr>
                <w:rFonts w:ascii="Arial" w:hAnsi="Arial" w:cs="Arial"/>
                <w:szCs w:val="18"/>
              </w:rPr>
              <w:t>-9% ns</w:t>
            </w:r>
            <w:r w:rsidRPr="00F019BD">
              <w:rPr>
                <w:rFonts w:ascii="Arial" w:hAnsi="Arial" w:cs="Arial"/>
                <w:szCs w:val="18"/>
                <w:vertAlign w:val="superscript"/>
              </w:rPr>
              <w:t>2</w:t>
            </w:r>
          </w:p>
        </w:tc>
        <w:tc>
          <w:tcPr>
            <w:tcW w:w="1595" w:type="dxa"/>
          </w:tcPr>
          <w:p w:rsidRPr="00F019BD" w:rsidR="0044402A" w:rsidP="0016573E" w:rsidRDefault="0044402A">
            <w:pPr>
              <w:tabs>
                <w:tab w:val="left" w:pos="8080"/>
              </w:tabs>
              <w:spacing w:line="252" w:lineRule="atLeast"/>
              <w:rPr>
                <w:rFonts w:ascii="Arial" w:hAnsi="Arial" w:cs="Arial"/>
                <w:szCs w:val="18"/>
              </w:rPr>
            </w:pPr>
            <w:r w:rsidRPr="00F019BD">
              <w:rPr>
                <w:rFonts w:ascii="Arial" w:hAnsi="Arial" w:cs="Arial"/>
                <w:szCs w:val="18"/>
              </w:rPr>
              <w:t>-9% ns</w:t>
            </w:r>
          </w:p>
        </w:tc>
      </w:tr>
      <w:tr w:rsidRPr="00F019BD" w:rsidR="0044402A" w:rsidTr="00916BD7">
        <w:tc>
          <w:tcPr>
            <w:tcW w:w="2093" w:type="dxa"/>
          </w:tcPr>
          <w:p w:rsidRPr="00F019BD" w:rsidR="0044402A" w:rsidP="0016573E" w:rsidRDefault="0044402A">
            <w:pPr>
              <w:tabs>
                <w:tab w:val="left" w:pos="8080"/>
              </w:tabs>
              <w:spacing w:line="252" w:lineRule="atLeast"/>
              <w:rPr>
                <w:rFonts w:ascii="Arial" w:hAnsi="Arial" w:cs="Arial"/>
                <w:szCs w:val="18"/>
              </w:rPr>
            </w:pPr>
            <w:r w:rsidRPr="00F019BD">
              <w:rPr>
                <w:rFonts w:ascii="Arial" w:hAnsi="Arial" w:cs="Arial"/>
                <w:szCs w:val="18"/>
              </w:rPr>
              <w:t>Suïcidaal gedrag</w:t>
            </w:r>
          </w:p>
        </w:tc>
        <w:tc>
          <w:tcPr>
            <w:tcW w:w="1594" w:type="dxa"/>
          </w:tcPr>
          <w:p w:rsidRPr="00F019BD" w:rsidR="0044402A" w:rsidP="0016573E" w:rsidRDefault="0044402A">
            <w:pPr>
              <w:tabs>
                <w:tab w:val="left" w:pos="8080"/>
              </w:tabs>
              <w:spacing w:line="252" w:lineRule="atLeast"/>
              <w:rPr>
                <w:rFonts w:ascii="Arial" w:hAnsi="Arial" w:cs="Arial"/>
                <w:szCs w:val="18"/>
              </w:rPr>
            </w:pPr>
            <w:r w:rsidRPr="00F019BD">
              <w:rPr>
                <w:rFonts w:ascii="Arial" w:hAnsi="Arial" w:cs="Arial"/>
                <w:szCs w:val="18"/>
              </w:rPr>
              <w:t>0% ns</w:t>
            </w:r>
          </w:p>
        </w:tc>
        <w:tc>
          <w:tcPr>
            <w:tcW w:w="1595" w:type="dxa"/>
          </w:tcPr>
          <w:p w:rsidRPr="00F019BD" w:rsidR="0044402A" w:rsidP="0016573E" w:rsidRDefault="0044402A">
            <w:pPr>
              <w:tabs>
                <w:tab w:val="left" w:pos="8080"/>
              </w:tabs>
              <w:spacing w:line="252" w:lineRule="atLeast"/>
              <w:rPr>
                <w:rFonts w:ascii="Arial" w:hAnsi="Arial" w:cs="Arial"/>
                <w:szCs w:val="18"/>
              </w:rPr>
            </w:pPr>
            <w:r w:rsidRPr="00F019BD">
              <w:rPr>
                <w:rFonts w:ascii="Arial" w:hAnsi="Arial" w:cs="Arial"/>
                <w:szCs w:val="18"/>
              </w:rPr>
              <w:t>0% ns</w:t>
            </w:r>
          </w:p>
        </w:tc>
        <w:tc>
          <w:tcPr>
            <w:tcW w:w="1595" w:type="dxa"/>
          </w:tcPr>
          <w:p w:rsidRPr="00F019BD" w:rsidR="0044402A" w:rsidP="0016573E" w:rsidRDefault="0044402A">
            <w:pPr>
              <w:tabs>
                <w:tab w:val="left" w:pos="8080"/>
              </w:tabs>
              <w:spacing w:line="252" w:lineRule="atLeast"/>
              <w:rPr>
                <w:rFonts w:ascii="Arial" w:hAnsi="Arial" w:cs="Arial"/>
                <w:szCs w:val="18"/>
              </w:rPr>
            </w:pPr>
            <w:r w:rsidRPr="00F019BD">
              <w:rPr>
                <w:rFonts w:ascii="Arial" w:hAnsi="Arial" w:cs="Arial"/>
                <w:szCs w:val="18"/>
              </w:rPr>
              <w:t>-5% ns</w:t>
            </w:r>
          </w:p>
        </w:tc>
        <w:tc>
          <w:tcPr>
            <w:tcW w:w="1595" w:type="dxa"/>
          </w:tcPr>
          <w:p w:rsidRPr="00F019BD" w:rsidR="0044402A" w:rsidP="0016573E" w:rsidRDefault="0044402A">
            <w:pPr>
              <w:tabs>
                <w:tab w:val="left" w:pos="8080"/>
              </w:tabs>
              <w:spacing w:line="252" w:lineRule="atLeast"/>
              <w:rPr>
                <w:rFonts w:ascii="Arial" w:hAnsi="Arial" w:cs="Arial"/>
                <w:szCs w:val="18"/>
              </w:rPr>
            </w:pPr>
            <w:r w:rsidRPr="00F019BD">
              <w:rPr>
                <w:rFonts w:ascii="Arial" w:hAnsi="Arial" w:cs="Arial"/>
                <w:szCs w:val="18"/>
              </w:rPr>
              <w:t>+9% ns</w:t>
            </w:r>
          </w:p>
        </w:tc>
      </w:tr>
      <w:tr w:rsidRPr="00F019BD" w:rsidR="0044402A" w:rsidTr="00916BD7">
        <w:tc>
          <w:tcPr>
            <w:tcW w:w="2093" w:type="dxa"/>
          </w:tcPr>
          <w:p w:rsidRPr="00F019BD" w:rsidR="0044402A" w:rsidP="0016573E" w:rsidRDefault="0044402A">
            <w:pPr>
              <w:spacing w:line="252" w:lineRule="atLeast"/>
              <w:rPr>
                <w:rFonts w:ascii="Arial" w:hAnsi="Arial" w:cs="Arial"/>
                <w:szCs w:val="18"/>
              </w:rPr>
            </w:pPr>
            <w:r w:rsidRPr="00F019BD">
              <w:rPr>
                <w:rFonts w:ascii="Arial" w:hAnsi="Arial" w:cs="Arial"/>
                <w:szCs w:val="18"/>
              </w:rPr>
              <w:t>Geweld</w:t>
            </w:r>
          </w:p>
        </w:tc>
        <w:tc>
          <w:tcPr>
            <w:tcW w:w="1594" w:type="dxa"/>
          </w:tcPr>
          <w:p w:rsidRPr="00F019BD" w:rsidR="0044402A" w:rsidP="0016573E" w:rsidRDefault="0044402A">
            <w:pPr>
              <w:tabs>
                <w:tab w:val="left" w:pos="8080"/>
              </w:tabs>
              <w:spacing w:line="252" w:lineRule="atLeast"/>
              <w:rPr>
                <w:rFonts w:ascii="Arial" w:hAnsi="Arial" w:cs="Arial"/>
                <w:szCs w:val="18"/>
              </w:rPr>
            </w:pPr>
            <w:r w:rsidRPr="00F019BD">
              <w:rPr>
                <w:rFonts w:ascii="Arial" w:hAnsi="Arial" w:cs="Arial"/>
                <w:szCs w:val="18"/>
              </w:rPr>
              <w:t>-26%</w:t>
            </w:r>
          </w:p>
        </w:tc>
        <w:tc>
          <w:tcPr>
            <w:tcW w:w="1595" w:type="dxa"/>
          </w:tcPr>
          <w:p w:rsidRPr="00F019BD" w:rsidR="0044402A" w:rsidP="0016573E" w:rsidRDefault="0044402A">
            <w:pPr>
              <w:tabs>
                <w:tab w:val="left" w:pos="8080"/>
              </w:tabs>
              <w:spacing w:line="252" w:lineRule="atLeast"/>
              <w:rPr>
                <w:rFonts w:ascii="Arial" w:hAnsi="Arial" w:cs="Arial"/>
                <w:szCs w:val="18"/>
              </w:rPr>
            </w:pPr>
            <w:r w:rsidRPr="00F019BD">
              <w:rPr>
                <w:rFonts w:ascii="Arial" w:hAnsi="Arial" w:cs="Arial"/>
                <w:szCs w:val="18"/>
              </w:rPr>
              <w:t>-3% ns</w:t>
            </w:r>
          </w:p>
        </w:tc>
        <w:tc>
          <w:tcPr>
            <w:tcW w:w="1595" w:type="dxa"/>
          </w:tcPr>
          <w:p w:rsidRPr="00F019BD" w:rsidR="0044402A" w:rsidP="0016573E" w:rsidRDefault="0044402A">
            <w:pPr>
              <w:tabs>
                <w:tab w:val="left" w:pos="8080"/>
              </w:tabs>
              <w:spacing w:line="252" w:lineRule="atLeast"/>
              <w:rPr>
                <w:rFonts w:ascii="Arial" w:hAnsi="Arial" w:cs="Arial"/>
                <w:szCs w:val="18"/>
              </w:rPr>
            </w:pPr>
            <w:r w:rsidRPr="00F019BD">
              <w:rPr>
                <w:rFonts w:ascii="Arial" w:hAnsi="Arial" w:cs="Arial"/>
                <w:szCs w:val="18"/>
              </w:rPr>
              <w:t>-17%</w:t>
            </w:r>
          </w:p>
        </w:tc>
        <w:tc>
          <w:tcPr>
            <w:tcW w:w="1595" w:type="dxa"/>
          </w:tcPr>
          <w:p w:rsidRPr="00F019BD" w:rsidR="0044402A" w:rsidP="0016573E" w:rsidRDefault="0044402A">
            <w:pPr>
              <w:tabs>
                <w:tab w:val="left" w:pos="8080"/>
              </w:tabs>
              <w:spacing w:line="252" w:lineRule="atLeast"/>
              <w:rPr>
                <w:rFonts w:ascii="Arial" w:hAnsi="Arial" w:cs="Arial"/>
                <w:szCs w:val="18"/>
              </w:rPr>
            </w:pPr>
            <w:r w:rsidRPr="00F019BD">
              <w:rPr>
                <w:rFonts w:ascii="Arial" w:hAnsi="Arial" w:cs="Arial"/>
                <w:szCs w:val="18"/>
              </w:rPr>
              <w:t>-6% ns</w:t>
            </w:r>
          </w:p>
        </w:tc>
      </w:tr>
    </w:tbl>
    <w:p w:rsidRPr="00F019BD" w:rsidR="0044402A" w:rsidP="0016573E" w:rsidRDefault="0044402A">
      <w:pPr>
        <w:tabs>
          <w:tab w:val="left" w:pos="8080"/>
        </w:tabs>
        <w:spacing w:before="24" w:line="220" w:lineRule="atLeast"/>
        <w:rPr>
          <w:rFonts w:ascii="Arial" w:hAnsi="Arial" w:eastAsia="Times New Roman" w:cs="Arial"/>
          <w:sz w:val="16"/>
          <w:szCs w:val="16"/>
        </w:rPr>
      </w:pPr>
      <w:r w:rsidRPr="00F019BD">
        <w:rPr>
          <w:rFonts w:ascii="Arial" w:hAnsi="Arial" w:cs="Arial"/>
          <w:sz w:val="16"/>
          <w:szCs w:val="16"/>
        </w:rPr>
        <w:t xml:space="preserve">Bron: Lanting, L.C., Hoeymans, N. (eindred.) </w:t>
      </w:r>
      <w:r>
        <w:rPr>
          <w:rFonts w:ascii="Arial" w:hAnsi="Arial" w:cs="Arial"/>
          <w:sz w:val="16"/>
          <w:szCs w:val="16"/>
        </w:rPr>
        <w:t>‘Let op letsels’</w:t>
      </w:r>
      <w:r w:rsidRPr="00F019BD">
        <w:rPr>
          <w:rFonts w:ascii="Arial" w:hAnsi="Arial" w:cs="Arial"/>
          <w:sz w:val="16"/>
          <w:szCs w:val="16"/>
        </w:rPr>
        <w:t>. Preventie van ongevallen, geweld en suïcide. Bilthoven: RIVM, 2008. Stam, C. Letsels: Kerncijfers 2011, Amsterdam: VeiligheidNL, 2012</w:t>
      </w:r>
      <w:r w:rsidRPr="00F019BD">
        <w:rPr>
          <w:rFonts w:ascii="Arial" w:hAnsi="Arial" w:eastAsia="Times New Roman" w:cs="Arial"/>
          <w:sz w:val="16"/>
          <w:szCs w:val="16"/>
        </w:rPr>
        <w:t>ns = niet significante trend (maandaantallen: p&gt;=0,01; jaaraantallen p&gt;=0,05), lege cel = aantal te klein voor analyse</w:t>
      </w:r>
    </w:p>
    <w:p w:rsidRPr="008704AB" w:rsidR="0044402A" w:rsidP="003A2B18" w:rsidRDefault="0044402A">
      <w:pPr>
        <w:tabs>
          <w:tab w:val="left" w:pos="8080"/>
        </w:tabs>
        <w:spacing w:before="24" w:line="220" w:lineRule="atLeast"/>
        <w:ind w:left="142" w:hanging="142"/>
        <w:rPr>
          <w:rFonts w:ascii="Arial" w:hAnsi="Arial" w:eastAsia="Times New Roman" w:cs="Arial"/>
          <w:sz w:val="16"/>
          <w:szCs w:val="16"/>
        </w:rPr>
      </w:pPr>
      <w:r w:rsidRPr="008704AB">
        <w:rPr>
          <w:rFonts w:ascii="Arial" w:hAnsi="Arial" w:eastAsia="Times New Roman" w:cs="Arial"/>
          <w:sz w:val="16"/>
          <w:szCs w:val="16"/>
        </w:rPr>
        <w:t xml:space="preserve">1 Trends op maandaantallen (jan 2001 – dec 2005 / jan 2007 - dec 2011) indien nodig gecorrigeerd voor temperatuur- en seizoensinvloeden </w:t>
      </w:r>
    </w:p>
    <w:p w:rsidRPr="008704AB" w:rsidR="0044402A" w:rsidP="003A2B18" w:rsidRDefault="0044402A">
      <w:pPr>
        <w:tabs>
          <w:tab w:val="left" w:pos="8080"/>
        </w:tabs>
        <w:spacing w:before="24" w:line="220" w:lineRule="atLeast"/>
        <w:ind w:left="284" w:hanging="284"/>
        <w:rPr>
          <w:rFonts w:ascii="Arial" w:hAnsi="Arial" w:eastAsia="Times New Roman" w:cs="Arial"/>
          <w:sz w:val="16"/>
          <w:szCs w:val="16"/>
        </w:rPr>
      </w:pPr>
      <w:r w:rsidRPr="008704AB">
        <w:rPr>
          <w:rFonts w:ascii="Arial" w:hAnsi="Arial" w:eastAsia="Times New Roman" w:cs="Arial"/>
          <w:sz w:val="16"/>
          <w:szCs w:val="16"/>
        </w:rPr>
        <w:t>2 Trends op jaaraantallen (vijfjaarsperiode 2000-2005 /</w:t>
      </w:r>
      <w:r>
        <w:rPr>
          <w:rFonts w:ascii="Arial" w:hAnsi="Arial" w:eastAsia="Times New Roman" w:cs="Arial"/>
          <w:sz w:val="16"/>
          <w:szCs w:val="16"/>
        </w:rPr>
        <w:t xml:space="preserve"> </w:t>
      </w:r>
      <w:r w:rsidRPr="008704AB">
        <w:rPr>
          <w:rFonts w:ascii="Arial" w:hAnsi="Arial" w:eastAsia="Times New Roman" w:cs="Arial"/>
          <w:sz w:val="16"/>
          <w:szCs w:val="16"/>
        </w:rPr>
        <w:t>2006-2011)</w:t>
      </w:r>
    </w:p>
    <w:p w:rsidRPr="008704AB" w:rsidR="0044402A" w:rsidP="003A2B18" w:rsidRDefault="0044402A">
      <w:pPr>
        <w:tabs>
          <w:tab w:val="left" w:pos="8080"/>
        </w:tabs>
        <w:spacing w:before="24" w:line="220" w:lineRule="atLeast"/>
        <w:ind w:left="284" w:hanging="284"/>
        <w:rPr>
          <w:rFonts w:ascii="Arial" w:hAnsi="Arial" w:eastAsia="Times New Roman" w:cs="Arial"/>
          <w:sz w:val="16"/>
          <w:szCs w:val="16"/>
        </w:rPr>
      </w:pPr>
      <w:r w:rsidRPr="008704AB">
        <w:rPr>
          <w:rFonts w:ascii="Arial" w:hAnsi="Arial" w:eastAsia="Times New Roman" w:cs="Arial"/>
          <w:sz w:val="16"/>
          <w:szCs w:val="16"/>
        </w:rPr>
        <w:t>3 Trends gecorrigeerd voor veranderingen in de bevolkingssamenstelling m.u.v. trends sport en arbeid</w:t>
      </w:r>
    </w:p>
    <w:p w:rsidR="0044402A" w:rsidP="0016573E" w:rsidRDefault="0044402A">
      <w:pPr>
        <w:tabs>
          <w:tab w:val="left" w:pos="8080"/>
        </w:tabs>
      </w:pPr>
    </w:p>
    <w:p w:rsidRPr="00F019BD" w:rsidR="0044402A" w:rsidP="0016573E" w:rsidRDefault="0044402A">
      <w:pPr>
        <w:tabs>
          <w:tab w:val="left" w:pos="8080"/>
        </w:tabs>
      </w:pPr>
    </w:p>
    <w:p w:rsidRPr="00F019BD" w:rsidR="002F2A7C" w:rsidP="0016573E" w:rsidRDefault="002F2A7C">
      <w:pPr>
        <w:tabs>
          <w:tab w:val="left" w:pos="8080"/>
        </w:tabs>
        <w:rPr>
          <w:i/>
        </w:rPr>
      </w:pPr>
      <w:r w:rsidRPr="00F019BD">
        <w:rPr>
          <w:i/>
        </w:rPr>
        <w:t>Privéongevallen</w:t>
      </w:r>
    </w:p>
    <w:p w:rsidRPr="00F019BD" w:rsidR="002F2A7C" w:rsidP="0016573E" w:rsidRDefault="002F2A7C">
      <w:pPr>
        <w:tabs>
          <w:tab w:val="left" w:pos="8080"/>
        </w:tabs>
      </w:pPr>
      <w:r w:rsidRPr="00F019BD">
        <w:t xml:space="preserve">In de laatste 10 jaar lijkt er sprake van een daling van het aantal SEH-behandelingen van letsels als gevolg van een privéongeval. In de periode 2007-2011 was de daling echter niet statistisch significant, ook </w:t>
      </w:r>
      <w:r w:rsidR="00CD5DB9">
        <w:t xml:space="preserve">niet </w:t>
      </w:r>
      <w:r w:rsidRPr="00F019BD">
        <w:t>als er gecorrigeerd wordt v</w:t>
      </w:r>
      <w:r w:rsidR="00C27636">
        <w:t>oor de vergrijzing (zie figuur 2</w:t>
      </w:r>
      <w:r w:rsidRPr="00F019BD">
        <w:t xml:space="preserve"> en tabel 2). De sterfte aan privéongevallen lijkt juist iets te zijn toegenomen, echter gecorrigeerd voor de vergrijzing is de stijging in de periode 2007-2011 niet significant (zie figuur </w:t>
      </w:r>
      <w:r w:rsidR="00C27636">
        <w:t>3</w:t>
      </w:r>
      <w:r w:rsidRPr="00F019BD">
        <w:t xml:space="preserve"> en tabel 2). </w:t>
      </w:r>
    </w:p>
    <w:p w:rsidRPr="00F019BD" w:rsidR="002F2A7C" w:rsidP="0016573E" w:rsidRDefault="002F2A7C">
      <w:pPr>
        <w:tabs>
          <w:tab w:val="left" w:pos="8080"/>
        </w:tabs>
      </w:pPr>
    </w:p>
    <w:p w:rsidRPr="00F019BD" w:rsidR="002F2A7C" w:rsidP="0016573E" w:rsidRDefault="002F2A7C">
      <w:pPr>
        <w:tabs>
          <w:tab w:val="left" w:pos="8080"/>
        </w:tabs>
      </w:pPr>
      <w:r w:rsidRPr="00F019BD">
        <w:t>Het aantal S</w:t>
      </w:r>
      <w:r w:rsidR="00C27636">
        <w:t>EH-behandelingen door een privé</w:t>
      </w:r>
      <w:r w:rsidRPr="00F019BD">
        <w:t>ongeval bij jonge kinderen (0-4 jaar) heeft zich gunstig ontwikkeld in de afgelopen 10 jaar. Campagnes en maatregelen met betrekking tot vergiftigingen (kindveilige verpakkingen), verdrinkingen, verbrandingen en vallen hebben hier waarschijnlijk aan bijgedragen. De daling in de periode 2007-2011 bedroeg 10%. De ontwikkeling bij ouderen is minder gunstig. In de periode 2007-2011 is er sprake van een stijging van het aantal SEH-behandelingen in verband met letsel door een val bij ouderen (65 jaar en ouder) van 22%. Correctie voor de vergrijzing vermindert de stijging tot 8%. De toegenomen actieve leefstijl van ouderen zal hierbij zeker een rol gespeeld hebben (zie ook “Letsels bij ouderen” verderop).</w:t>
      </w:r>
    </w:p>
    <w:p w:rsidRPr="00F019BD" w:rsidR="0044402A" w:rsidP="0016573E" w:rsidRDefault="0044402A">
      <w:pPr>
        <w:tabs>
          <w:tab w:val="left" w:pos="8080"/>
        </w:tabs>
      </w:pPr>
    </w:p>
    <w:p w:rsidRPr="00F019BD" w:rsidR="002F2A7C" w:rsidP="0016573E" w:rsidRDefault="002F2A7C">
      <w:pPr>
        <w:tabs>
          <w:tab w:val="left" w:pos="8080"/>
        </w:tabs>
        <w:rPr>
          <w:i/>
        </w:rPr>
      </w:pPr>
      <w:r w:rsidRPr="00F019BD">
        <w:rPr>
          <w:i/>
        </w:rPr>
        <w:t>Verkeersongevallen</w:t>
      </w:r>
    </w:p>
    <w:p w:rsidRPr="00F019BD" w:rsidR="002F2A7C" w:rsidP="0016573E" w:rsidRDefault="002F2A7C">
      <w:pPr>
        <w:tabs>
          <w:tab w:val="left" w:pos="8080"/>
        </w:tabs>
      </w:pPr>
      <w:r w:rsidRPr="00F019BD">
        <w:t>Sinds 1973 daalt het aantal verkeersdoden gestaag. In de periode 2007-2011 is sprake van een afname van 19%. Het aantal SEH-behandelingen na verkeersongevallen is in de periode 2007-2011 niet significant toe- of afgenomen (zie tabel 2).</w:t>
      </w:r>
    </w:p>
    <w:p w:rsidRPr="00F019BD" w:rsidR="002F2A7C" w:rsidP="0016573E" w:rsidRDefault="002F2A7C">
      <w:pPr>
        <w:tabs>
          <w:tab w:val="left" w:pos="8080"/>
        </w:tabs>
      </w:pPr>
    </w:p>
    <w:p w:rsidRPr="00F019BD" w:rsidR="002F2A7C" w:rsidP="0016573E" w:rsidRDefault="002F2A7C">
      <w:pPr>
        <w:tabs>
          <w:tab w:val="left" w:pos="8080"/>
        </w:tabs>
        <w:rPr>
          <w:i/>
        </w:rPr>
      </w:pPr>
      <w:r w:rsidRPr="00F019BD">
        <w:rPr>
          <w:i/>
        </w:rPr>
        <w:t>Sportblessures</w:t>
      </w:r>
    </w:p>
    <w:p w:rsidRPr="00F019BD" w:rsidR="002F2A7C" w:rsidP="0016573E" w:rsidRDefault="002F2A7C">
      <w:pPr>
        <w:tabs>
          <w:tab w:val="left" w:pos="8080"/>
        </w:tabs>
      </w:pPr>
      <w:r w:rsidRPr="00F019BD">
        <w:t xml:space="preserve">De trend in het aantal SEH-behandelingen van sportblessures laat aanvankelijk een afname zien. In de periode 2007-2011 lijkt dit aantal licht te stijgen, maar de stijging is niet significant (zie tabel 2). Over de gehele periode is het aantal SEH-behandelingen per 1.000 sporturen gedaald. </w:t>
      </w:r>
    </w:p>
    <w:p w:rsidRPr="00F019BD" w:rsidR="002F2A7C" w:rsidP="0016573E" w:rsidRDefault="002F2A7C">
      <w:pPr>
        <w:tabs>
          <w:tab w:val="left" w:pos="8080"/>
        </w:tabs>
      </w:pPr>
    </w:p>
    <w:p w:rsidRPr="00F019BD" w:rsidR="002F2A7C" w:rsidP="0016573E" w:rsidRDefault="002F2A7C">
      <w:pPr>
        <w:tabs>
          <w:tab w:val="left" w:pos="8080"/>
        </w:tabs>
        <w:rPr>
          <w:i/>
        </w:rPr>
      </w:pPr>
      <w:r w:rsidRPr="00F019BD">
        <w:rPr>
          <w:i/>
        </w:rPr>
        <w:t>Arbeidsongevallen</w:t>
      </w:r>
    </w:p>
    <w:p w:rsidRPr="00F019BD" w:rsidR="002F2A7C" w:rsidP="0016573E" w:rsidRDefault="002F2A7C">
      <w:pPr>
        <w:tabs>
          <w:tab w:val="left" w:pos="8080"/>
        </w:tabs>
      </w:pPr>
      <w:r w:rsidRPr="00F019BD">
        <w:t>De trend in het aantal SEH-behandelingen na arbeidsongevallen liet een afname zien in de periode 2001-2005. In de periode 2007-2011 is de afname niet significant (zie tabel 2). Het aantal dodelijke slachtoffers van een arbeidsongeval lijkt in beide periodes te dalen, de daling is echter niet significant.</w:t>
      </w:r>
    </w:p>
    <w:p w:rsidRPr="00F019BD" w:rsidR="002F2A7C" w:rsidP="0016573E" w:rsidRDefault="002F2A7C">
      <w:pPr>
        <w:tabs>
          <w:tab w:val="left" w:pos="8080"/>
        </w:tabs>
      </w:pPr>
    </w:p>
    <w:p w:rsidRPr="00F019BD" w:rsidR="002F2A7C" w:rsidP="0016573E" w:rsidRDefault="002F2A7C">
      <w:pPr>
        <w:tabs>
          <w:tab w:val="left" w:pos="8080"/>
        </w:tabs>
        <w:rPr>
          <w:i/>
        </w:rPr>
      </w:pPr>
      <w:r w:rsidRPr="00F019BD">
        <w:rPr>
          <w:i/>
        </w:rPr>
        <w:t>Suïcide</w:t>
      </w:r>
    </w:p>
    <w:p w:rsidRPr="00F019BD" w:rsidR="002F2A7C" w:rsidP="0016573E" w:rsidRDefault="002F2A7C">
      <w:pPr>
        <w:tabs>
          <w:tab w:val="left" w:pos="8080"/>
        </w:tabs>
      </w:pPr>
      <w:r w:rsidRPr="00F019BD">
        <w:t>Zowel het aantal mensen dat behandeld wordt op een SEH-afdeling voor letsel door suïcidaal gedrag als het aantal sterfgevallen door suïcides is in het afgelopen decennium niet significant veranderd. Wel lijkt het aantal sterfgevallen zich de laatste jaren ongunstig te ontwikkelen (zie tabel 2).</w:t>
      </w:r>
      <w:r w:rsidR="00FE50D5">
        <w:t xml:space="preserve"> </w:t>
      </w:r>
      <w:r w:rsidR="00B80D79">
        <w:t xml:space="preserve">Externe factoren, </w:t>
      </w:r>
      <w:r w:rsidR="00DA527E">
        <w:t>waaronder</w:t>
      </w:r>
      <w:r w:rsidR="00B80D79">
        <w:t xml:space="preserve"> de huidige recessie, zijn belangrijke factoren in de incidentie van suïcidaal gedrag. De</w:t>
      </w:r>
      <w:r w:rsidR="00397CF1">
        <w:t>ze</w:t>
      </w:r>
      <w:r w:rsidR="00B80D79">
        <w:t xml:space="preserve"> ongunstige ontwikkeling is waarneembaar in heel Europa. </w:t>
      </w:r>
    </w:p>
    <w:p w:rsidRPr="00F019BD" w:rsidR="002F2A7C" w:rsidP="0016573E" w:rsidRDefault="002F2A7C">
      <w:pPr>
        <w:tabs>
          <w:tab w:val="left" w:pos="8080"/>
        </w:tabs>
      </w:pPr>
    </w:p>
    <w:p w:rsidRPr="00F019BD" w:rsidR="002F2A7C" w:rsidP="0016573E" w:rsidRDefault="002F2A7C">
      <w:pPr>
        <w:tabs>
          <w:tab w:val="left" w:pos="8080"/>
        </w:tabs>
        <w:rPr>
          <w:i/>
        </w:rPr>
      </w:pPr>
      <w:r w:rsidRPr="00F019BD">
        <w:rPr>
          <w:i/>
        </w:rPr>
        <w:t>Geweld</w:t>
      </w:r>
    </w:p>
    <w:p w:rsidRPr="00F019BD" w:rsidR="002F2A7C" w:rsidP="0016573E" w:rsidRDefault="002F2A7C">
      <w:pPr>
        <w:tabs>
          <w:tab w:val="left" w:pos="8080"/>
        </w:tabs>
      </w:pPr>
      <w:r w:rsidRPr="00F019BD">
        <w:t xml:space="preserve">Het aantal op een SEH-afdeling behandelde letsels door geweld is fors gedaald. In de periode 2007-2011 bedroeg de afname 17%. Het aantal dodelijke slachtoffers lijkt licht te zijn gedaald, maar de daling is in beide periodes niet significant (zie tabel 2). </w:t>
      </w:r>
    </w:p>
    <w:p w:rsidRPr="00F019BD" w:rsidR="002F2A7C" w:rsidP="0016573E" w:rsidRDefault="002F2A7C">
      <w:pPr>
        <w:tabs>
          <w:tab w:val="left" w:pos="8080"/>
        </w:tabs>
      </w:pPr>
    </w:p>
    <w:p w:rsidRPr="00C3325C" w:rsidR="002F2A7C" w:rsidP="0016573E" w:rsidRDefault="002F2A7C">
      <w:pPr>
        <w:pBdr>
          <w:bottom w:val="single" w:color="auto" w:sz="4" w:space="1"/>
        </w:pBdr>
        <w:tabs>
          <w:tab w:val="left" w:pos="8080"/>
        </w:tabs>
        <w:spacing w:line="252" w:lineRule="atLeast"/>
        <w:rPr>
          <w:rFonts w:cs="Arial"/>
          <w:b/>
          <w:szCs w:val="18"/>
        </w:rPr>
      </w:pPr>
      <w:r w:rsidRPr="00C3325C">
        <w:rPr>
          <w:rFonts w:cs="Arial"/>
          <w:b/>
          <w:szCs w:val="18"/>
        </w:rPr>
        <w:t xml:space="preserve">Figuur </w:t>
      </w:r>
      <w:r w:rsidR="00C3325C">
        <w:rPr>
          <w:rFonts w:cs="Arial"/>
          <w:b/>
          <w:szCs w:val="18"/>
        </w:rPr>
        <w:t>2</w:t>
      </w:r>
      <w:r w:rsidRPr="00C3325C">
        <w:rPr>
          <w:rFonts w:cs="Arial"/>
          <w:b/>
          <w:szCs w:val="18"/>
        </w:rPr>
        <w:t>: Trends in letsels periode 2001-2011: SEH-behandelingen</w:t>
      </w:r>
    </w:p>
    <w:p w:rsidRPr="00F019BD" w:rsidR="002F2A7C" w:rsidP="0016573E" w:rsidRDefault="002F2A7C">
      <w:pPr>
        <w:tabs>
          <w:tab w:val="left" w:pos="8080"/>
        </w:tabs>
        <w:spacing w:line="220" w:lineRule="atLeast"/>
        <w:rPr>
          <w:rFonts w:ascii="Arial" w:hAnsi="Arial" w:cs="Arial"/>
          <w:i/>
          <w:sz w:val="16"/>
          <w:szCs w:val="16"/>
        </w:rPr>
      </w:pPr>
      <w:r w:rsidRPr="00F019BD">
        <w:rPr>
          <w:i/>
          <w:noProof/>
          <w:lang w:val="en-US" w:eastAsia="en-US" w:bidi="ar-SA"/>
        </w:rPr>
        <w:drawing>
          <wp:inline distT="0" distB="0" distL="0" distR="0">
            <wp:extent cx="5760720" cy="2193290"/>
            <wp:effectExtent l="0" t="0" r="0" b="0"/>
            <wp:docPr id="3" name="Grafie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Pr="00F019BD" w:rsidR="002F2A7C" w:rsidP="0016573E" w:rsidRDefault="002F2A7C">
      <w:pPr>
        <w:tabs>
          <w:tab w:val="left" w:pos="8080"/>
        </w:tabs>
        <w:spacing w:line="220" w:lineRule="atLeast"/>
        <w:rPr>
          <w:rFonts w:ascii="Arial" w:hAnsi="Arial" w:cs="Arial"/>
          <w:sz w:val="16"/>
          <w:szCs w:val="16"/>
        </w:rPr>
      </w:pPr>
    </w:p>
    <w:p w:rsidRPr="00F019BD" w:rsidR="002F2A7C" w:rsidP="0016573E" w:rsidRDefault="002F2A7C">
      <w:pPr>
        <w:tabs>
          <w:tab w:val="left" w:pos="8080"/>
        </w:tabs>
        <w:spacing w:line="220" w:lineRule="atLeast"/>
        <w:rPr>
          <w:rFonts w:ascii="Arial" w:hAnsi="Arial" w:cs="Arial"/>
          <w:sz w:val="16"/>
          <w:szCs w:val="16"/>
        </w:rPr>
      </w:pPr>
      <w:r w:rsidRPr="00F019BD">
        <w:rPr>
          <w:noProof/>
          <w:lang w:val="en-US" w:eastAsia="en-US" w:bidi="ar-SA"/>
        </w:rPr>
        <w:drawing>
          <wp:inline distT="0" distB="0" distL="0" distR="0">
            <wp:extent cx="5760720" cy="2033905"/>
            <wp:effectExtent l="0" t="0" r="0" b="4445"/>
            <wp:docPr id="6" name="Grafiek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Pr="00F019BD" w:rsidR="002F2A7C" w:rsidP="0016573E" w:rsidRDefault="002F2A7C">
      <w:pPr>
        <w:pBdr>
          <w:top w:val="single" w:color="auto" w:sz="4" w:space="1"/>
        </w:pBdr>
        <w:tabs>
          <w:tab w:val="left" w:pos="8080"/>
        </w:tabs>
        <w:spacing w:line="220" w:lineRule="atLeast"/>
        <w:rPr>
          <w:rFonts w:ascii="Arial" w:hAnsi="Arial" w:cs="Arial"/>
          <w:sz w:val="16"/>
          <w:szCs w:val="16"/>
        </w:rPr>
      </w:pPr>
      <w:r w:rsidRPr="00F019BD">
        <w:rPr>
          <w:rFonts w:ascii="Arial" w:hAnsi="Arial" w:cs="Arial"/>
          <w:sz w:val="16"/>
          <w:szCs w:val="16"/>
        </w:rPr>
        <w:t>Bron Letsel Informatie Systeem 2001-2011, VeiligheidNL;</w:t>
      </w:r>
    </w:p>
    <w:p w:rsidR="002F2A7C" w:rsidP="0016573E" w:rsidRDefault="002F2A7C">
      <w:pPr>
        <w:tabs>
          <w:tab w:val="left" w:pos="8080"/>
        </w:tabs>
        <w:spacing w:line="220" w:lineRule="atLeast"/>
        <w:rPr>
          <w:rFonts w:ascii="Arial" w:hAnsi="Arial" w:cs="Arial"/>
          <w:sz w:val="16"/>
          <w:szCs w:val="16"/>
        </w:rPr>
      </w:pPr>
    </w:p>
    <w:p w:rsidRPr="00F019BD" w:rsidR="00C3325C" w:rsidP="0016573E" w:rsidRDefault="00C3325C">
      <w:pPr>
        <w:tabs>
          <w:tab w:val="left" w:pos="8080"/>
        </w:tabs>
        <w:spacing w:line="220" w:lineRule="atLeast"/>
        <w:rPr>
          <w:rFonts w:ascii="Arial" w:hAnsi="Arial" w:cs="Arial"/>
          <w:sz w:val="16"/>
          <w:szCs w:val="16"/>
        </w:rPr>
      </w:pPr>
    </w:p>
    <w:p w:rsidRPr="00C3325C" w:rsidR="002F2A7C" w:rsidP="0016573E" w:rsidRDefault="002F2A7C">
      <w:pPr>
        <w:pBdr>
          <w:bottom w:val="single" w:color="auto" w:sz="4" w:space="1"/>
        </w:pBdr>
        <w:tabs>
          <w:tab w:val="left" w:pos="8080"/>
        </w:tabs>
        <w:spacing w:line="252" w:lineRule="atLeast"/>
        <w:rPr>
          <w:rFonts w:cs="Arial"/>
          <w:b/>
          <w:szCs w:val="18"/>
        </w:rPr>
      </w:pPr>
      <w:r w:rsidRPr="00C3325C">
        <w:rPr>
          <w:rFonts w:cs="Arial"/>
          <w:b/>
          <w:szCs w:val="18"/>
        </w:rPr>
        <w:t xml:space="preserve">Figuur </w:t>
      </w:r>
      <w:r w:rsidR="00C3325C">
        <w:rPr>
          <w:rFonts w:cs="Arial"/>
          <w:b/>
          <w:szCs w:val="18"/>
        </w:rPr>
        <w:t>3</w:t>
      </w:r>
      <w:r w:rsidRPr="00C3325C">
        <w:rPr>
          <w:rFonts w:cs="Arial"/>
          <w:b/>
          <w:szCs w:val="18"/>
        </w:rPr>
        <w:t>: Trends in letsels periode 2001-2011: Overledenen</w:t>
      </w:r>
    </w:p>
    <w:p w:rsidRPr="00F019BD" w:rsidR="002F2A7C" w:rsidP="0016573E" w:rsidRDefault="002F2A7C">
      <w:pPr>
        <w:tabs>
          <w:tab w:val="left" w:pos="8080"/>
        </w:tabs>
        <w:spacing w:before="24" w:line="220" w:lineRule="atLeast"/>
        <w:rPr>
          <w:rFonts w:ascii="Arial" w:hAnsi="Arial" w:eastAsia="Times New Roman" w:cs="Arial"/>
          <w:sz w:val="16"/>
          <w:szCs w:val="16"/>
        </w:rPr>
      </w:pPr>
      <w:r w:rsidRPr="00F019BD">
        <w:rPr>
          <w:noProof/>
          <w:lang w:val="en-US" w:eastAsia="en-US" w:bidi="ar-SA"/>
        </w:rPr>
        <w:drawing>
          <wp:inline distT="0" distB="0" distL="0" distR="0">
            <wp:extent cx="5760720" cy="2008229"/>
            <wp:effectExtent l="0" t="0" r="0" b="0"/>
            <wp:docPr id="4" name="Grafiek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Pr="00F019BD" w:rsidR="002F2A7C" w:rsidP="0016573E" w:rsidRDefault="002F2A7C">
      <w:pPr>
        <w:tabs>
          <w:tab w:val="left" w:pos="8080"/>
        </w:tabs>
        <w:spacing w:before="24" w:line="220" w:lineRule="atLeast"/>
        <w:rPr>
          <w:rFonts w:ascii="Arial" w:hAnsi="Arial" w:eastAsia="Times New Roman" w:cs="Arial"/>
          <w:sz w:val="16"/>
          <w:szCs w:val="16"/>
        </w:rPr>
      </w:pPr>
      <w:r w:rsidRPr="00F019BD">
        <w:rPr>
          <w:noProof/>
          <w:lang w:val="en-US" w:eastAsia="en-US" w:bidi="ar-SA"/>
        </w:rPr>
        <w:drawing>
          <wp:inline distT="0" distB="0" distL="0" distR="0">
            <wp:extent cx="5760720" cy="1954333"/>
            <wp:effectExtent l="0" t="0" r="0" b="8255"/>
            <wp:docPr id="8" name="Grafiek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Pr="00F019BD" w:rsidR="002F2A7C" w:rsidP="0016573E" w:rsidRDefault="002F2A7C">
      <w:pPr>
        <w:pBdr>
          <w:bottom w:val="single" w:color="auto" w:sz="4" w:space="1"/>
        </w:pBdr>
        <w:tabs>
          <w:tab w:val="left" w:pos="8080"/>
        </w:tabs>
        <w:spacing w:line="220" w:lineRule="atLeast"/>
        <w:rPr>
          <w:rFonts w:ascii="Arial" w:hAnsi="Arial" w:cs="Arial"/>
          <w:sz w:val="16"/>
          <w:szCs w:val="16"/>
        </w:rPr>
      </w:pPr>
    </w:p>
    <w:p w:rsidRPr="00F019BD" w:rsidR="002F2A7C" w:rsidP="0016573E" w:rsidRDefault="002F2A7C">
      <w:pPr>
        <w:tabs>
          <w:tab w:val="left" w:pos="8080"/>
        </w:tabs>
        <w:spacing w:line="220" w:lineRule="atLeast"/>
        <w:rPr>
          <w:rFonts w:ascii="Arial" w:hAnsi="Arial" w:cs="Arial"/>
          <w:sz w:val="16"/>
          <w:szCs w:val="16"/>
        </w:rPr>
      </w:pPr>
      <w:r w:rsidRPr="00F019BD">
        <w:rPr>
          <w:rFonts w:ascii="Arial" w:hAnsi="Arial" w:cs="Arial"/>
          <w:sz w:val="16"/>
          <w:szCs w:val="16"/>
        </w:rPr>
        <w:t>Bron: Statistiek niet-natuurlijke dood 2001-2011, Centraal Bureau voor de Statistiek; Statistiek Verkeersdoden 2001-2011, Centraal Bureau voor de Statistiek en Dienst Verkeer en Scheepvaart van het Ministerie van Infrastructuur en Milieu.</w:t>
      </w:r>
    </w:p>
    <w:p w:rsidRPr="00F019BD" w:rsidR="002F2A7C" w:rsidP="0016573E" w:rsidRDefault="002F2A7C">
      <w:pPr>
        <w:tabs>
          <w:tab w:val="left" w:pos="8080"/>
        </w:tabs>
        <w:rPr>
          <w:rFonts w:ascii="Arial" w:hAnsi="Arial" w:cs="Arial"/>
          <w:b/>
        </w:rPr>
      </w:pPr>
    </w:p>
    <w:p w:rsidRPr="00492354" w:rsidR="002F2A7C" w:rsidP="0016573E" w:rsidRDefault="002F2A7C">
      <w:pPr>
        <w:rPr>
          <w:i/>
        </w:rPr>
      </w:pPr>
      <w:r w:rsidRPr="00492354">
        <w:rPr>
          <w:i/>
        </w:rPr>
        <w:t>Letsels bij kinderen</w:t>
      </w:r>
    </w:p>
    <w:p w:rsidRPr="00F019BD" w:rsidR="002F2A7C" w:rsidP="0016573E" w:rsidRDefault="002F2A7C">
      <w:r w:rsidRPr="00905935">
        <w:rPr>
          <w:szCs w:val="18"/>
        </w:rPr>
        <w:t>Uit</w:t>
      </w:r>
      <w:r w:rsidRPr="00F019BD">
        <w:t xml:space="preserve"> het recente proefschrift ‘Population study and long-term outcome in pediatric trauma’ van Loes Janssens (2012) blijkt dat de gemiddelde letselernst voor matig en ernstig gewonde kinderen in Nederland significant afnam tussen 1996 en 2009. Daarentegen nam de incidentie van matig tot ernstige letsels bij kinderen jaarlijks toe met 1,1%. Dit betekent een verschuiving van mortaliteit naar morbiditeit. Deze trend werd veroorzaakt door een toename van het aantal val- (kinderen 0 tot 9 jaar), sport- (jongens van 10 tot 18 jaar) en fietsongevallen (kinderen van 5 tot 18 jaar). In totaal krijgt 1 op de 200 kinderen jaarlijks te maken met letsels. </w:t>
      </w:r>
      <w:r w:rsidR="00905935">
        <w:t>Van Beek et al. (2012) geven aan dat op dit moment in Nederland d</w:t>
      </w:r>
      <w:r w:rsidRPr="00905935" w:rsidR="00905935">
        <w:rPr>
          <w:szCs w:val="18"/>
        </w:rPr>
        <w:t xml:space="preserve">agelijks meer dan 700 kinderen </w:t>
      </w:r>
      <w:r w:rsidR="00905935">
        <w:rPr>
          <w:szCs w:val="18"/>
        </w:rPr>
        <w:t xml:space="preserve">worden </w:t>
      </w:r>
      <w:r w:rsidRPr="00905935" w:rsidR="00905935">
        <w:rPr>
          <w:szCs w:val="18"/>
        </w:rPr>
        <w:t>behandeld in het ziekenhuis in verband met ongevallen. Hiervan moeten er 70 worden opgenomen en raken er 12 dusdanig ernstig gewond, dat ze er levenslange fysieke beperkingen aan overhouden</w:t>
      </w:r>
      <w:r w:rsidR="00905935">
        <w:rPr>
          <w:szCs w:val="18"/>
        </w:rPr>
        <w:t>.</w:t>
      </w:r>
      <w:r w:rsidRPr="00905935" w:rsidR="00905935">
        <w:rPr>
          <w:szCs w:val="18"/>
        </w:rPr>
        <w:t xml:space="preserve"> Volgens de auteurs hebben zorgverleners een sleutelpositie om kinderen in Nederland beter te beschermen tegen ongevalsrisico’s. </w:t>
      </w:r>
      <w:r w:rsidRPr="00905935" w:rsidR="00905935">
        <w:rPr>
          <w:rFonts w:cs="Arial"/>
          <w:szCs w:val="18"/>
        </w:rPr>
        <w:t>Zeker omdat uit onderzoek blijkt dat vooral ouders met een eerste kind onvoldoende voorbereid zijn op mogelijke gevaren in huis (Van Beelen et al., 2013).</w:t>
      </w:r>
      <w:r w:rsidR="00905935">
        <w:rPr>
          <w:rFonts w:cs="Arial"/>
          <w:szCs w:val="18"/>
        </w:rPr>
        <w:t xml:space="preserve"> </w:t>
      </w:r>
      <w:r w:rsidRPr="00F019BD">
        <w:t>De toename van het aantal ernstige fietsongevallen is mogelijk mede gerelateerd aan de populariteit van de fiets</w:t>
      </w:r>
      <w:r w:rsidR="00CD5DB9">
        <w:t>, afleiding door het gebruik van mobieltjes en het luisteren naar muziek</w:t>
      </w:r>
      <w:r w:rsidRPr="00F019BD">
        <w:t xml:space="preserve"> en het drukker wordende verkeer. </w:t>
      </w:r>
    </w:p>
    <w:p w:rsidRPr="00F019BD" w:rsidR="002F2A7C" w:rsidP="0016573E" w:rsidRDefault="002F2A7C"/>
    <w:p w:rsidRPr="00F019BD" w:rsidR="002F2A7C" w:rsidP="0016573E" w:rsidRDefault="002F2A7C">
      <w:r w:rsidRPr="00F019BD">
        <w:t xml:space="preserve">Een studie van De Putter et al. (2011) onderschrijft de hiervoor beschreven toename van de incidentie van matig tot ernstige letsels bij kinderen; uit deze studie blijkt dat het aantal polsfracturen in de periode 1997-2009 bij jongens en meisjes tussen de 5 en 14 jaar significant is gestegen, vooral in de leeftijdsgroep 10-14 jaar. Deze trend is vooral toe te schrijven aan stijgingen van het aantal polsfracturen tijdens voetbal en gymnastieklessen op school. Bij voetbal is het aantal spelers de afgelopen jaren toegenomen, maar de stijging in letsels kan niet volledig verklaard worden door een toegenomen expositie. Mogelijk spelen factoren als veranderingen in spelopvatting (spelverruwing) en spelomstandigheden (overgang naar kunstgras) ook een rol; dit wordt nog nader geanalyseerd. Een mogelijke algemene factor die een rol bij speelt bij de toename van prive en sportongevallen bij de jeugd zijn afnemende motorische vaardigheden. Valtrainingen lijken dan ook effectief te zijn in het reduceren van letsels. </w:t>
      </w:r>
    </w:p>
    <w:p w:rsidRPr="00F019BD" w:rsidR="002F2A7C" w:rsidP="0016573E" w:rsidRDefault="002F2A7C"/>
    <w:p w:rsidRPr="00F019BD" w:rsidR="002F2A7C" w:rsidP="0016573E" w:rsidRDefault="002F2A7C">
      <w:r w:rsidRPr="00F019BD">
        <w:t>Uit het artikel van Van Beek et al. (2012)</w:t>
      </w:r>
      <w:r w:rsidR="008704AB">
        <w:t xml:space="preserve"> </w:t>
      </w:r>
      <w:r w:rsidRPr="00F019BD">
        <w:t xml:space="preserve">blijkt dat er in Nederland op dit moment dagelijks meer dan 700 kinderen behandeld worden in het ziekenhuis in verband met ongevallen. Hiervan moeten er 70 worden opgenomen en raken er 12 dusdanig ernstig gewond, dat ze er levenslange fysieke beperkingen aan overhouden. Volgens de auteurs </w:t>
      </w:r>
      <w:r w:rsidRPr="00F019BD" w:rsidR="00A308AE">
        <w:t xml:space="preserve">hebben zorgverleners een sleutelpositie om </w:t>
      </w:r>
      <w:r w:rsidRPr="00F019BD">
        <w:t xml:space="preserve">kinderen in Nederland beter </w:t>
      </w:r>
      <w:r w:rsidR="00A308AE">
        <w:t xml:space="preserve">te beschermen tegen </w:t>
      </w:r>
      <w:r w:rsidRPr="00F019BD">
        <w:t xml:space="preserve">ongevalsrisico’s. </w:t>
      </w:r>
    </w:p>
    <w:p w:rsidR="00C27636" w:rsidP="0016573E" w:rsidRDefault="00C27636">
      <w:pPr>
        <w:rPr>
          <w:i/>
        </w:rPr>
      </w:pPr>
    </w:p>
    <w:p w:rsidRPr="00BD0990" w:rsidR="002F2A7C" w:rsidP="0016573E" w:rsidRDefault="002F2A7C">
      <w:pPr>
        <w:rPr>
          <w:i/>
        </w:rPr>
      </w:pPr>
      <w:r w:rsidRPr="00BD0990">
        <w:rPr>
          <w:i/>
        </w:rPr>
        <w:t>Letsels bij ouderen</w:t>
      </w:r>
    </w:p>
    <w:p w:rsidR="00441AC8" w:rsidP="0016573E" w:rsidRDefault="00441AC8">
      <w:r>
        <w:t>Het aantal dodelijke valongevallen bij 65-plussers is in de periode 2006-2011 significant gestegen met 26%. Na correctie voor de veranderende bevolkingsopbouw is er nog steeds sprake van een significante stijging van 18%. De aantallen ziekenhuisopnamen en SEH-behandelingen zijn over de periode 2007-2011 ook significant gestegen, met respectievelijk 48% en 21%. Na correctie voor de bevolkingsopbouw blijven er nog steeds significante stijgingen te zien, 31% voor de ziekenhuisopnamen en 8% voor de SEH-behandelingen.</w:t>
      </w:r>
    </w:p>
    <w:p w:rsidR="00441AC8" w:rsidP="0016573E" w:rsidRDefault="00441AC8"/>
    <w:p w:rsidRPr="00F019BD" w:rsidR="002F2A7C" w:rsidP="0016573E" w:rsidRDefault="00441AC8">
      <w:r>
        <w:t xml:space="preserve">Ook uit het proefschrift van Hartholt (2011) blijkt dat </w:t>
      </w:r>
      <w:r w:rsidRPr="00F019BD" w:rsidR="002F2A7C">
        <w:t xml:space="preserve">het aantal valgerelateerde ziekenhuisopnames bij ouderen </w:t>
      </w:r>
      <w:r>
        <w:t xml:space="preserve">steeg </w:t>
      </w:r>
      <w:r w:rsidRPr="00F019BD" w:rsidR="002F2A7C">
        <w:t xml:space="preserve">van 14.398 in 1981 tot 34.901 in 2008 (een toename van 137%). Dit betekent een jaarlijkse stijging van ruim 750 valgerelateerde ziekenhuisopnames in deze tijdsperiode. </w:t>
      </w:r>
    </w:p>
    <w:p w:rsidRPr="00F019BD" w:rsidR="002F2A7C" w:rsidP="0016573E" w:rsidRDefault="002F2A7C"/>
    <w:p w:rsidRPr="00533A93" w:rsidR="002F2A7C" w:rsidP="0016573E" w:rsidRDefault="002F2A7C">
      <w:pPr>
        <w:rPr>
          <w:szCs w:val="18"/>
        </w:rPr>
      </w:pPr>
      <w:r w:rsidRPr="00F019BD">
        <w:t>Voor d</w:t>
      </w:r>
      <w:r w:rsidRPr="00533A93">
        <w:rPr>
          <w:szCs w:val="18"/>
        </w:rPr>
        <w:t>eze stijging zijn meerdere verklaringen</w:t>
      </w:r>
      <w:r w:rsidR="003A2B18">
        <w:rPr>
          <w:szCs w:val="18"/>
        </w:rPr>
        <w:t>:</w:t>
      </w:r>
    </w:p>
    <w:p w:rsidRPr="00533A93" w:rsidR="002F2A7C" w:rsidP="003A2B18" w:rsidRDefault="002F2A7C">
      <w:pPr>
        <w:pStyle w:val="Lijstalinea"/>
        <w:widowControl w:val="0"/>
        <w:numPr>
          <w:ilvl w:val="0"/>
          <w:numId w:val="32"/>
        </w:numPr>
        <w:suppressAutoHyphens/>
        <w:autoSpaceDN w:val="0"/>
        <w:spacing w:after="0" w:line="240" w:lineRule="exact"/>
        <w:ind w:left="284" w:hanging="284"/>
        <w:textAlignment w:val="baseline"/>
        <w:rPr>
          <w:rFonts w:ascii="Verdana" w:hAnsi="Verdana"/>
          <w:sz w:val="18"/>
          <w:szCs w:val="18"/>
        </w:rPr>
      </w:pPr>
      <w:r w:rsidRPr="00533A93">
        <w:rPr>
          <w:rFonts w:ascii="Verdana" w:hAnsi="Verdana"/>
          <w:sz w:val="18"/>
          <w:szCs w:val="18"/>
        </w:rPr>
        <w:t xml:space="preserve">De vergrijzing zorgt voor een toename van het aantal valincidenten bij ouderen. </w:t>
      </w:r>
    </w:p>
    <w:p w:rsidRPr="00533A93" w:rsidR="002F2A7C" w:rsidP="003A2B18" w:rsidRDefault="002F2A7C">
      <w:pPr>
        <w:pStyle w:val="Lijstalinea"/>
        <w:widowControl w:val="0"/>
        <w:numPr>
          <w:ilvl w:val="0"/>
          <w:numId w:val="32"/>
        </w:numPr>
        <w:suppressAutoHyphens/>
        <w:autoSpaceDN w:val="0"/>
        <w:spacing w:after="0" w:line="240" w:lineRule="exact"/>
        <w:ind w:left="284" w:hanging="284"/>
        <w:textAlignment w:val="baseline"/>
        <w:rPr>
          <w:rFonts w:ascii="Verdana" w:hAnsi="Verdana"/>
          <w:sz w:val="18"/>
          <w:szCs w:val="18"/>
        </w:rPr>
      </w:pPr>
      <w:r w:rsidRPr="00533A93">
        <w:rPr>
          <w:rFonts w:ascii="Verdana" w:hAnsi="Verdana"/>
          <w:sz w:val="18"/>
          <w:szCs w:val="18"/>
        </w:rPr>
        <w:t xml:space="preserve">Meer ouderen met (meervoudige) gezondheidsproblemen blijven mobiel dankzij medische zorg en hulpmiddelen. Zij blijven daardoor wel risico lopen om te vallen. En omdat dit vaak de broze ouderen zijn, zijn de letsels bij vallen vaak ook ernstiger. </w:t>
      </w:r>
    </w:p>
    <w:p w:rsidR="00EF5F9D" w:rsidP="003A2B18" w:rsidRDefault="00EF5F9D">
      <w:pPr>
        <w:pStyle w:val="Lijstalinea"/>
        <w:widowControl w:val="0"/>
        <w:numPr>
          <w:ilvl w:val="0"/>
          <w:numId w:val="32"/>
        </w:numPr>
        <w:suppressAutoHyphens/>
        <w:autoSpaceDN w:val="0"/>
        <w:spacing w:after="0" w:line="240" w:lineRule="exact"/>
        <w:ind w:left="284" w:hanging="284"/>
        <w:textAlignment w:val="baseline"/>
        <w:rPr>
          <w:rFonts w:ascii="Verdana" w:hAnsi="Verdana"/>
          <w:sz w:val="18"/>
          <w:szCs w:val="18"/>
        </w:rPr>
      </w:pPr>
      <w:r>
        <w:rPr>
          <w:rFonts w:ascii="Verdana" w:hAnsi="Verdana"/>
          <w:sz w:val="18"/>
          <w:szCs w:val="18"/>
        </w:rPr>
        <w:t>Veelvuldig en gecombineerd medicijngebruik</w:t>
      </w:r>
    </w:p>
    <w:p w:rsidRPr="00441AC8" w:rsidR="00533A93" w:rsidP="003A2B18" w:rsidRDefault="002F2A7C">
      <w:pPr>
        <w:pStyle w:val="Lijstalinea"/>
        <w:widowControl w:val="0"/>
        <w:numPr>
          <w:ilvl w:val="0"/>
          <w:numId w:val="32"/>
        </w:numPr>
        <w:suppressAutoHyphens/>
        <w:autoSpaceDN w:val="0"/>
        <w:spacing w:after="0" w:line="240" w:lineRule="exact"/>
        <w:ind w:left="284" w:hanging="284"/>
        <w:textAlignment w:val="baseline"/>
        <w:rPr>
          <w:rFonts w:ascii="Verdana" w:hAnsi="Verdana"/>
          <w:sz w:val="18"/>
          <w:szCs w:val="18"/>
        </w:rPr>
      </w:pPr>
      <w:r w:rsidRPr="00533A93">
        <w:rPr>
          <w:rFonts w:ascii="Verdana" w:hAnsi="Verdana"/>
          <w:sz w:val="18"/>
          <w:szCs w:val="18"/>
        </w:rPr>
        <w:t xml:space="preserve">Door een toenemend gebruik van scootmobiels en rollators neemt het aantal </w:t>
      </w:r>
      <w:r w:rsidRPr="00441AC8">
        <w:rPr>
          <w:rFonts w:ascii="Verdana" w:hAnsi="Verdana"/>
          <w:sz w:val="18"/>
          <w:szCs w:val="18"/>
        </w:rPr>
        <w:t>ongevallen met scootmobiels en rollators</w:t>
      </w:r>
      <w:r w:rsidRPr="00441AC8" w:rsidR="00FE661F">
        <w:rPr>
          <w:rFonts w:ascii="Verdana" w:hAnsi="Verdana"/>
          <w:sz w:val="18"/>
          <w:szCs w:val="18"/>
        </w:rPr>
        <w:t xml:space="preserve"> </w:t>
      </w:r>
      <w:r w:rsidRPr="00441AC8">
        <w:rPr>
          <w:rFonts w:ascii="Verdana" w:hAnsi="Verdana"/>
          <w:sz w:val="18"/>
          <w:szCs w:val="18"/>
        </w:rPr>
        <w:t>toe.</w:t>
      </w:r>
    </w:p>
    <w:p w:rsidRPr="00EF5F9D" w:rsidR="00A7065A" w:rsidP="003A2B18" w:rsidRDefault="00CD5DB9">
      <w:pPr>
        <w:pStyle w:val="Lijstalinea"/>
        <w:widowControl w:val="0"/>
        <w:numPr>
          <w:ilvl w:val="0"/>
          <w:numId w:val="32"/>
        </w:numPr>
        <w:suppressAutoHyphens/>
        <w:autoSpaceDN w:val="0"/>
        <w:spacing w:after="0" w:line="240" w:lineRule="exact"/>
        <w:ind w:left="284" w:hanging="284"/>
        <w:textAlignment w:val="baseline"/>
        <w:rPr>
          <w:rFonts w:ascii="Verdana" w:hAnsi="Verdana"/>
          <w:sz w:val="18"/>
          <w:szCs w:val="18"/>
        </w:rPr>
      </w:pPr>
      <w:r w:rsidRPr="00EF5F9D">
        <w:rPr>
          <w:rFonts w:ascii="Verdana" w:hAnsi="Verdana"/>
          <w:sz w:val="18"/>
          <w:szCs w:val="18"/>
        </w:rPr>
        <w:t xml:space="preserve">Daarnaast is </w:t>
      </w:r>
      <w:r w:rsidRPr="00EF5F9D" w:rsidR="002F2A7C">
        <w:rPr>
          <w:rFonts w:ascii="Verdana" w:hAnsi="Verdana"/>
          <w:sz w:val="18"/>
          <w:szCs w:val="18"/>
        </w:rPr>
        <w:t>de toegenomen actieve leefstijl van ouderen een mogelijke verklaring voor de trends. Technologische ontwikkelingen maken het ook makkelijker om te blijven bewegen, denk aan de steeds populairder wordende elektrische fiets.</w:t>
      </w:r>
      <w:r w:rsidRPr="00EF5F9D" w:rsidR="00EF5F9D">
        <w:rPr>
          <w:rFonts w:ascii="Verdana" w:hAnsi="Verdana"/>
          <w:sz w:val="18"/>
          <w:szCs w:val="18"/>
        </w:rPr>
        <w:t xml:space="preserve"> </w:t>
      </w:r>
      <w:r w:rsidRPr="00BB6167" w:rsidR="00EF5F9D">
        <w:rPr>
          <w:rFonts w:ascii="Verdana" w:hAnsi="Verdana"/>
          <w:sz w:val="18"/>
          <w:szCs w:val="18"/>
        </w:rPr>
        <w:t>Tegelijkertijd is actief blijven een bewezen determinant om vallen te voorkomen</w:t>
      </w:r>
      <w:r w:rsidRPr="00BB6167" w:rsidR="00A46C1D">
        <w:rPr>
          <w:rFonts w:ascii="Verdana" w:hAnsi="Verdana"/>
          <w:sz w:val="18"/>
          <w:szCs w:val="18"/>
        </w:rPr>
        <w:t>.</w:t>
      </w:r>
      <w:r w:rsidRPr="00BB6167" w:rsidR="00BB6167">
        <w:rPr>
          <w:rFonts w:ascii="Verdana" w:hAnsi="Verdana"/>
          <w:sz w:val="18"/>
          <w:szCs w:val="18"/>
        </w:rPr>
        <w:t xml:space="preserve"> Mogelijk</w:t>
      </w:r>
      <w:r w:rsidR="00BB6167">
        <w:rPr>
          <w:rFonts w:ascii="Verdana" w:hAnsi="Verdana"/>
          <w:sz w:val="18"/>
          <w:szCs w:val="18"/>
        </w:rPr>
        <w:t xml:space="preserve"> dat positieve effecten van de actievere leefstijl pas later zichtbaar worden.</w:t>
      </w:r>
    </w:p>
    <w:p w:rsidR="007707B1" w:rsidP="0016573E" w:rsidRDefault="007707B1"/>
    <w:p w:rsidRPr="00047278" w:rsidR="00A63BEF" w:rsidP="0016573E" w:rsidRDefault="00A63BEF">
      <w:pPr>
        <w:rPr>
          <w:u w:val="single"/>
        </w:rPr>
      </w:pPr>
      <w:r w:rsidRPr="00047278">
        <w:rPr>
          <w:u w:val="single"/>
        </w:rPr>
        <w:t>Realisatie prestatie-indicator</w:t>
      </w:r>
    </w:p>
    <w:p w:rsidR="00A63BEF" w:rsidP="0016573E" w:rsidRDefault="00D079D4">
      <w:r>
        <w:t xml:space="preserve">Voor letselpreventie geldt als </w:t>
      </w:r>
      <w:r w:rsidR="002D78B2">
        <w:t>prestatie-</w:t>
      </w:r>
      <w:r w:rsidR="00A63BEF">
        <w:t>indicator</w:t>
      </w:r>
      <w:r>
        <w:t xml:space="preserve"> </w:t>
      </w:r>
      <w:r w:rsidR="00A63BEF">
        <w:t>een daling van het aantal SEH-behandelingen in ziekenhuizen door privé-ongevallen en sportblessures</w:t>
      </w:r>
      <w:r>
        <w:t xml:space="preserve">. In 2008 was dit </w:t>
      </w:r>
      <w:r w:rsidR="00A63BEF">
        <w:t>6</w:t>
      </w:r>
      <w:r>
        <w:t>5</w:t>
      </w:r>
      <w:r w:rsidR="00A63BEF">
        <w:t xml:space="preserve">0.000 </w:t>
      </w:r>
      <w:r>
        <w:t xml:space="preserve">behandelingen, </w:t>
      </w:r>
      <w:r w:rsidR="00A63BEF">
        <w:t>in 200</w:t>
      </w:r>
      <w:r>
        <w:t>9</w:t>
      </w:r>
      <w:r w:rsidR="00A63BEF">
        <w:t xml:space="preserve"> 6</w:t>
      </w:r>
      <w:r>
        <w:t xml:space="preserve">40.000, in 2010 </w:t>
      </w:r>
      <w:r w:rsidR="00283222">
        <w:t xml:space="preserve">en 2011 </w:t>
      </w:r>
      <w:r>
        <w:t>600.000</w:t>
      </w:r>
      <w:r w:rsidR="00283222">
        <w:t xml:space="preserve"> behandelingen</w:t>
      </w:r>
      <w:r>
        <w:t xml:space="preserve">. Er zijn nog geen cijfers </w:t>
      </w:r>
      <w:r w:rsidR="002D78B2">
        <w:t>over</w:t>
      </w:r>
      <w:r>
        <w:t xml:space="preserve"> 2012, maar de verwachting is dat het aantal behandelingen rond de 600.000 zal blijven schommelen. Hiermee zal het streefcijfer </w:t>
      </w:r>
      <w:r w:rsidR="00BB680F">
        <w:t xml:space="preserve">zoals gesteld </w:t>
      </w:r>
      <w:r w:rsidR="002D78B2">
        <w:t xml:space="preserve">in 2008 </w:t>
      </w:r>
      <w:r w:rsidR="00BB680F">
        <w:t>voor</w:t>
      </w:r>
      <w:r>
        <w:t xml:space="preserve"> 20</w:t>
      </w:r>
      <w:r w:rsidR="00BB680F">
        <w:t>12</w:t>
      </w:r>
      <w:r>
        <w:t xml:space="preserve"> (610.000 behandelingen) waarschijnlijk gehaald worden.</w:t>
      </w:r>
      <w:r w:rsidR="005F59C5">
        <w:t xml:space="preserve"> </w:t>
      </w:r>
    </w:p>
    <w:p w:rsidR="00020077" w:rsidP="0016573E" w:rsidRDefault="00020077"/>
    <w:p w:rsidR="007707B1" w:rsidP="0016573E" w:rsidRDefault="007707B1">
      <w:pPr>
        <w:pStyle w:val="Huisstijl-Kop2"/>
      </w:pPr>
      <w:bookmarkStart w:name="_Toc351626673" w:id="22"/>
      <w:r>
        <w:t>Bevorderen van een veilige omgeving en omstandigheden</w:t>
      </w:r>
      <w:bookmarkEnd w:id="22"/>
    </w:p>
    <w:p w:rsidR="00A46C1D" w:rsidP="0016573E" w:rsidRDefault="00A72EDD">
      <w:r>
        <w:rPr>
          <w:szCs w:val="18"/>
        </w:rPr>
        <w:t xml:space="preserve">Nederland </w:t>
      </w:r>
      <w:r w:rsidR="008C1170">
        <w:rPr>
          <w:szCs w:val="18"/>
        </w:rPr>
        <w:t xml:space="preserve">moet </w:t>
      </w:r>
      <w:r>
        <w:rPr>
          <w:szCs w:val="18"/>
        </w:rPr>
        <w:t xml:space="preserve">goed bereikbaar </w:t>
      </w:r>
      <w:r w:rsidR="008C1170">
        <w:rPr>
          <w:szCs w:val="18"/>
        </w:rPr>
        <w:t>zijn</w:t>
      </w:r>
      <w:r>
        <w:rPr>
          <w:szCs w:val="18"/>
        </w:rPr>
        <w:t xml:space="preserve"> en aantrekkelijk om in te wonen en te werken. Daar</w:t>
      </w:r>
      <w:r w:rsidR="00472496">
        <w:rPr>
          <w:szCs w:val="18"/>
        </w:rPr>
        <w:t>voor</w:t>
      </w:r>
      <w:r>
        <w:rPr>
          <w:szCs w:val="18"/>
        </w:rPr>
        <w:t xml:space="preserve"> werkt </w:t>
      </w:r>
      <w:r w:rsidR="00662DBA">
        <w:rPr>
          <w:szCs w:val="18"/>
        </w:rPr>
        <w:t xml:space="preserve">de </w:t>
      </w:r>
      <w:r w:rsidR="00472496">
        <w:rPr>
          <w:szCs w:val="18"/>
        </w:rPr>
        <w:t>rijks</w:t>
      </w:r>
      <w:r w:rsidR="00662DBA">
        <w:rPr>
          <w:szCs w:val="18"/>
        </w:rPr>
        <w:t>overheid</w:t>
      </w:r>
      <w:r>
        <w:rPr>
          <w:szCs w:val="18"/>
        </w:rPr>
        <w:t xml:space="preserve"> samen met provincies, waterschappen en gemeenten. </w:t>
      </w:r>
      <w:r w:rsidR="0094313A">
        <w:rPr>
          <w:szCs w:val="18"/>
        </w:rPr>
        <w:t xml:space="preserve">Deze partijen zijn verantwoordelijk voor het beheer en onderhoud van de openbare ruimten die onder hun verantwoordelijkheid vallen. Goed beheer en onderhoud van openbare ruimten draagt indirect bij aan de veiligheid van burgers. </w:t>
      </w:r>
      <w:r w:rsidR="0094313A">
        <w:t xml:space="preserve">Ook </w:t>
      </w:r>
      <w:r w:rsidR="003B5B05">
        <w:t xml:space="preserve">bijvoorbeeld </w:t>
      </w:r>
      <w:r w:rsidR="0094313A">
        <w:t xml:space="preserve">scholen, </w:t>
      </w:r>
      <w:r w:rsidR="003B5B05">
        <w:t xml:space="preserve">kinderopvangorganisaties, </w:t>
      </w:r>
      <w:r w:rsidR="0094313A">
        <w:t>zorginstellingen en werkgevers hebben de verantwoordelijk</w:t>
      </w:r>
      <w:r w:rsidR="00052090">
        <w:t>heid</w:t>
      </w:r>
      <w:r w:rsidR="0094313A">
        <w:t xml:space="preserve"> om te </w:t>
      </w:r>
      <w:r w:rsidR="003B5B05">
        <w:t>zorgen dat hun doelgroepen kunnen verblijven in een veilige (werk</w:t>
      </w:r>
      <w:r w:rsidR="00052090">
        <w:t>-</w:t>
      </w:r>
      <w:r w:rsidR="003B5B05">
        <w:t xml:space="preserve">) en publieke omgeving. </w:t>
      </w:r>
    </w:p>
    <w:p w:rsidR="0032032F" w:rsidP="0016573E" w:rsidRDefault="008C1170">
      <w:r>
        <w:t xml:space="preserve">Op het gebied van letselpreventie ondersteunt </w:t>
      </w:r>
      <w:r w:rsidR="00A46C1D">
        <w:t>VWS deze organisaties v</w:t>
      </w:r>
      <w:r w:rsidR="003B5B05">
        <w:t>ia subsidieverlening aan VeiligheidNL</w:t>
      </w:r>
      <w:r>
        <w:t xml:space="preserve"> om</w:t>
      </w:r>
      <w:r w:rsidR="003B5B05">
        <w:t xml:space="preserve"> </w:t>
      </w:r>
      <w:r w:rsidR="00A46C1D">
        <w:t xml:space="preserve">risicomonitors en checklists </w:t>
      </w:r>
      <w:r>
        <w:t xml:space="preserve">te ontwikkelen. Deze instrumenten geven </w:t>
      </w:r>
      <w:r w:rsidR="003B5B05">
        <w:t xml:space="preserve">inzicht in </w:t>
      </w:r>
      <w:r w:rsidR="00052090">
        <w:t>risicosituaties (door het monitoren van ongevallen en het uitvoeren van risico</w:t>
      </w:r>
      <w:r w:rsidR="00845823">
        <w:t>-</w:t>
      </w:r>
      <w:r w:rsidR="00052090">
        <w:t xml:space="preserve">inventarisaties) en </w:t>
      </w:r>
      <w:r>
        <w:t xml:space="preserve">met behulp hiervan kunnen </w:t>
      </w:r>
      <w:r w:rsidR="00052090">
        <w:t>oplossingen aan</w:t>
      </w:r>
      <w:r>
        <w:t>ge</w:t>
      </w:r>
      <w:r w:rsidR="00052090">
        <w:t xml:space="preserve">dragen </w:t>
      </w:r>
      <w:r>
        <w:t xml:space="preserve">worden </w:t>
      </w:r>
      <w:r w:rsidR="00052090">
        <w:t>om deze risicosituaties te vermijden of op te lossen. Voorbeelden van deze materialen zijn bijvoorbeeld de Risicomonitor voor kinderopvang en scholen (</w:t>
      </w:r>
      <w:hyperlink w:history="1" r:id="rId17">
        <w:r w:rsidRPr="00DF11A4" w:rsidR="00845823">
          <w:rPr>
            <w:rStyle w:val="Hyperlink"/>
          </w:rPr>
          <w:t>www.risico-monitor.nl</w:t>
        </w:r>
      </w:hyperlink>
      <w:r w:rsidR="00052090">
        <w:t xml:space="preserve">), </w:t>
      </w:r>
      <w:r w:rsidR="00845823">
        <w:t>een website voor eigenaars van speeltoestellen in de (semi-) openbare ruimte (</w:t>
      </w:r>
      <w:hyperlink w:history="1" r:id="rId18">
        <w:r w:rsidRPr="005F7B93" w:rsidR="00845823">
          <w:rPr>
            <w:rStyle w:val="Hyperlink"/>
          </w:rPr>
          <w:t>www.allesoverspelen.nl</w:t>
        </w:r>
      </w:hyperlink>
      <w:r w:rsidR="00845823">
        <w:t>) en de Methode Veiligheidsmanagement voor in verpleeg- en verzorgingshuizen.</w:t>
      </w:r>
    </w:p>
    <w:p w:rsidR="003A2B18" w:rsidP="0016573E" w:rsidRDefault="003A2B18">
      <w:pPr>
        <w:rPr>
          <w:rFonts w:cs="UniversLTStd-Cn"/>
          <w:kern w:val="0"/>
          <w:szCs w:val="18"/>
          <w:lang w:bidi="ar-SA"/>
        </w:rPr>
      </w:pPr>
    </w:p>
    <w:p w:rsidR="003A2B18" w:rsidP="0016573E" w:rsidRDefault="003A2B18">
      <w:pPr>
        <w:rPr>
          <w:rFonts w:cs="UniversLTStd-Cn"/>
          <w:kern w:val="0"/>
          <w:szCs w:val="18"/>
          <w:lang w:bidi="ar-SA"/>
        </w:rPr>
      </w:pPr>
    </w:p>
    <w:p w:rsidR="001038D9" w:rsidP="0016573E" w:rsidRDefault="007707B1">
      <w:pPr>
        <w:pStyle w:val="Huisstijl-Kop2"/>
      </w:pPr>
      <w:bookmarkStart w:name="_Toc351626674" w:id="23"/>
      <w:r>
        <w:t>Bevorderen van veilig gedrag</w:t>
      </w:r>
      <w:bookmarkEnd w:id="23"/>
      <w:r>
        <w:t xml:space="preserve"> </w:t>
      </w:r>
    </w:p>
    <w:p w:rsidR="005D7C4E" w:rsidP="0016573E" w:rsidRDefault="005D7C4E">
      <w:pPr>
        <w:widowControl/>
        <w:suppressAutoHyphens w:val="0"/>
        <w:autoSpaceDE w:val="0"/>
        <w:adjustRightInd w:val="0"/>
        <w:textAlignment w:val="auto"/>
        <w:rPr>
          <w:szCs w:val="18"/>
        </w:rPr>
      </w:pPr>
      <w:r>
        <w:rPr>
          <w:szCs w:val="18"/>
        </w:rPr>
        <w:t xml:space="preserve">De meeste inspanningen vanuit de overheid worden op </w:t>
      </w:r>
      <w:r w:rsidR="002513EB">
        <w:rPr>
          <w:szCs w:val="18"/>
        </w:rPr>
        <w:t>bevordering van gezond gedrag</w:t>
      </w:r>
      <w:r>
        <w:rPr>
          <w:szCs w:val="18"/>
        </w:rPr>
        <w:t xml:space="preserve"> gezet, </w:t>
      </w:r>
      <w:r w:rsidR="002B1E73">
        <w:rPr>
          <w:szCs w:val="18"/>
        </w:rPr>
        <w:t xml:space="preserve">het meest zichtbaar </w:t>
      </w:r>
      <w:r>
        <w:rPr>
          <w:szCs w:val="18"/>
        </w:rPr>
        <w:t xml:space="preserve">via subsidieverlening aan VeiligheidNL. </w:t>
      </w:r>
      <w:r w:rsidR="002B1E73">
        <w:rPr>
          <w:szCs w:val="18"/>
        </w:rPr>
        <w:t xml:space="preserve">VeiligheidNL maakt </w:t>
      </w:r>
      <w:r w:rsidR="00AA5598">
        <w:rPr>
          <w:szCs w:val="18"/>
        </w:rPr>
        <w:t xml:space="preserve">onderscheid in activiteiten voor verschillende </w:t>
      </w:r>
      <w:r w:rsidR="00AE47FA">
        <w:rPr>
          <w:szCs w:val="18"/>
        </w:rPr>
        <w:t>doelgroepen</w:t>
      </w:r>
      <w:r w:rsidR="00AA5598">
        <w:rPr>
          <w:szCs w:val="18"/>
        </w:rPr>
        <w:t xml:space="preserve">, gebaseerd op de cijfers uit registratie en monitoring: kinderen/jeugd, ouderen en sporters. </w:t>
      </w:r>
      <w:r w:rsidR="0028780A">
        <w:rPr>
          <w:szCs w:val="18"/>
        </w:rPr>
        <w:t xml:space="preserve">Met betrekking tot kinderen/jeugd wordt </w:t>
      </w:r>
      <w:r w:rsidR="00472496">
        <w:rPr>
          <w:szCs w:val="18"/>
        </w:rPr>
        <w:t xml:space="preserve">ingezet op </w:t>
      </w:r>
      <w:r w:rsidR="0028780A">
        <w:rPr>
          <w:szCs w:val="18"/>
        </w:rPr>
        <w:t xml:space="preserve">voorlichting </w:t>
      </w:r>
      <w:r w:rsidR="00472496">
        <w:rPr>
          <w:szCs w:val="18"/>
        </w:rPr>
        <w:t xml:space="preserve">via lokale kanalen </w:t>
      </w:r>
      <w:r w:rsidR="0028780A">
        <w:rPr>
          <w:szCs w:val="18"/>
        </w:rPr>
        <w:t xml:space="preserve">waar kinderen, jongeren en hun ouders/verzorgers zijn: </w:t>
      </w:r>
      <w:r w:rsidR="00BB6167">
        <w:rPr>
          <w:szCs w:val="18"/>
        </w:rPr>
        <w:t xml:space="preserve">via consultatiebureaus, </w:t>
      </w:r>
      <w:r w:rsidR="0028780A">
        <w:rPr>
          <w:szCs w:val="18"/>
        </w:rPr>
        <w:t xml:space="preserve">in en om huis, in de kinderopvang, op scholen en in de wijk. Met betrekking tot ouderen wordt ingezet op behoud van kwaliteit van leven door het voorkomen van vermijdbaar letsel bij ouderen. Dit gebeurt door het geven van voorlichting aan zowel zelfstandig als niet zelfstanding wonende ouderen en door het ondersteunen van lokale intermediairs en organisaties voor langdurige zorg. Met betrekking tot sporters wordt gefocust op de preventie van sportblessures, waarmee indirect wordt bijgedragen aan het behoud van een fysiek actieve leefstijl. Dit gebeurt door het geven van voorlichting aan sporters (direct) als indirect via intermediairs (sportclub, trainer, verzorger). </w:t>
      </w:r>
    </w:p>
    <w:p w:rsidR="005D7C4E" w:rsidP="0016573E" w:rsidRDefault="005D7C4E">
      <w:pPr>
        <w:rPr>
          <w:szCs w:val="18"/>
        </w:rPr>
      </w:pPr>
      <w:r>
        <w:rPr>
          <w:szCs w:val="18"/>
        </w:rPr>
        <w:t xml:space="preserve">Daarnaast </w:t>
      </w:r>
      <w:r w:rsidR="00AA2399">
        <w:rPr>
          <w:szCs w:val="18"/>
        </w:rPr>
        <w:t xml:space="preserve">zijn extra activiteiten gericht op gedragsverandering gefinancierd via </w:t>
      </w:r>
      <w:r>
        <w:rPr>
          <w:szCs w:val="18"/>
        </w:rPr>
        <w:t xml:space="preserve">een meerjarige projectsubsidie aan </w:t>
      </w:r>
      <w:r w:rsidR="00DE0F88">
        <w:rPr>
          <w:szCs w:val="18"/>
        </w:rPr>
        <w:t>VeiligheidNL</w:t>
      </w:r>
      <w:r>
        <w:rPr>
          <w:szCs w:val="18"/>
        </w:rPr>
        <w:t xml:space="preserve"> voor de periode 2008 – medio 2013: </w:t>
      </w:r>
    </w:p>
    <w:p w:rsidR="00D42966" w:rsidP="003A2B18" w:rsidRDefault="00D42966">
      <w:pPr>
        <w:pStyle w:val="Lijstalinea"/>
        <w:numPr>
          <w:ilvl w:val="0"/>
          <w:numId w:val="29"/>
        </w:numPr>
        <w:spacing w:after="0" w:line="240" w:lineRule="exact"/>
        <w:ind w:left="284" w:hanging="284"/>
        <w:rPr>
          <w:rFonts w:ascii="Verdana" w:hAnsi="Verdana"/>
          <w:sz w:val="18"/>
          <w:szCs w:val="18"/>
        </w:rPr>
      </w:pPr>
      <w:r w:rsidRPr="00D42966">
        <w:rPr>
          <w:rFonts w:ascii="Verdana" w:hAnsi="Verdana"/>
          <w:sz w:val="18"/>
          <w:szCs w:val="18"/>
        </w:rPr>
        <w:t xml:space="preserve">Ontwikkeling en implementatie van een integrale </w:t>
      </w:r>
      <w:r w:rsidRPr="00D42966" w:rsidR="005D7C4E">
        <w:rPr>
          <w:rFonts w:ascii="Verdana" w:hAnsi="Verdana"/>
          <w:sz w:val="18"/>
          <w:szCs w:val="18"/>
        </w:rPr>
        <w:t>risicomonitor kinderopvang</w:t>
      </w:r>
      <w:r w:rsidRPr="00D42966">
        <w:rPr>
          <w:rFonts w:ascii="Verdana" w:hAnsi="Verdana"/>
          <w:sz w:val="18"/>
          <w:szCs w:val="18"/>
        </w:rPr>
        <w:t>, gericht op zowel arbo- als kinderveiligheid</w:t>
      </w:r>
    </w:p>
    <w:p w:rsidRPr="00D42966" w:rsidR="005D7C4E" w:rsidP="003A2B18" w:rsidRDefault="005D7C4E">
      <w:pPr>
        <w:pStyle w:val="Lijstalinea"/>
        <w:numPr>
          <w:ilvl w:val="0"/>
          <w:numId w:val="29"/>
        </w:numPr>
        <w:spacing w:after="0" w:line="240" w:lineRule="exact"/>
        <w:ind w:left="284" w:hanging="284"/>
        <w:rPr>
          <w:rFonts w:ascii="Verdana" w:hAnsi="Verdana"/>
          <w:sz w:val="18"/>
          <w:szCs w:val="18"/>
        </w:rPr>
      </w:pPr>
      <w:r w:rsidRPr="00D42966">
        <w:rPr>
          <w:rFonts w:ascii="Verdana" w:hAnsi="Verdana"/>
          <w:sz w:val="18"/>
          <w:szCs w:val="18"/>
        </w:rPr>
        <w:t>valpreventie ouderen (implementatie van de ketenbenadering, verbeteren veiligheidsmanagement in zorginstellingen en bundeling good practices tbv veiligheid van ouderen op straat/in het verkeer, onderzoek naar de veiligheidsbeleving van zelfstandig wonende ouderen)</w:t>
      </w:r>
    </w:p>
    <w:p w:rsidR="005D7C4E" w:rsidP="003A2B18" w:rsidRDefault="005D7C4E">
      <w:pPr>
        <w:pStyle w:val="Lijstalinea"/>
        <w:numPr>
          <w:ilvl w:val="0"/>
          <w:numId w:val="29"/>
        </w:numPr>
        <w:spacing w:after="0" w:line="240" w:lineRule="exact"/>
        <w:ind w:left="284" w:hanging="284"/>
        <w:rPr>
          <w:rFonts w:ascii="Verdana" w:hAnsi="Verdana"/>
          <w:sz w:val="18"/>
          <w:szCs w:val="18"/>
        </w:rPr>
      </w:pPr>
      <w:r>
        <w:rPr>
          <w:rFonts w:ascii="Verdana" w:hAnsi="Verdana"/>
          <w:sz w:val="18"/>
          <w:szCs w:val="18"/>
        </w:rPr>
        <w:t xml:space="preserve">ontwikkeling/aanpassing </w:t>
      </w:r>
      <w:r w:rsidRPr="00F62AEE">
        <w:rPr>
          <w:rFonts w:ascii="Verdana" w:hAnsi="Verdana"/>
          <w:sz w:val="18"/>
          <w:szCs w:val="18"/>
        </w:rPr>
        <w:t xml:space="preserve">interventies </w:t>
      </w:r>
      <w:r>
        <w:rPr>
          <w:rFonts w:ascii="Verdana" w:hAnsi="Verdana"/>
          <w:sz w:val="18"/>
          <w:szCs w:val="18"/>
        </w:rPr>
        <w:t>(</w:t>
      </w:r>
      <w:r w:rsidRPr="00F62AEE">
        <w:rPr>
          <w:rFonts w:ascii="Verdana" w:hAnsi="Verdana"/>
          <w:sz w:val="18"/>
          <w:szCs w:val="18"/>
        </w:rPr>
        <w:t>veiliger klussen in en rondom huis</w:t>
      </w:r>
      <w:r>
        <w:rPr>
          <w:rFonts w:ascii="Verdana" w:hAnsi="Verdana"/>
          <w:sz w:val="18"/>
          <w:szCs w:val="18"/>
        </w:rPr>
        <w:t xml:space="preserve"> en het </w:t>
      </w:r>
      <w:r w:rsidRPr="00F62AEE">
        <w:rPr>
          <w:rFonts w:ascii="Verdana" w:hAnsi="Verdana"/>
          <w:sz w:val="18"/>
          <w:szCs w:val="18"/>
        </w:rPr>
        <w:t>positief beïnvloeden van risicogedr</w:t>
      </w:r>
      <w:r>
        <w:rPr>
          <w:rFonts w:ascii="Verdana" w:hAnsi="Verdana"/>
          <w:sz w:val="18"/>
          <w:szCs w:val="18"/>
        </w:rPr>
        <w:t>ag jongeren)</w:t>
      </w:r>
    </w:p>
    <w:p w:rsidR="002C23AC" w:rsidP="0016573E" w:rsidRDefault="002C23AC">
      <w:pPr>
        <w:rPr>
          <w:szCs w:val="18"/>
        </w:rPr>
      </w:pPr>
    </w:p>
    <w:p w:rsidR="005D7C4E" w:rsidP="0016573E" w:rsidRDefault="002B1E73">
      <w:pPr>
        <w:rPr>
          <w:szCs w:val="18"/>
        </w:rPr>
      </w:pPr>
      <w:r>
        <w:rPr>
          <w:szCs w:val="18"/>
        </w:rPr>
        <w:t xml:space="preserve">Daarnaast </w:t>
      </w:r>
      <w:r w:rsidR="002C23AC">
        <w:rPr>
          <w:szCs w:val="18"/>
        </w:rPr>
        <w:t xml:space="preserve">zet VWS ook </w:t>
      </w:r>
      <w:r>
        <w:rPr>
          <w:szCs w:val="18"/>
        </w:rPr>
        <w:t>in op het gebundeld aanbieden van informatie over bijvoorbeeld effectieve interventies aan professionals via het Centrum voor Gezond Leven (</w:t>
      </w:r>
      <w:r w:rsidR="00276193">
        <w:rPr>
          <w:szCs w:val="18"/>
        </w:rPr>
        <w:t>CGL) van het RIVM</w:t>
      </w:r>
      <w:r>
        <w:rPr>
          <w:szCs w:val="18"/>
        </w:rPr>
        <w:t xml:space="preserve"> en de websites van de Centra voor Jeugd en Gezin.</w:t>
      </w:r>
      <w:r w:rsidR="00480CEE">
        <w:rPr>
          <w:szCs w:val="18"/>
        </w:rPr>
        <w:t xml:space="preserve"> </w:t>
      </w:r>
      <w:r w:rsidR="00A30230">
        <w:rPr>
          <w:szCs w:val="18"/>
        </w:rPr>
        <w:t>Via h</w:t>
      </w:r>
      <w:r w:rsidR="00480CEE">
        <w:rPr>
          <w:szCs w:val="18"/>
        </w:rPr>
        <w:t xml:space="preserve">et CGL </w:t>
      </w:r>
      <w:r w:rsidR="00A30230">
        <w:rPr>
          <w:szCs w:val="18"/>
        </w:rPr>
        <w:t>worden lokale partijen en overheden ondersteund bij het kiezen en implementeren van effectieve interventies (zie paragraaf 5.4)</w:t>
      </w:r>
      <w:r w:rsidR="00480CEE">
        <w:rPr>
          <w:szCs w:val="18"/>
        </w:rPr>
        <w:t>.</w:t>
      </w:r>
    </w:p>
    <w:p w:rsidR="002B1E73" w:rsidP="0016573E" w:rsidRDefault="002C23AC">
      <w:pPr>
        <w:rPr>
          <w:szCs w:val="18"/>
        </w:rPr>
      </w:pPr>
      <w:r>
        <w:rPr>
          <w:szCs w:val="18"/>
        </w:rPr>
        <w:t>Via ZonMw zijn in diverse programma’s initiatieven op het terrein van letselpreventie gefinancierd ter bevordering van veilig(er) gedrag.</w:t>
      </w:r>
    </w:p>
    <w:p w:rsidR="002C23AC" w:rsidP="0016573E" w:rsidRDefault="002C23AC">
      <w:pPr>
        <w:spacing w:line="240" w:lineRule="auto"/>
        <w:rPr>
          <w:szCs w:val="18"/>
        </w:rPr>
      </w:pPr>
    </w:p>
    <w:p w:rsidR="0074095C" w:rsidP="0016573E" w:rsidRDefault="0074095C">
      <w:pPr>
        <w:pStyle w:val="Huisstijl-Kop2"/>
      </w:pPr>
      <w:bookmarkStart w:name="_Toc351626675" w:id="24"/>
      <w:r>
        <w:t>Realisatie voornemens beleidsbrief</w:t>
      </w:r>
      <w:bookmarkEnd w:id="24"/>
    </w:p>
    <w:p w:rsidRPr="00D72305" w:rsidR="00A01019" w:rsidP="0016573E" w:rsidRDefault="00A01019">
      <w:pPr>
        <w:widowControl/>
        <w:suppressAutoHyphens w:val="0"/>
        <w:autoSpaceDE w:val="0"/>
        <w:adjustRightInd w:val="0"/>
        <w:textAlignment w:val="auto"/>
      </w:pPr>
    </w:p>
    <w:p w:rsidRPr="00A7065A" w:rsidR="0074095C" w:rsidP="0016573E" w:rsidRDefault="0074095C">
      <w:pPr>
        <w:widowControl/>
        <w:suppressAutoHyphens w:val="0"/>
        <w:autoSpaceDE w:val="0"/>
        <w:adjustRightInd w:val="0"/>
        <w:textAlignment w:val="auto"/>
        <w:rPr>
          <w:i/>
        </w:rPr>
      </w:pPr>
      <w:r w:rsidRPr="00A7065A">
        <w:rPr>
          <w:i/>
        </w:rPr>
        <w:t>Registratie en gegevensverzameling</w:t>
      </w:r>
    </w:p>
    <w:p w:rsidRPr="00151E44" w:rsidR="0074095C" w:rsidP="0016573E" w:rsidRDefault="00FB547F">
      <w:pPr>
        <w:widowControl/>
        <w:suppressAutoHyphens w:val="0"/>
        <w:autoSpaceDE w:val="0"/>
        <w:adjustRightInd w:val="0"/>
        <w:textAlignment w:val="auto"/>
        <w:rPr>
          <w:szCs w:val="18"/>
        </w:rPr>
      </w:pPr>
      <w:r>
        <w:t xml:space="preserve">Zoals blijkt uit paragraaf 4.1 is de gegevensverzameling via </w:t>
      </w:r>
      <w:r w:rsidR="0074095C">
        <w:t xml:space="preserve">LIS en OBiN </w:t>
      </w:r>
      <w:r>
        <w:t xml:space="preserve">voortgezet, waarbij in 2012 ook </w:t>
      </w:r>
      <w:r w:rsidR="00765AC9">
        <w:t xml:space="preserve">is gekeken </w:t>
      </w:r>
      <w:r>
        <w:t>naar de toekomstbestendigheid van beide systemen</w:t>
      </w:r>
      <w:r w:rsidR="0074095C">
        <w:t>.</w:t>
      </w:r>
    </w:p>
    <w:p w:rsidR="0074095C" w:rsidP="0016573E" w:rsidRDefault="0074095C">
      <w:r>
        <w:t xml:space="preserve"> </w:t>
      </w:r>
    </w:p>
    <w:p w:rsidR="005D0DF4" w:rsidP="0016573E" w:rsidRDefault="005D0DF4">
      <w:r>
        <w:t>Het voornemen om de DALY’s van suïcide en geweld te verbeteren zijn deels uitgevoerd. In opdracht van het ministerie van VWS heeft het RIVM in 2010 de berekening van de ziektelast voor suïcide en suïcidepogingen verbeterd. Door de verbetering stijgt suïcide van de 21</w:t>
      </w:r>
      <w:r w:rsidRPr="002630F7">
        <w:rPr>
          <w:vertAlign w:val="superscript"/>
        </w:rPr>
        <w:t>e</w:t>
      </w:r>
      <w:r>
        <w:t xml:space="preserve"> naar de 11</w:t>
      </w:r>
      <w:r w:rsidRPr="002630F7">
        <w:rPr>
          <w:vertAlign w:val="superscript"/>
        </w:rPr>
        <w:t>de</w:t>
      </w:r>
      <w:r>
        <w:t xml:space="preserve"> plaats in de rangordelijst van de belangrijkste aandoeningen in Ned</w:t>
      </w:r>
      <w:bookmarkStart w:name="_GoBack" w:id="25"/>
      <w:bookmarkEnd w:id="25"/>
      <w:r>
        <w:t>erland. Ten aanzien van de berekeningen van DALY’s voor geweld zijn geen verbeteringen doorgevoerd.</w:t>
      </w:r>
    </w:p>
    <w:p w:rsidR="005D0DF4" w:rsidP="0016573E" w:rsidRDefault="005D0DF4"/>
    <w:p w:rsidR="0074095C" w:rsidP="0016573E" w:rsidRDefault="0074095C">
      <w:r>
        <w:t xml:space="preserve">De </w:t>
      </w:r>
      <w:r w:rsidR="005D0DF4">
        <w:t xml:space="preserve">andere twee voornemens ter verbetering van inzicht in letselproblematiek zijn wel uitgevoerd, maar hebben </w:t>
      </w:r>
      <w:r w:rsidR="00007FEE">
        <w:t>(</w:t>
      </w:r>
      <w:r w:rsidR="005D0DF4">
        <w:t>nog</w:t>
      </w:r>
      <w:r w:rsidR="00007FEE">
        <w:t>)</w:t>
      </w:r>
      <w:r w:rsidR="005D0DF4">
        <w:t xml:space="preserve"> geen resultaten opgeleverd. </w:t>
      </w:r>
      <w:r>
        <w:t xml:space="preserve">LIS en traumaregistraties zijn tot op heden nog niet op elkaar afgestemd, vanwege technische en procedurele bezwaren bij de Landelijke Traumaregistratie. </w:t>
      </w:r>
      <w:r w:rsidR="001E3F70">
        <w:t xml:space="preserve">In </w:t>
      </w:r>
      <w:r>
        <w:t xml:space="preserve">2013 </w:t>
      </w:r>
      <w:r w:rsidR="001E3F70">
        <w:t xml:space="preserve">wordt </w:t>
      </w:r>
      <w:r>
        <w:t xml:space="preserve">opnieuw </w:t>
      </w:r>
      <w:r w:rsidR="001E3F70">
        <w:t xml:space="preserve">bekeken </w:t>
      </w:r>
      <w:r>
        <w:t>of afstemming mogelijk is.</w:t>
      </w:r>
      <w:r w:rsidR="006028CF">
        <w:t xml:space="preserve"> </w:t>
      </w:r>
    </w:p>
    <w:p w:rsidR="0074095C" w:rsidP="0016573E" w:rsidRDefault="005D0DF4">
      <w:pPr>
        <w:rPr>
          <w:szCs w:val="18"/>
        </w:rPr>
      </w:pPr>
      <w:r>
        <w:rPr>
          <w:szCs w:val="18"/>
        </w:rPr>
        <w:t xml:space="preserve">Ook is onderzocht of valletsels geregistreerd zouden kunnen worden in de eerste lijn. Dit </w:t>
      </w:r>
      <w:r w:rsidR="00472496">
        <w:rPr>
          <w:szCs w:val="18"/>
        </w:rPr>
        <w:t xml:space="preserve">zou </w:t>
      </w:r>
      <w:r>
        <w:rPr>
          <w:szCs w:val="18"/>
        </w:rPr>
        <w:t>meegenomen worden in e</w:t>
      </w:r>
      <w:r w:rsidRPr="00C11FD7" w:rsidR="0074095C">
        <w:rPr>
          <w:szCs w:val="18"/>
        </w:rPr>
        <w:t xml:space="preserve">en nieuwe (derde) nationale studie </w:t>
      </w:r>
      <w:r>
        <w:rPr>
          <w:szCs w:val="18"/>
        </w:rPr>
        <w:t xml:space="preserve">van het NIVEL, alleen is deze studie </w:t>
      </w:r>
      <w:r w:rsidR="00472496">
        <w:rPr>
          <w:szCs w:val="18"/>
        </w:rPr>
        <w:t xml:space="preserve">(nog) </w:t>
      </w:r>
      <w:r w:rsidR="00FB547F">
        <w:rPr>
          <w:szCs w:val="18"/>
        </w:rPr>
        <w:t>niet</w:t>
      </w:r>
      <w:r w:rsidRPr="00C11FD7" w:rsidR="0074095C">
        <w:rPr>
          <w:szCs w:val="18"/>
        </w:rPr>
        <w:t xml:space="preserve"> van de grond gekomen. Er zijn geen andere initiatieven </w:t>
      </w:r>
      <w:r w:rsidR="00706635">
        <w:rPr>
          <w:szCs w:val="18"/>
        </w:rPr>
        <w:t>geïnitieerd</w:t>
      </w:r>
      <w:r w:rsidRPr="00C11FD7" w:rsidR="0074095C">
        <w:rPr>
          <w:szCs w:val="18"/>
        </w:rPr>
        <w:t xml:space="preserve"> om valletsels te registreren in de eerste lijn. </w:t>
      </w:r>
    </w:p>
    <w:p w:rsidR="0074095C" w:rsidP="0016573E" w:rsidRDefault="0074095C">
      <w:pPr>
        <w:rPr>
          <w:i/>
          <w:szCs w:val="18"/>
        </w:rPr>
      </w:pPr>
    </w:p>
    <w:p w:rsidRPr="00A7065A" w:rsidR="0074095C" w:rsidP="0016573E" w:rsidRDefault="0074095C">
      <w:pPr>
        <w:rPr>
          <w:i/>
          <w:szCs w:val="18"/>
        </w:rPr>
      </w:pPr>
      <w:r w:rsidRPr="00A7065A">
        <w:rPr>
          <w:i/>
          <w:szCs w:val="18"/>
        </w:rPr>
        <w:t>Agendering</w:t>
      </w:r>
    </w:p>
    <w:p w:rsidR="0074095C" w:rsidP="0016573E" w:rsidRDefault="00765AC9">
      <w:pPr>
        <w:rPr>
          <w:szCs w:val="18"/>
        </w:rPr>
      </w:pPr>
      <w:r>
        <w:rPr>
          <w:szCs w:val="18"/>
        </w:rPr>
        <w:t xml:space="preserve">Het thema </w:t>
      </w:r>
      <w:r w:rsidR="00536684">
        <w:rPr>
          <w:szCs w:val="18"/>
        </w:rPr>
        <w:t>l</w:t>
      </w:r>
      <w:r w:rsidRPr="00755795" w:rsidR="0074095C">
        <w:rPr>
          <w:szCs w:val="18"/>
        </w:rPr>
        <w:t xml:space="preserve">etselpreventie </w:t>
      </w:r>
      <w:r w:rsidR="0074095C">
        <w:rPr>
          <w:szCs w:val="18"/>
        </w:rPr>
        <w:t xml:space="preserve">is </w:t>
      </w:r>
      <w:r w:rsidRPr="00755795" w:rsidR="0074095C">
        <w:rPr>
          <w:szCs w:val="18"/>
        </w:rPr>
        <w:t>niet</w:t>
      </w:r>
      <w:r>
        <w:rPr>
          <w:szCs w:val="18"/>
        </w:rPr>
        <w:t>, zoals het voornemen van de minister was in de beleidsbrief,</w:t>
      </w:r>
      <w:r w:rsidRPr="00755795" w:rsidR="0074095C">
        <w:rPr>
          <w:szCs w:val="18"/>
        </w:rPr>
        <w:t xml:space="preserve"> </w:t>
      </w:r>
      <w:r w:rsidR="00536684">
        <w:rPr>
          <w:szCs w:val="18"/>
        </w:rPr>
        <w:t xml:space="preserve">als </w:t>
      </w:r>
      <w:r w:rsidRPr="00755795" w:rsidR="0074095C">
        <w:rPr>
          <w:szCs w:val="18"/>
        </w:rPr>
        <w:t>apart speerpunt</w:t>
      </w:r>
      <w:r>
        <w:rPr>
          <w:szCs w:val="18"/>
        </w:rPr>
        <w:t xml:space="preserve"> benoemd </w:t>
      </w:r>
      <w:r w:rsidR="0074095C">
        <w:rPr>
          <w:szCs w:val="18"/>
        </w:rPr>
        <w:t>in de huidige preventienota ‘Landelijke nota gezondheidsbeleid – Gezondheid dichtbij’ (september 2011)</w:t>
      </w:r>
      <w:r w:rsidRPr="00755795" w:rsidR="0074095C">
        <w:rPr>
          <w:szCs w:val="18"/>
        </w:rPr>
        <w:t xml:space="preserve">. </w:t>
      </w:r>
      <w:r w:rsidR="0074095C">
        <w:rPr>
          <w:szCs w:val="18"/>
        </w:rPr>
        <w:t xml:space="preserve">Wel zijn </w:t>
      </w:r>
      <w:r w:rsidRPr="00755795" w:rsidR="0074095C">
        <w:rPr>
          <w:szCs w:val="18"/>
        </w:rPr>
        <w:t>in de preventienota diverse verwijzingen n</w:t>
      </w:r>
      <w:r w:rsidR="0074095C">
        <w:rPr>
          <w:szCs w:val="18"/>
        </w:rPr>
        <w:t xml:space="preserve">aar letselpreventie aangebracht. Daar waar over bewegen in de nota wordt gesproken, is om die reden bewust de koppeling gemaakt met letselpreventie door het over veilig en verantwoord bewegen te hebben. Veilig sporten is gekoppeld aan letselpreventie enerzijds door het voorkomen van intimidatie, vandalisme en geweld en anderzijds verantwoord sporten en bewegen om zo het risico op sportblessures en sportuitval zoveel mogelijk te verkleinen. Ook bewegen bij ouderen is een belangrijk thema in de preventienota. Sport en bewegen dragen bij aan de zelfredzaamheid, maatschappelijke participatie en gezondheid van ouderen, maar verbetert ook de mobiliteit en balans. </w:t>
      </w:r>
      <w:r w:rsidR="00845823">
        <w:rPr>
          <w:szCs w:val="18"/>
        </w:rPr>
        <w:t>De l</w:t>
      </w:r>
      <w:r w:rsidR="0074095C">
        <w:rPr>
          <w:szCs w:val="18"/>
        </w:rPr>
        <w:t>aatste twee zijn belangrijk bij de preventie van vallen bij ouderen.</w:t>
      </w:r>
    </w:p>
    <w:p w:rsidR="0074095C" w:rsidP="0016573E" w:rsidRDefault="0074095C">
      <w:pPr>
        <w:rPr>
          <w:szCs w:val="18"/>
        </w:rPr>
      </w:pPr>
    </w:p>
    <w:p w:rsidR="0074095C" w:rsidP="0016573E" w:rsidRDefault="008D35C0">
      <w:r>
        <w:t xml:space="preserve">In een pilotproject van VeiligheidNL is in twee regio’s onderzocht of </w:t>
      </w:r>
      <w:r w:rsidR="00364F03">
        <w:t xml:space="preserve">het mogelijk is om via </w:t>
      </w:r>
      <w:r>
        <w:t xml:space="preserve">ketenbenadering thuiswonende ouderen met een verhoogd risico op vallen te identificeren en door te verwijzen naar verschillende organisaties die vallen helpen te voorkomen. </w:t>
      </w:r>
      <w:r w:rsidR="00364F03">
        <w:t>Het is mogelijk, maar d</w:t>
      </w:r>
      <w:r>
        <w:t>e kosten van deze benadering bleken niet op te wegen tegen de baten. In vervolg daarop is Valanalyse 65+ ontwikkeld, deze heeft als doel eerstelijnszorgverleners te ondersteunen bij het opsporen van ouderen met een verhoogd valrisico en het geven van een advies op maat aan deze ouderen, zodat meer zelfstandig wonende ouderen valpreventieve maatregelen nemen.</w:t>
      </w:r>
    </w:p>
    <w:p w:rsidR="0074095C" w:rsidP="0016573E" w:rsidRDefault="0074095C"/>
    <w:p w:rsidR="00E105BD" w:rsidP="0016573E" w:rsidRDefault="00706635">
      <w:r>
        <w:t>In het veld wordt g</w:t>
      </w:r>
      <w:r w:rsidR="0074095C">
        <w:t>ebrek aan voldoende en structurele financiering voor valpreventieprogramma</w:t>
      </w:r>
      <w:r w:rsidR="00A761DA">
        <w:t>’</w:t>
      </w:r>
      <w:r w:rsidR="0074095C">
        <w:t>s</w:t>
      </w:r>
      <w:r w:rsidR="00A761DA">
        <w:t xml:space="preserve"> voor ouderen</w:t>
      </w:r>
      <w:r w:rsidR="0074095C">
        <w:t>, vooral via de zorgverzekering, gezien als een belangrijke belemmerende factor door het (lokale) werkveld. Zorgverzekeraars Nederland heeft in afgelopen jaren getracht om valpreventie in een gezamenlijk project op te pakken. Dit bleek niet haalbaar, omdat preventie valt in het concurrerende domein van de zorgverzekeraars. Er zijn diverse zorgverzekeraars die lokaal initiatieven hebben ontplooid op het gebied van valpreventie</w:t>
      </w:r>
      <w:r w:rsidR="008A18A6">
        <w:t>, bijvoorbeeld via de aanvullende verzekering en/of in samenwerking met gemeenten</w:t>
      </w:r>
      <w:r w:rsidR="0074095C">
        <w:t>.</w:t>
      </w:r>
      <w:r w:rsidR="00E105BD">
        <w:t xml:space="preserve"> </w:t>
      </w:r>
      <w:r w:rsidR="00364F03">
        <w:t xml:space="preserve">Daarnaast </w:t>
      </w:r>
      <w:r w:rsidR="00F13920">
        <w:t>zijn via</w:t>
      </w:r>
      <w:r w:rsidR="00364F03">
        <w:t xml:space="preserve"> </w:t>
      </w:r>
      <w:r w:rsidR="00E105BD">
        <w:t xml:space="preserve">ZonMw </w:t>
      </w:r>
      <w:r w:rsidR="00364F03">
        <w:t xml:space="preserve">vanuit </w:t>
      </w:r>
      <w:r w:rsidR="00E105BD">
        <w:t>diverse programma’s initiatieven ter verbetering van valpreventie gefinancierd.</w:t>
      </w:r>
    </w:p>
    <w:p w:rsidR="0074095C" w:rsidP="0016573E" w:rsidRDefault="0074095C"/>
    <w:p w:rsidRPr="006D3DC6" w:rsidR="0074095C" w:rsidP="0016573E" w:rsidRDefault="002A4822">
      <w:pPr>
        <w:rPr>
          <w:i/>
        </w:rPr>
      </w:pPr>
      <w:r>
        <w:rPr>
          <w:i/>
        </w:rPr>
        <w:t>Interdepartementale s</w:t>
      </w:r>
      <w:r w:rsidRPr="006D3DC6" w:rsidR="0074095C">
        <w:rPr>
          <w:i/>
        </w:rPr>
        <w:t>amenwerking</w:t>
      </w:r>
    </w:p>
    <w:p w:rsidRPr="00E7099D" w:rsidR="0074095C" w:rsidP="0016573E" w:rsidRDefault="0074095C">
      <w:pPr>
        <w:widowControl/>
        <w:suppressAutoHyphens w:val="0"/>
        <w:autoSpaceDE w:val="0"/>
        <w:adjustRightInd w:val="0"/>
        <w:textAlignment w:val="auto"/>
        <w:rPr>
          <w:rFonts w:eastAsia="Times New Roman" w:cs="Times New Roman"/>
          <w:color w:val="000000"/>
          <w:kern w:val="0"/>
          <w:szCs w:val="18"/>
          <w:lang w:eastAsia="nl-NL" w:bidi="ar-SA"/>
        </w:rPr>
      </w:pPr>
      <w:r>
        <w:rPr>
          <w:rFonts w:eastAsia="Times New Roman" w:cs="Times New Roman"/>
          <w:color w:val="000000"/>
          <w:kern w:val="0"/>
          <w:szCs w:val="18"/>
          <w:lang w:eastAsia="nl-NL" w:bidi="ar-SA"/>
        </w:rPr>
        <w:t>Het beleid gericht op letselpreventie wordt vormgegeven vanuit meerdere ministeries. Omdat gedeeltelijk sprake kan zijn van gemeenschappelijke aangrijpingspunten/determinanten (bijvoorbeeld alcohol, risicogedrag), het benaderen van dezelfde doelgroepen (bijvoorbeeld jongeren, ouderen, allochtonen) of gelijke settings (scholen, werk, uitgaan) heeft het meerwaarde om het veiligheidsbeleid vanuit de verschillende beleidsdomeinen beter af te stemmen. Hier kunnen ook verbindingen met andere beleidsterreinen worden gelegd, bijvoorbeeld jeugd- of ouderenbeleid. In de beleidsbrief letselpreventie is het samenwerken ten aanzien van letselpreventie met andere departementen specifiek opgenomen.</w:t>
      </w:r>
    </w:p>
    <w:p w:rsidRPr="00E7099D" w:rsidR="0074095C" w:rsidP="0016573E" w:rsidRDefault="0074095C">
      <w:pPr>
        <w:widowControl/>
        <w:suppressAutoHyphens w:val="0"/>
        <w:autoSpaceDN/>
        <w:textAlignment w:val="auto"/>
        <w:rPr>
          <w:rFonts w:eastAsia="Times New Roman" w:cs="Times New Roman"/>
          <w:color w:val="000000"/>
          <w:kern w:val="0"/>
          <w:szCs w:val="18"/>
          <w:lang w:eastAsia="nl-NL" w:bidi="ar-SA"/>
        </w:rPr>
      </w:pPr>
    </w:p>
    <w:p w:rsidR="0074095C" w:rsidP="0016573E" w:rsidRDefault="0074095C">
      <w:pPr>
        <w:rPr>
          <w:szCs w:val="18"/>
        </w:rPr>
      </w:pPr>
      <w:r>
        <w:rPr>
          <w:szCs w:val="18"/>
        </w:rPr>
        <w:t>VWS heeft de interdepartementale samenwerking op het vlak van letselpreventie versterk</w:t>
      </w:r>
      <w:r w:rsidR="00092C11">
        <w:rPr>
          <w:szCs w:val="18"/>
        </w:rPr>
        <w:t>t</w:t>
      </w:r>
      <w:r>
        <w:rPr>
          <w:szCs w:val="18"/>
        </w:rPr>
        <w:t xml:space="preserve"> met het gezamenlijk vormgeven van drie projecten</w:t>
      </w:r>
      <w:r w:rsidR="00765AC9">
        <w:rPr>
          <w:szCs w:val="18"/>
        </w:rPr>
        <w:t xml:space="preserve"> gericht op </w:t>
      </w:r>
      <w:r w:rsidR="002513EB">
        <w:rPr>
          <w:szCs w:val="18"/>
        </w:rPr>
        <w:t>bevordering van gezond gedrag</w:t>
      </w:r>
      <w:r>
        <w:rPr>
          <w:szCs w:val="18"/>
        </w:rPr>
        <w:t xml:space="preserve"> in drie</w:t>
      </w:r>
      <w:r w:rsidR="00765AC9">
        <w:rPr>
          <w:szCs w:val="18"/>
        </w:rPr>
        <w:t xml:space="preserve"> verschillende</w:t>
      </w:r>
      <w:r>
        <w:rPr>
          <w:szCs w:val="18"/>
        </w:rPr>
        <w:t xml:space="preserve"> domeinen: verkeer (I&amp;M), arbeid (SZW) en geweld (V&amp;J). </w:t>
      </w:r>
      <w:r w:rsidR="00765AC9">
        <w:rPr>
          <w:szCs w:val="18"/>
        </w:rPr>
        <w:t xml:space="preserve">Voor verkeer </w:t>
      </w:r>
      <w:r w:rsidR="00544ACB">
        <w:rPr>
          <w:szCs w:val="18"/>
        </w:rPr>
        <w:t xml:space="preserve">betrof </w:t>
      </w:r>
      <w:r w:rsidR="00765AC9">
        <w:rPr>
          <w:szCs w:val="18"/>
        </w:rPr>
        <w:t xml:space="preserve">het </w:t>
      </w:r>
      <w:r w:rsidR="00544ACB">
        <w:rPr>
          <w:szCs w:val="18"/>
        </w:rPr>
        <w:t xml:space="preserve">het </w:t>
      </w:r>
      <w:r w:rsidR="00765AC9">
        <w:rPr>
          <w:szCs w:val="18"/>
        </w:rPr>
        <w:t xml:space="preserve">verbeteren van </w:t>
      </w:r>
      <w:r w:rsidR="00544ACB">
        <w:rPr>
          <w:szCs w:val="18"/>
        </w:rPr>
        <w:t xml:space="preserve">de verkeersveiligheid van fietsers, voor arbeid betrof het een onderzoek naar het werken op hoogte zowel op de werkvloer als in de privésituatie en voor geweld betrof het pilotinterventies voor geweldplegers en voor arbeid. </w:t>
      </w:r>
      <w:r>
        <w:rPr>
          <w:szCs w:val="18"/>
        </w:rPr>
        <w:t xml:space="preserve">Deze projecten zijn een uitvloeisel van de betrokkenheid van genoemde ministeries bij de totstandkoming van de beleidsbrief. De drie projecten zijn uitgevoerd onder verantwoordelijkheid van de betreffende </w:t>
      </w:r>
      <w:r w:rsidRPr="00EF775F">
        <w:rPr>
          <w:szCs w:val="18"/>
        </w:rPr>
        <w:t>ministeries</w:t>
      </w:r>
      <w:r>
        <w:rPr>
          <w:szCs w:val="18"/>
        </w:rPr>
        <w:t xml:space="preserve">. </w:t>
      </w:r>
    </w:p>
    <w:p w:rsidR="0074095C" w:rsidP="0016573E" w:rsidRDefault="0074095C">
      <w:pPr>
        <w:rPr>
          <w:szCs w:val="18"/>
        </w:rPr>
      </w:pPr>
    </w:p>
    <w:p w:rsidR="0074095C" w:rsidP="0016573E" w:rsidRDefault="0074095C">
      <w:pPr>
        <w:pStyle w:val="Lijstalinea"/>
        <w:spacing w:after="0" w:line="240" w:lineRule="exact"/>
        <w:ind w:left="0"/>
        <w:rPr>
          <w:rFonts w:ascii="Verdana" w:hAnsi="Verdana"/>
          <w:sz w:val="18"/>
          <w:szCs w:val="18"/>
        </w:rPr>
      </w:pPr>
      <w:r>
        <w:rPr>
          <w:rFonts w:ascii="Verdana" w:hAnsi="Verdana"/>
          <w:sz w:val="18"/>
          <w:szCs w:val="18"/>
        </w:rPr>
        <w:t>Verdere samenwerking heeft plaatsgevonden op basis van specifieke behoeften van individuele ministeries. Dit vond plaats via jaarlijkse bilaterale gesprekken door VWS met de contactpersonen van andere ministeries. Hieruit zijn diverse samenwerkingsverbanden voortgekomen. VWS heeft bijvoorbeeld deelgenomen aan de versnellingsteams om te komen tot de Beleidsimpuls Verkeersveiligheid van het ministerie van I&amp;M. Een ander voorbeeld is de pilot “preventieve aanpak geweld in Amsterdam”, een initiatief van het ministerie van V&amp;J en waaraan VWS een inhoudelijke bijdrage levert door deelname aan de Stuurgroep van deze pilot.</w:t>
      </w:r>
    </w:p>
    <w:p w:rsidR="0074095C" w:rsidP="0016573E" w:rsidRDefault="0074095C">
      <w:pPr>
        <w:pStyle w:val="Lijstalinea"/>
        <w:spacing w:after="0" w:line="240" w:lineRule="exact"/>
        <w:ind w:left="0"/>
        <w:rPr>
          <w:rFonts w:ascii="Verdana" w:hAnsi="Verdana"/>
          <w:sz w:val="18"/>
          <w:szCs w:val="18"/>
        </w:rPr>
      </w:pPr>
    </w:p>
    <w:p w:rsidR="0074095C" w:rsidP="0016573E" w:rsidRDefault="0074095C">
      <w:pPr>
        <w:pStyle w:val="Lijstalinea"/>
        <w:spacing w:after="0" w:line="240" w:lineRule="exact"/>
        <w:ind w:left="0"/>
        <w:rPr>
          <w:rFonts w:ascii="Verdana" w:hAnsi="Verdana"/>
          <w:sz w:val="18"/>
          <w:szCs w:val="18"/>
        </w:rPr>
      </w:pPr>
      <w:r>
        <w:rPr>
          <w:rFonts w:ascii="Verdana" w:hAnsi="Verdana"/>
          <w:sz w:val="18"/>
          <w:szCs w:val="18"/>
        </w:rPr>
        <w:t xml:space="preserve">Naast de regierol voor interdepartementale samenwerking heeft VWS ook de coördinatierol voor Nederlandse inbreng ten aanzien van letselpreventie en veiligheid in internationale netwerken en organisaties zoals de WHO. </w:t>
      </w:r>
    </w:p>
    <w:p w:rsidR="0074095C" w:rsidP="0016573E" w:rsidRDefault="0074095C">
      <w:pPr>
        <w:spacing w:line="240" w:lineRule="auto"/>
        <w:rPr>
          <w:szCs w:val="18"/>
          <w:highlight w:val="yellow"/>
        </w:rPr>
      </w:pPr>
    </w:p>
    <w:p w:rsidR="002A4822" w:rsidP="0016573E" w:rsidRDefault="002A4822">
      <w:pPr>
        <w:rPr>
          <w:i/>
          <w:szCs w:val="18"/>
        </w:rPr>
      </w:pPr>
      <w:r>
        <w:rPr>
          <w:i/>
          <w:szCs w:val="18"/>
        </w:rPr>
        <w:t>Informeren en o</w:t>
      </w:r>
      <w:r w:rsidRPr="00A7065A">
        <w:rPr>
          <w:i/>
          <w:szCs w:val="18"/>
        </w:rPr>
        <w:t>ndersteuning regionale en lokale partijen en overheden</w:t>
      </w:r>
    </w:p>
    <w:p w:rsidR="00577F0B" w:rsidP="0016573E" w:rsidRDefault="008D35C0">
      <w:pPr>
        <w:rPr>
          <w:szCs w:val="18"/>
        </w:rPr>
      </w:pPr>
      <w:r>
        <w:rPr>
          <w:szCs w:val="18"/>
        </w:rPr>
        <w:t xml:space="preserve">Het vergroten van het inzicht in de effectiviteit van interventies op het gebied van letselpreventie is in de afgelopen beleidsperiode </w:t>
      </w:r>
      <w:r w:rsidR="00FA380B">
        <w:rPr>
          <w:szCs w:val="18"/>
        </w:rPr>
        <w:t>gerealiseerd door meer erkende interventies bij de Erkenningscommissie Interventies</w:t>
      </w:r>
      <w:r>
        <w:rPr>
          <w:szCs w:val="18"/>
        </w:rPr>
        <w:t xml:space="preserve">. Er is in deze beleidsperiode meer effectonderzoek uitgevoerd. Deels is dit gefinancierd via de </w:t>
      </w:r>
      <w:r w:rsidR="008556A2">
        <w:rPr>
          <w:szCs w:val="18"/>
        </w:rPr>
        <w:t>instelling</w:t>
      </w:r>
      <w:r>
        <w:rPr>
          <w:szCs w:val="18"/>
        </w:rPr>
        <w:t xml:space="preserve">subsidie van </w:t>
      </w:r>
      <w:r w:rsidR="00577F0B">
        <w:rPr>
          <w:szCs w:val="18"/>
        </w:rPr>
        <w:t xml:space="preserve">VeiligheidNL (drie interventies) en deels via tenders van ZonMw (twee interventies). De erkenningen van letselpreventie interventies lopen niet achter ten opzichte van andere leefstijlthema’s. </w:t>
      </w:r>
      <w:r w:rsidR="00FA380B">
        <w:rPr>
          <w:szCs w:val="18"/>
        </w:rPr>
        <w:t xml:space="preserve">Wel waren de financieringsmogelijkheden voor effectonderzoek in de beleidsperiode beduidend minder. </w:t>
      </w:r>
      <w:r w:rsidR="008A18A6">
        <w:rPr>
          <w:szCs w:val="18"/>
        </w:rPr>
        <w:t xml:space="preserve">Hoogleraren geven aan dat zij geen </w:t>
      </w:r>
      <w:r w:rsidR="00544ACB">
        <w:rPr>
          <w:szCs w:val="18"/>
        </w:rPr>
        <w:t xml:space="preserve">duidelijke </w:t>
      </w:r>
      <w:r w:rsidR="008A18A6">
        <w:rPr>
          <w:szCs w:val="18"/>
        </w:rPr>
        <w:t>inhaalslag hebben gezien rondom onderzoek naar gedragsinterventies. Zij benoemen als uitdaging dat er meer aandacht moet komen voor de implementatie van (kosten)effectieve interventies.</w:t>
      </w:r>
    </w:p>
    <w:p w:rsidR="00577F0B" w:rsidP="0016573E" w:rsidRDefault="00577F0B">
      <w:pPr>
        <w:rPr>
          <w:szCs w:val="18"/>
        </w:rPr>
      </w:pPr>
    </w:p>
    <w:p w:rsidR="00577F0B" w:rsidP="0016573E" w:rsidRDefault="00577F0B">
      <w:r>
        <w:t>In de afgelopen beleidsperiode zijn de mogelijkheden voor een academische werkplaats letselpreventie verkend. Het starten van een extra werkplaats letselpreventie was binnen de bestaande gelden niet mogelijk, omdat de call voor de tweede periode van de bestaande academische werkplaatsen al was uitgestuurd en het geld daarvoor was gealloceerd. Er is vervolgens nog een inventarisatie uitgevoerd bij GGD’en naar lokale vragen die leefden rondom het thema letselpreventie. De behoefte was nihil, waardoor hier geen verdere acties op zijn ondernomen.</w:t>
      </w:r>
      <w:r w:rsidRPr="00F024E3" w:rsidR="00F024E3">
        <w:rPr>
          <w:rFonts w:cs="Univers"/>
          <w:szCs w:val="18"/>
        </w:rPr>
        <w:t xml:space="preserve"> </w:t>
      </w:r>
      <w:r w:rsidR="00F024E3">
        <w:rPr>
          <w:rFonts w:cs="Univers"/>
          <w:szCs w:val="18"/>
        </w:rPr>
        <w:t>In de beleidsperiode heeft VeiligheidNL in samenwerking met de academische werkplaats AGORA een</w:t>
      </w:r>
      <w:r w:rsidR="00F024E3">
        <w:rPr>
          <w:szCs w:val="18"/>
        </w:rPr>
        <w:t xml:space="preserve"> effectevaluatie rondom Halt U Valt! uitgevoerd met financiering vanuit ZonM</w:t>
      </w:r>
      <w:r w:rsidR="00EA6F08">
        <w:rPr>
          <w:szCs w:val="18"/>
        </w:rPr>
        <w:t>w</w:t>
      </w:r>
      <w:r w:rsidR="00F024E3">
        <w:rPr>
          <w:szCs w:val="18"/>
        </w:rPr>
        <w:t>.</w:t>
      </w:r>
      <w:r w:rsidR="00544ACB">
        <w:rPr>
          <w:szCs w:val="18"/>
        </w:rPr>
        <w:t xml:space="preserve"> Hoogleraren erkennen wel het belang van letselpreventie als wetenschappelijke thema, maar geven tegelijkertijd aan dat er onvoldoende geld beschikbaar is om wetenschappelijke onderzoek op dit terrein uit te voeren, waardoor weinig universiteiten zich bezig houden met letselpreventie en met de effectiviteit van gedragsinterventies in het bijzonder. Tevens geven hoogleraren aan dat de afstemming tussen wetenschap en pr</w:t>
      </w:r>
      <w:r w:rsidR="00AE166D">
        <w:rPr>
          <w:szCs w:val="18"/>
        </w:rPr>
        <w:t>aktijk niet optimaal te vinden.</w:t>
      </w:r>
      <w:r w:rsidR="00AE166D">
        <w:rPr>
          <w:rFonts w:eastAsia="Times New Roman" w:cs="Times New Roman"/>
          <w:color w:val="000000"/>
          <w:kern w:val="0"/>
          <w:szCs w:val="18"/>
          <w:lang w:eastAsia="nl-NL" w:bidi="ar-SA"/>
        </w:rPr>
        <w:t xml:space="preserve"> Vragen vanuit praktijk kunnen niet altijd worden beantwoord door wetenschap</w:t>
      </w:r>
      <w:r w:rsidR="00100B8F">
        <w:rPr>
          <w:rFonts w:eastAsia="Times New Roman" w:cs="Times New Roman"/>
          <w:color w:val="000000"/>
          <w:kern w:val="0"/>
          <w:szCs w:val="18"/>
          <w:lang w:eastAsia="nl-NL" w:bidi="ar-SA"/>
        </w:rPr>
        <w:t>pers</w:t>
      </w:r>
      <w:r w:rsidR="00AE166D">
        <w:rPr>
          <w:rFonts w:eastAsia="Times New Roman" w:cs="Times New Roman"/>
          <w:color w:val="000000"/>
          <w:kern w:val="0"/>
          <w:szCs w:val="18"/>
          <w:lang w:eastAsia="nl-NL" w:bidi="ar-SA"/>
        </w:rPr>
        <w:t xml:space="preserve">, omdat </w:t>
      </w:r>
      <w:r w:rsidR="00100B8F">
        <w:rPr>
          <w:rFonts w:eastAsia="Times New Roman" w:cs="Times New Roman"/>
          <w:color w:val="000000"/>
          <w:kern w:val="0"/>
          <w:szCs w:val="18"/>
          <w:lang w:eastAsia="nl-NL" w:bidi="ar-SA"/>
        </w:rPr>
        <w:t>zij</w:t>
      </w:r>
      <w:r w:rsidR="00AE166D">
        <w:rPr>
          <w:rFonts w:eastAsia="Times New Roman" w:cs="Times New Roman"/>
          <w:color w:val="000000"/>
          <w:kern w:val="0"/>
          <w:szCs w:val="18"/>
          <w:lang w:eastAsia="nl-NL" w:bidi="ar-SA"/>
        </w:rPr>
        <w:t xml:space="preserve"> daar geen geld voor beschikbaar </w:t>
      </w:r>
      <w:r w:rsidR="00100B8F">
        <w:rPr>
          <w:rFonts w:eastAsia="Times New Roman" w:cs="Times New Roman"/>
          <w:color w:val="000000"/>
          <w:kern w:val="0"/>
          <w:szCs w:val="18"/>
          <w:lang w:eastAsia="nl-NL" w:bidi="ar-SA"/>
        </w:rPr>
        <w:t xml:space="preserve">hebben </w:t>
      </w:r>
      <w:r w:rsidR="00AE166D">
        <w:rPr>
          <w:rFonts w:eastAsia="Times New Roman" w:cs="Times New Roman"/>
          <w:color w:val="000000"/>
          <w:kern w:val="0"/>
          <w:szCs w:val="18"/>
          <w:lang w:eastAsia="nl-NL" w:bidi="ar-SA"/>
        </w:rPr>
        <w:t>en het meestal niet ingepast kan worden in bestaande onderzoeksprojecten. Vanuit de wetenschap blijkt het lastig om (kosten)effectieve interventies daadwerkelijk in de praktijk te implementeren, enerzijds vanwege kennisgebrek vanuit lokale gebruikers en anderzijds vanwege individuele, specifieke behoefte van lokale gebruikers waar deze interventies niet altijd aan (kunnen) voldoen.</w:t>
      </w:r>
    </w:p>
    <w:p w:rsidR="00577F0B" w:rsidP="0016573E" w:rsidRDefault="00577F0B"/>
    <w:p w:rsidR="00577F0B" w:rsidP="0016573E" w:rsidRDefault="00F159EA">
      <w:pPr>
        <w:rPr>
          <w:szCs w:val="18"/>
        </w:rPr>
      </w:pPr>
      <w:r>
        <w:t>Via het Centrum Gezond Leven</w:t>
      </w:r>
      <w:r w:rsidR="00EA6F08">
        <w:t xml:space="preserve"> (RIVM)</w:t>
      </w:r>
      <w:r>
        <w:t xml:space="preserve"> zijn </w:t>
      </w:r>
      <w:r w:rsidR="00577F0B">
        <w:t xml:space="preserve">lokale partijen en overheden </w:t>
      </w:r>
      <w:r>
        <w:t xml:space="preserve">ondersteund </w:t>
      </w:r>
      <w:r w:rsidR="00577F0B">
        <w:t>bij het kiezen en implementeren van effectieve interventies</w:t>
      </w:r>
      <w:r w:rsidR="00682B51">
        <w:t xml:space="preserve">. </w:t>
      </w:r>
      <w:r>
        <w:t>D</w:t>
      </w:r>
      <w:r w:rsidR="00682B51">
        <w:t>e I-database op</w:t>
      </w:r>
      <w:r w:rsidR="00577F0B">
        <w:t xml:space="preserve"> het loket gezond leven </w:t>
      </w:r>
      <w:r>
        <w:t xml:space="preserve">bevat </w:t>
      </w:r>
      <w:r w:rsidR="00577F0B">
        <w:t xml:space="preserve">een overzicht van (effectieve) interventies, waar letselpreventie ook onderdeel van uitmaakt. </w:t>
      </w:r>
      <w:r w:rsidR="00682B51">
        <w:t>Daarnaast is i</w:t>
      </w:r>
      <w:r w:rsidR="001047C7">
        <w:t xml:space="preserve">n 2011 </w:t>
      </w:r>
      <w:r w:rsidR="00577F0B">
        <w:t>het thema letse</w:t>
      </w:r>
      <w:r w:rsidR="00682B51">
        <w:t>l</w:t>
      </w:r>
      <w:r w:rsidR="00577F0B">
        <w:t>preventie opgenomen in de Handreiking Gezonde Gemeente</w:t>
      </w:r>
      <w:r w:rsidR="009C33CB">
        <w:t>, deze handreiking ondersteunt gemeenten bij het opstellen, uitvoeren en evalueren van lokaal gezondheidsbeleid</w:t>
      </w:r>
      <w:r w:rsidR="00577F0B">
        <w:t>.</w:t>
      </w:r>
      <w:r w:rsidR="008A18A6">
        <w:t xml:space="preserve"> Gemeenten, die in hun nota lokaal gezondheidsbeleid aandacht hadden besteed aan letselpreventie, geven aan dat de keuze om aandacht te besteden aan een thema wordt gemaakt op basis van lokale cijfers, meestal afkomstig van de GGD. De meeste </w:t>
      </w:r>
      <w:r w:rsidR="00100B8F">
        <w:t xml:space="preserve">gemeenten </w:t>
      </w:r>
      <w:r w:rsidR="008A18A6">
        <w:t>geven aan dat letselpreventie niet opnieuw wordt benoemd in de nota om</w:t>
      </w:r>
      <w:r w:rsidR="001F7C1C">
        <w:t>dat</w:t>
      </w:r>
      <w:r w:rsidR="008A18A6">
        <w:t xml:space="preserve"> ze meer focus (minder speerpunten) willen aanbrengen en omdat letselpreventie niet </w:t>
      </w:r>
      <w:r w:rsidR="001F7C1C">
        <w:t xml:space="preserve">als </w:t>
      </w:r>
      <w:r w:rsidR="00100B8F">
        <w:t>speerpunt</w:t>
      </w:r>
      <w:r w:rsidR="001F7C1C">
        <w:t xml:space="preserve"> </w:t>
      </w:r>
      <w:r w:rsidR="008A18A6">
        <w:t xml:space="preserve">wordt benoemd in de landelijke nota. Overigens besteden gemeenten niet alleen via de nota lokaal gezondheidsbeleid aandacht aan letselpreventie, maar ook via andere beleidsterreinen zoals ruimtelijke ordening (verkeersveiligheid), veiligheidsbeleid (geweld), sportbeleid </w:t>
      </w:r>
      <w:r w:rsidR="00100B8F">
        <w:t xml:space="preserve">en wmo </w:t>
      </w:r>
      <w:r w:rsidR="008A18A6">
        <w:t xml:space="preserve">(valpreventie ouderen). </w:t>
      </w:r>
    </w:p>
    <w:p w:rsidR="009C33CB" w:rsidP="0016573E" w:rsidRDefault="008D35C0">
      <w:pPr>
        <w:rPr>
          <w:szCs w:val="18"/>
        </w:rPr>
      </w:pPr>
      <w:r>
        <w:rPr>
          <w:szCs w:val="18"/>
        </w:rPr>
        <w:t xml:space="preserve"> </w:t>
      </w:r>
    </w:p>
    <w:p w:rsidR="00A01019" w:rsidP="0016573E" w:rsidRDefault="00A01019">
      <w:pPr>
        <w:rPr>
          <w:szCs w:val="18"/>
        </w:rPr>
      </w:pPr>
      <w:r>
        <w:rPr>
          <w:szCs w:val="18"/>
        </w:rPr>
        <w:t>Een uitgebreide uitwerking van de realisatie van de beleidsvoornemens is opgenomen in bijlage 3.</w:t>
      </w:r>
    </w:p>
    <w:p w:rsidRPr="00001800" w:rsidR="007707B1" w:rsidP="0016573E" w:rsidRDefault="007707B1">
      <w:pPr>
        <w:rPr>
          <w:rFonts w:eastAsia="Times New Roman" w:cs="Times New Roman"/>
          <w:color w:val="000000"/>
          <w:kern w:val="0"/>
          <w:szCs w:val="18"/>
          <w:lang w:eastAsia="nl-NL"/>
        </w:rPr>
      </w:pPr>
      <w:r w:rsidRPr="00001800">
        <w:rPr>
          <w:sz w:val="24"/>
        </w:rPr>
        <w:br w:type="page"/>
      </w:r>
    </w:p>
    <w:p w:rsidR="008E65A3" w:rsidP="0016573E" w:rsidRDefault="000402A4">
      <w:pPr>
        <w:pStyle w:val="Huisstijl-Kop1"/>
      </w:pPr>
      <w:bookmarkStart w:name="_Toc351626676" w:id="26"/>
      <w:r>
        <w:t>Financiën</w:t>
      </w:r>
      <w:bookmarkEnd w:id="26"/>
    </w:p>
    <w:p w:rsidR="0082212C" w:rsidP="0016573E" w:rsidRDefault="005D7C4E">
      <w:pPr>
        <w:rPr>
          <w:szCs w:val="18"/>
        </w:rPr>
      </w:pPr>
      <w:r>
        <w:rPr>
          <w:szCs w:val="18"/>
        </w:rPr>
        <w:t xml:space="preserve">De uitvoering van de operationele doelstelling </w:t>
      </w:r>
      <w:r w:rsidR="004C1E0C">
        <w:rPr>
          <w:szCs w:val="18"/>
        </w:rPr>
        <w:t xml:space="preserve">van VWS </w:t>
      </w:r>
      <w:r w:rsidR="0082212C">
        <w:rPr>
          <w:szCs w:val="18"/>
        </w:rPr>
        <w:t>richt zich met name op de stimulerende en faciliterende rol. De beschermende rol valt onder een andere operationele doelstelling</w:t>
      </w:r>
      <w:r w:rsidR="00C71A0C">
        <w:rPr>
          <w:szCs w:val="18"/>
        </w:rPr>
        <w:t xml:space="preserve"> (inzet NVWA)</w:t>
      </w:r>
      <w:r w:rsidR="0082212C">
        <w:rPr>
          <w:szCs w:val="18"/>
        </w:rPr>
        <w:t xml:space="preserve">. Ook financiering van het instrument toezicht houden is niet meegenomen </w:t>
      </w:r>
      <w:r w:rsidR="00346A69">
        <w:rPr>
          <w:szCs w:val="18"/>
        </w:rPr>
        <w:t>in dit hoofdstuk.</w:t>
      </w:r>
      <w:r w:rsidR="0082212C">
        <w:rPr>
          <w:szCs w:val="18"/>
        </w:rPr>
        <w:t xml:space="preserve"> </w:t>
      </w:r>
    </w:p>
    <w:p w:rsidR="005D7C4E" w:rsidP="0016573E" w:rsidRDefault="0082212C">
      <w:pPr>
        <w:rPr>
          <w:szCs w:val="18"/>
        </w:rPr>
      </w:pPr>
      <w:r>
        <w:rPr>
          <w:szCs w:val="18"/>
        </w:rPr>
        <w:t>S</w:t>
      </w:r>
      <w:r w:rsidR="005D7C4E">
        <w:rPr>
          <w:szCs w:val="18"/>
        </w:rPr>
        <w:t>ubsidieverlening aan</w:t>
      </w:r>
      <w:r w:rsidR="00EA6F08">
        <w:rPr>
          <w:szCs w:val="18"/>
        </w:rPr>
        <w:t xml:space="preserve"> de</w:t>
      </w:r>
      <w:r w:rsidR="008800A9">
        <w:rPr>
          <w:szCs w:val="18"/>
        </w:rPr>
        <w:t xml:space="preserve"> stichting VeiligheidNL </w:t>
      </w:r>
      <w:r>
        <w:rPr>
          <w:szCs w:val="18"/>
        </w:rPr>
        <w:t>is de belangrijkste uitgave</w:t>
      </w:r>
      <w:r w:rsidR="004230D7">
        <w:rPr>
          <w:szCs w:val="18"/>
        </w:rPr>
        <w:t xml:space="preserve"> op het gebied van letselpreventie</w:t>
      </w:r>
      <w:r>
        <w:rPr>
          <w:szCs w:val="18"/>
        </w:rPr>
        <w:t xml:space="preserve"> binnen de operationele doelstelling</w:t>
      </w:r>
      <w:r w:rsidR="005D7C4E">
        <w:rPr>
          <w:szCs w:val="18"/>
        </w:rPr>
        <w:t>. De basistaken (registratie en monitoring en inzet op gedragsverandering in risicocategorieën) worden gefinancierd via een instellingsubsidie</w:t>
      </w:r>
      <w:r w:rsidR="004230D7">
        <w:rPr>
          <w:szCs w:val="18"/>
        </w:rPr>
        <w:t xml:space="preserve"> (ongeveer € 4 miljoen per jaar)</w:t>
      </w:r>
      <w:r w:rsidR="00D72305">
        <w:rPr>
          <w:szCs w:val="18"/>
        </w:rPr>
        <w:t xml:space="preserve">. Ook </w:t>
      </w:r>
      <w:r w:rsidR="005D7C4E">
        <w:rPr>
          <w:szCs w:val="18"/>
        </w:rPr>
        <w:t>sportblessurepreventie</w:t>
      </w:r>
      <w:r w:rsidR="00D72305">
        <w:rPr>
          <w:szCs w:val="18"/>
        </w:rPr>
        <w:t xml:space="preserve"> wordt met de instellingsubsidie gefinancierd</w:t>
      </w:r>
      <w:r w:rsidR="005D7C4E">
        <w:rPr>
          <w:szCs w:val="18"/>
        </w:rPr>
        <w:t xml:space="preserve">. </w:t>
      </w:r>
      <w:r w:rsidR="00BB5019">
        <w:rPr>
          <w:szCs w:val="18"/>
        </w:rPr>
        <w:t>In aanvulling</w:t>
      </w:r>
      <w:r w:rsidR="005D7C4E">
        <w:rPr>
          <w:szCs w:val="18"/>
        </w:rPr>
        <w:t xml:space="preserve"> </w:t>
      </w:r>
      <w:r w:rsidR="00D72305">
        <w:rPr>
          <w:szCs w:val="18"/>
        </w:rPr>
        <w:t xml:space="preserve">daarop </w:t>
      </w:r>
      <w:r w:rsidR="005D7C4E">
        <w:rPr>
          <w:szCs w:val="18"/>
        </w:rPr>
        <w:t>is</w:t>
      </w:r>
      <w:r w:rsidR="00BB5019">
        <w:rPr>
          <w:szCs w:val="18"/>
        </w:rPr>
        <w:t>, naast enkele losse project</w:t>
      </w:r>
      <w:r w:rsidR="00D72305">
        <w:rPr>
          <w:szCs w:val="18"/>
        </w:rPr>
        <w:t>subsidies</w:t>
      </w:r>
      <w:r w:rsidR="00BB5019">
        <w:rPr>
          <w:szCs w:val="18"/>
        </w:rPr>
        <w:t>,</w:t>
      </w:r>
      <w:r w:rsidR="005D7C4E">
        <w:rPr>
          <w:szCs w:val="18"/>
        </w:rPr>
        <w:t xml:space="preserve"> een meerjarige projectsubsidie (€ 6 miljoen) aan </w:t>
      </w:r>
      <w:r w:rsidR="00DE0F88">
        <w:rPr>
          <w:szCs w:val="18"/>
        </w:rPr>
        <w:t>VeiligheidNL</w:t>
      </w:r>
      <w:r w:rsidR="005D7C4E">
        <w:rPr>
          <w:szCs w:val="18"/>
        </w:rPr>
        <w:t xml:space="preserve"> verstrekt </w:t>
      </w:r>
      <w:r w:rsidR="00BB5019">
        <w:rPr>
          <w:szCs w:val="18"/>
        </w:rPr>
        <w:t xml:space="preserve">voor </w:t>
      </w:r>
      <w:r w:rsidR="005D7C4E">
        <w:rPr>
          <w:szCs w:val="18"/>
        </w:rPr>
        <w:t xml:space="preserve">de periode 2008 – medio 2013 voor de </w:t>
      </w:r>
      <w:r w:rsidR="00BB5019">
        <w:rPr>
          <w:szCs w:val="18"/>
        </w:rPr>
        <w:t xml:space="preserve">uitvoering </w:t>
      </w:r>
      <w:r w:rsidR="005D7C4E">
        <w:rPr>
          <w:szCs w:val="18"/>
        </w:rPr>
        <w:t xml:space="preserve">van extra activiteiten: </w:t>
      </w:r>
    </w:p>
    <w:p w:rsidRPr="00AC2FD4" w:rsidR="00AC2FD4" w:rsidP="003A2B18" w:rsidRDefault="00D42966">
      <w:pPr>
        <w:widowControl/>
        <w:numPr>
          <w:ilvl w:val="0"/>
          <w:numId w:val="29"/>
        </w:numPr>
        <w:suppressAutoHyphens w:val="0"/>
        <w:autoSpaceDN/>
        <w:ind w:left="284" w:hanging="284"/>
        <w:contextualSpacing/>
        <w:textAlignment w:val="auto"/>
        <w:rPr>
          <w:rFonts w:eastAsiaTheme="minorHAnsi" w:cstheme="minorBidi"/>
          <w:kern w:val="0"/>
          <w:szCs w:val="18"/>
          <w:lang w:eastAsia="en-US" w:bidi="ar-SA"/>
        </w:rPr>
      </w:pPr>
      <w:r>
        <w:rPr>
          <w:rFonts w:eastAsiaTheme="minorHAnsi" w:cstheme="minorBidi"/>
          <w:kern w:val="0"/>
          <w:szCs w:val="18"/>
          <w:lang w:eastAsia="en-US" w:bidi="ar-SA"/>
        </w:rPr>
        <w:t>ontwikkeling en uitvoering integrale</w:t>
      </w:r>
      <w:r w:rsidRPr="00AC2FD4" w:rsidR="00AC2FD4">
        <w:rPr>
          <w:rFonts w:eastAsiaTheme="minorHAnsi" w:cstheme="minorBidi"/>
          <w:kern w:val="0"/>
          <w:szCs w:val="18"/>
          <w:lang w:eastAsia="en-US" w:bidi="ar-SA"/>
        </w:rPr>
        <w:t xml:space="preserve"> risicomonitor kinderopvang (€ 0,5 miljoen)</w:t>
      </w:r>
    </w:p>
    <w:p w:rsidRPr="00AC2FD4" w:rsidR="00AC2FD4" w:rsidP="003A2B18" w:rsidRDefault="00AC2FD4">
      <w:pPr>
        <w:widowControl/>
        <w:numPr>
          <w:ilvl w:val="0"/>
          <w:numId w:val="29"/>
        </w:numPr>
        <w:suppressAutoHyphens w:val="0"/>
        <w:autoSpaceDN/>
        <w:ind w:left="284" w:hanging="284"/>
        <w:contextualSpacing/>
        <w:textAlignment w:val="auto"/>
        <w:rPr>
          <w:rFonts w:eastAsiaTheme="minorHAnsi" w:cstheme="minorBidi"/>
          <w:kern w:val="0"/>
          <w:szCs w:val="18"/>
          <w:lang w:eastAsia="en-US" w:bidi="ar-SA"/>
        </w:rPr>
      </w:pPr>
      <w:r w:rsidRPr="00AC2FD4">
        <w:rPr>
          <w:rFonts w:eastAsiaTheme="minorHAnsi" w:cstheme="minorBidi"/>
          <w:kern w:val="0"/>
          <w:szCs w:val="18"/>
          <w:lang w:eastAsia="en-US" w:bidi="ar-SA"/>
        </w:rPr>
        <w:t>valpreventie ouderen (implementatie van de ketenbenadering, verbeteren veiligheidsmanagement in zorginstellingen en bundeling good practices tbv veiligheid van ouderen op straat/in het verkeer, onderzoek naar de veiligheidsbeleving van zelfstandig wonende ouderen; totaal €1,1 miljoen)</w:t>
      </w:r>
    </w:p>
    <w:p w:rsidRPr="00AC2FD4" w:rsidR="00AC2FD4" w:rsidP="003A2B18" w:rsidRDefault="00AC2FD4">
      <w:pPr>
        <w:widowControl/>
        <w:numPr>
          <w:ilvl w:val="0"/>
          <w:numId w:val="29"/>
        </w:numPr>
        <w:suppressAutoHyphens w:val="0"/>
        <w:autoSpaceDN/>
        <w:ind w:left="284" w:hanging="284"/>
        <w:contextualSpacing/>
        <w:textAlignment w:val="auto"/>
        <w:rPr>
          <w:rFonts w:eastAsiaTheme="minorHAnsi" w:cstheme="minorBidi"/>
          <w:kern w:val="0"/>
          <w:szCs w:val="18"/>
          <w:lang w:eastAsia="en-US" w:bidi="ar-SA"/>
        </w:rPr>
      </w:pPr>
      <w:r w:rsidRPr="00AC2FD4">
        <w:rPr>
          <w:rFonts w:eastAsiaTheme="minorHAnsi" w:cstheme="minorBidi"/>
          <w:kern w:val="0"/>
          <w:szCs w:val="18"/>
          <w:lang w:eastAsia="en-US" w:bidi="ar-SA"/>
        </w:rPr>
        <w:t>ontwikkeling/aanpassing interventies (veiliger klussen in en rondom huis en het positief beïnvloeden van risicogedrag jongeren; totaal € 1,8 miljoen)</w:t>
      </w:r>
    </w:p>
    <w:p w:rsidRPr="00AC2FD4" w:rsidR="00AC2FD4" w:rsidP="003A2B18" w:rsidRDefault="00AC2FD4">
      <w:pPr>
        <w:widowControl/>
        <w:numPr>
          <w:ilvl w:val="0"/>
          <w:numId w:val="29"/>
        </w:numPr>
        <w:suppressAutoHyphens w:val="0"/>
        <w:autoSpaceDN/>
        <w:ind w:left="284" w:hanging="284"/>
        <w:contextualSpacing/>
        <w:textAlignment w:val="auto"/>
        <w:rPr>
          <w:rFonts w:eastAsiaTheme="minorHAnsi" w:cstheme="minorBidi"/>
          <w:kern w:val="0"/>
          <w:szCs w:val="18"/>
          <w:lang w:eastAsia="en-US" w:bidi="ar-SA"/>
        </w:rPr>
      </w:pPr>
      <w:r w:rsidRPr="00AC2FD4">
        <w:rPr>
          <w:rFonts w:eastAsiaTheme="minorHAnsi" w:cstheme="minorBidi"/>
          <w:kern w:val="0"/>
          <w:szCs w:val="18"/>
          <w:lang w:eastAsia="en-US" w:bidi="ar-SA"/>
        </w:rPr>
        <w:t xml:space="preserve">versterken kennisinfrastructuur (verbetering LIS, methodeontwikkeling voor kosten-baten- en effectiviteitanalyses, </w:t>
      </w:r>
      <w:r w:rsidR="00D42966">
        <w:rPr>
          <w:rFonts w:eastAsiaTheme="minorHAnsi" w:cstheme="minorBidi"/>
          <w:kern w:val="0"/>
          <w:szCs w:val="18"/>
          <w:lang w:eastAsia="en-US" w:bidi="ar-SA"/>
        </w:rPr>
        <w:t xml:space="preserve">internationale </w:t>
      </w:r>
      <w:r w:rsidRPr="00AC2FD4">
        <w:rPr>
          <w:rFonts w:eastAsiaTheme="minorHAnsi" w:cstheme="minorBidi"/>
          <w:kern w:val="0"/>
          <w:szCs w:val="18"/>
          <w:lang w:eastAsia="en-US" w:bidi="ar-SA"/>
        </w:rPr>
        <w:t xml:space="preserve">database </w:t>
      </w:r>
      <w:r w:rsidR="00D42966">
        <w:rPr>
          <w:rFonts w:eastAsiaTheme="minorHAnsi" w:cstheme="minorBidi"/>
          <w:kern w:val="0"/>
          <w:szCs w:val="18"/>
          <w:lang w:eastAsia="en-US" w:bidi="ar-SA"/>
        </w:rPr>
        <w:t xml:space="preserve">met </w:t>
      </w:r>
      <w:r w:rsidRPr="00AC2FD4">
        <w:rPr>
          <w:rFonts w:eastAsiaTheme="minorHAnsi" w:cstheme="minorBidi"/>
          <w:kern w:val="0"/>
          <w:szCs w:val="18"/>
          <w:lang w:eastAsia="en-US" w:bidi="ar-SA"/>
        </w:rPr>
        <w:t>effectieve interventies letselpreventie</w:t>
      </w:r>
      <w:r w:rsidR="00D42966">
        <w:rPr>
          <w:rFonts w:eastAsiaTheme="minorHAnsi" w:cstheme="minorBidi"/>
          <w:kern w:val="0"/>
          <w:szCs w:val="18"/>
          <w:lang w:eastAsia="en-US" w:bidi="ar-SA"/>
        </w:rPr>
        <w:t>, Europese samenwerking</w:t>
      </w:r>
      <w:r w:rsidRPr="00AC2FD4">
        <w:rPr>
          <w:rFonts w:eastAsiaTheme="minorHAnsi" w:cstheme="minorBidi"/>
          <w:kern w:val="0"/>
          <w:szCs w:val="18"/>
          <w:lang w:eastAsia="en-US" w:bidi="ar-SA"/>
        </w:rPr>
        <w:t>; totaal € 2,4 miljoen)</w:t>
      </w:r>
    </w:p>
    <w:p w:rsidRPr="00AC2FD4" w:rsidR="00AC2FD4" w:rsidP="003A2B18" w:rsidRDefault="00AC2FD4">
      <w:pPr>
        <w:widowControl/>
        <w:numPr>
          <w:ilvl w:val="0"/>
          <w:numId w:val="29"/>
        </w:numPr>
        <w:suppressAutoHyphens w:val="0"/>
        <w:autoSpaceDN/>
        <w:ind w:left="284" w:hanging="284"/>
        <w:contextualSpacing/>
        <w:textAlignment w:val="auto"/>
        <w:rPr>
          <w:rFonts w:eastAsiaTheme="minorHAnsi" w:cstheme="minorBidi"/>
          <w:kern w:val="0"/>
          <w:szCs w:val="18"/>
          <w:lang w:eastAsia="en-US" w:bidi="ar-SA"/>
        </w:rPr>
      </w:pPr>
      <w:r w:rsidRPr="00AC2FD4">
        <w:rPr>
          <w:rFonts w:eastAsiaTheme="minorHAnsi" w:cstheme="minorBidi"/>
          <w:kern w:val="0"/>
          <w:szCs w:val="18"/>
          <w:lang w:eastAsia="en-US" w:bidi="ar-SA"/>
        </w:rPr>
        <w:t>beantwoording van kennisvragen van de NVWA (productveiligheid, € 0,2 miljoen)</w:t>
      </w:r>
    </w:p>
    <w:p w:rsidR="00AC2FD4" w:rsidP="0016573E" w:rsidRDefault="000C3369">
      <w:pPr>
        <w:rPr>
          <w:szCs w:val="18"/>
        </w:rPr>
      </w:pPr>
      <w:r>
        <w:rPr>
          <w:szCs w:val="18"/>
        </w:rPr>
        <w:t>De dataverzameling door middel van de bevolkingsenquête Ongevallen en Bewegen in Nederland (OBiN) wordt vierjaarlijks aanbesteed.</w:t>
      </w:r>
    </w:p>
    <w:p w:rsidR="0079150D" w:rsidP="0016573E" w:rsidRDefault="0079150D">
      <w:pPr>
        <w:rPr>
          <w:szCs w:val="18"/>
        </w:rPr>
      </w:pPr>
    </w:p>
    <w:p w:rsidR="00E67E4D" w:rsidP="0016573E" w:rsidRDefault="00E67E4D">
      <w:pPr>
        <w:rPr>
          <w:szCs w:val="18"/>
        </w:rPr>
      </w:pPr>
      <w:r>
        <w:rPr>
          <w:szCs w:val="18"/>
        </w:rPr>
        <w:t>De middelen voor suïcidepreventie zijn geïntensiveerd over de afgelopen periode, van € 470.000 in 2008 naar € 1,08 miljoen in 2012.</w:t>
      </w:r>
    </w:p>
    <w:p w:rsidR="00E67E4D" w:rsidP="0016573E" w:rsidRDefault="00E67E4D">
      <w:pPr>
        <w:rPr>
          <w:szCs w:val="18"/>
        </w:rPr>
      </w:pPr>
    </w:p>
    <w:p w:rsidR="0079150D" w:rsidP="0016573E" w:rsidRDefault="0079150D">
      <w:r>
        <w:t xml:space="preserve">Daarnaast is met financiering van ZonMw ongeveer € 3,3 miljoen besteed aan </w:t>
      </w:r>
      <w:r w:rsidR="00346A69">
        <w:t>onder andere aan het speerpunt</w:t>
      </w:r>
      <w:r>
        <w:t xml:space="preserve"> valpreventie bij senioren</w:t>
      </w:r>
      <w:r w:rsidR="0082212C">
        <w:t xml:space="preserve">. Dit vond plaats binnen </w:t>
      </w:r>
      <w:r w:rsidR="00267D9A">
        <w:t>het</w:t>
      </w:r>
      <w:r w:rsidR="0082212C">
        <w:t xml:space="preserve"> programma</w:t>
      </w:r>
      <w:r>
        <w:t xml:space="preserve"> Preventiekracht thuiszorg </w:t>
      </w:r>
      <w:r w:rsidR="00267D9A">
        <w:t xml:space="preserve">(later: </w:t>
      </w:r>
      <w:r>
        <w:t>PreventieKracht dicht bij huis</w:t>
      </w:r>
      <w:r w:rsidR="00267D9A">
        <w:t>)</w:t>
      </w:r>
      <w:r>
        <w:t>, uitgevoerd via met name thuiszorgorganisaties en GGD’en.</w:t>
      </w:r>
    </w:p>
    <w:p w:rsidR="0079150D" w:rsidP="0016573E" w:rsidRDefault="0079150D">
      <w:r>
        <w:t>Verder heeft ZonM</w:t>
      </w:r>
      <w:r w:rsidR="00AF1843">
        <w:t>w</w:t>
      </w:r>
      <w:r>
        <w:t xml:space="preserve"> in de beleidsperiode diverse onderzoeksprojecten (waaronder effectonderzoeken en evaluatiestudies) binnen uiteenlopende programma’s gefinancierd. In totaal betrof het een bedrag ongeveer € 1,6 miljoen.</w:t>
      </w:r>
    </w:p>
    <w:p w:rsidR="009B28E4" w:rsidP="0016573E" w:rsidRDefault="009B28E4">
      <w:r>
        <w:rPr>
          <w:szCs w:val="18"/>
        </w:rPr>
        <w:t xml:space="preserve">Tenslotte </w:t>
      </w:r>
      <w:r w:rsidR="00AF1843">
        <w:rPr>
          <w:szCs w:val="18"/>
        </w:rPr>
        <w:t>is via</w:t>
      </w:r>
      <w:r>
        <w:rPr>
          <w:szCs w:val="18"/>
        </w:rPr>
        <w:t xml:space="preserve"> ZonMw voor € 7 miljoen aan campagnes over letselpreventie gefinancierd.</w:t>
      </w:r>
    </w:p>
    <w:p w:rsidR="0079150D" w:rsidP="0016573E" w:rsidRDefault="0079150D">
      <w:pPr>
        <w:rPr>
          <w:rFonts w:cs="Verdana"/>
          <w:color w:val="000000"/>
          <w:kern w:val="0"/>
          <w:sz w:val="19"/>
          <w:szCs w:val="19"/>
          <w:lang w:bidi="ar-SA"/>
        </w:rPr>
      </w:pPr>
    </w:p>
    <w:p w:rsidR="0079150D" w:rsidP="0016573E" w:rsidRDefault="0079150D">
      <w:pPr>
        <w:rPr>
          <w:rFonts w:cs="Verdana"/>
          <w:color w:val="000000"/>
          <w:kern w:val="0"/>
          <w:sz w:val="19"/>
          <w:szCs w:val="19"/>
          <w:lang w:bidi="ar-SA"/>
        </w:rPr>
      </w:pPr>
      <w:r>
        <w:rPr>
          <w:rFonts w:cs="Verdana"/>
          <w:color w:val="000000"/>
          <w:kern w:val="0"/>
          <w:sz w:val="19"/>
          <w:szCs w:val="19"/>
          <w:lang w:bidi="ar-SA"/>
        </w:rPr>
        <w:t xml:space="preserve">Het </w:t>
      </w:r>
      <w:r w:rsidR="00513C02">
        <w:rPr>
          <w:rFonts w:cs="Verdana"/>
          <w:color w:val="000000"/>
          <w:kern w:val="0"/>
          <w:sz w:val="19"/>
          <w:szCs w:val="19"/>
          <w:lang w:bidi="ar-SA"/>
        </w:rPr>
        <w:t xml:space="preserve">is niet mogelijk om de opdracht aan het </w:t>
      </w:r>
      <w:r>
        <w:rPr>
          <w:rFonts w:cs="Verdana"/>
          <w:color w:val="000000"/>
          <w:kern w:val="0"/>
          <w:sz w:val="19"/>
          <w:szCs w:val="19"/>
          <w:lang w:bidi="ar-SA"/>
        </w:rPr>
        <w:t>CGL (RIVM)</w:t>
      </w:r>
      <w:r w:rsidR="00513C02">
        <w:rPr>
          <w:rFonts w:cs="Verdana"/>
          <w:color w:val="000000"/>
          <w:kern w:val="0"/>
          <w:sz w:val="19"/>
          <w:szCs w:val="19"/>
          <w:lang w:bidi="ar-SA"/>
        </w:rPr>
        <w:t>,</w:t>
      </w:r>
      <w:r>
        <w:rPr>
          <w:rFonts w:cs="Verdana"/>
          <w:color w:val="000000"/>
          <w:kern w:val="0"/>
          <w:sz w:val="19"/>
          <w:szCs w:val="19"/>
          <w:lang w:bidi="ar-SA"/>
        </w:rPr>
        <w:t xml:space="preserve"> gericht op alle thema’s vallend onder leefstijl, </w:t>
      </w:r>
      <w:r w:rsidR="00513C02">
        <w:rPr>
          <w:rFonts w:cs="Verdana"/>
          <w:color w:val="000000"/>
          <w:kern w:val="0"/>
          <w:sz w:val="19"/>
          <w:szCs w:val="19"/>
          <w:lang w:bidi="ar-SA"/>
        </w:rPr>
        <w:t xml:space="preserve">uiteen te rafelen naar </w:t>
      </w:r>
      <w:r>
        <w:rPr>
          <w:rFonts w:cs="Verdana"/>
          <w:color w:val="000000"/>
          <w:kern w:val="0"/>
          <w:sz w:val="19"/>
          <w:szCs w:val="19"/>
          <w:lang w:bidi="ar-SA"/>
        </w:rPr>
        <w:t>letselpreventie</w:t>
      </w:r>
      <w:r w:rsidR="00AF1843">
        <w:rPr>
          <w:rFonts w:cs="Verdana"/>
          <w:color w:val="000000"/>
          <w:kern w:val="0"/>
          <w:sz w:val="19"/>
          <w:szCs w:val="19"/>
          <w:lang w:bidi="ar-SA"/>
        </w:rPr>
        <w:t>.</w:t>
      </w:r>
      <w:r w:rsidR="00513C02">
        <w:rPr>
          <w:rFonts w:cs="Verdana"/>
          <w:color w:val="000000"/>
          <w:kern w:val="0"/>
          <w:sz w:val="19"/>
          <w:szCs w:val="19"/>
          <w:lang w:bidi="ar-SA"/>
        </w:rPr>
        <w:t xml:space="preserve"> </w:t>
      </w:r>
      <w:r w:rsidR="00AF1843">
        <w:rPr>
          <w:rFonts w:cs="Verdana"/>
          <w:color w:val="000000"/>
          <w:kern w:val="0"/>
          <w:sz w:val="19"/>
          <w:szCs w:val="19"/>
          <w:lang w:bidi="ar-SA"/>
        </w:rPr>
        <w:t xml:space="preserve">Daarom </w:t>
      </w:r>
      <w:r w:rsidR="00513C02">
        <w:rPr>
          <w:rFonts w:cs="Verdana"/>
          <w:color w:val="000000"/>
          <w:kern w:val="0"/>
          <w:sz w:val="19"/>
          <w:szCs w:val="19"/>
          <w:lang w:bidi="ar-SA"/>
        </w:rPr>
        <w:t xml:space="preserve">worden </w:t>
      </w:r>
      <w:r w:rsidR="00AF1843">
        <w:rPr>
          <w:rFonts w:cs="Verdana"/>
          <w:color w:val="000000"/>
          <w:kern w:val="0"/>
          <w:sz w:val="19"/>
          <w:szCs w:val="19"/>
          <w:lang w:bidi="ar-SA"/>
        </w:rPr>
        <w:t xml:space="preserve">hier geen </w:t>
      </w:r>
      <w:r w:rsidR="00513C02">
        <w:rPr>
          <w:rFonts w:cs="Verdana"/>
          <w:color w:val="000000"/>
          <w:kern w:val="0"/>
          <w:sz w:val="19"/>
          <w:szCs w:val="19"/>
          <w:lang w:bidi="ar-SA"/>
        </w:rPr>
        <w:t>bedragen genoemd.</w:t>
      </w:r>
    </w:p>
    <w:p w:rsidR="00B34D66" w:rsidP="0016573E" w:rsidRDefault="00B34D66">
      <w:pPr>
        <w:rPr>
          <w:rFonts w:cs="Verdana"/>
          <w:color w:val="000000"/>
          <w:kern w:val="0"/>
          <w:sz w:val="19"/>
          <w:szCs w:val="19"/>
          <w:lang w:bidi="ar-SA"/>
        </w:rPr>
      </w:pPr>
    </w:p>
    <w:p w:rsidR="00364147" w:rsidP="0016573E" w:rsidRDefault="00B34D66">
      <w:r>
        <w:rPr>
          <w:rFonts w:cs="Verdana"/>
          <w:color w:val="000000"/>
          <w:kern w:val="0"/>
          <w:sz w:val="19"/>
          <w:szCs w:val="19"/>
          <w:lang w:bidi="ar-SA"/>
        </w:rPr>
        <w:t>De coördinerende rol wordt door VWS zelf uitgevoerd. Hiervoor is 1 fte beschikbaar, waarmee ingezet wordt op zowel de beleidsontwikkeling en coördinatie van de beleidsuitvoering als de afstemming en samenwerking met collega’s binnen VWS, interdepartementaal en internationale fora.</w:t>
      </w:r>
      <w:r w:rsidR="0079150D">
        <w:t xml:space="preserve"> </w:t>
      </w:r>
    </w:p>
    <w:p w:rsidR="00364147" w:rsidP="0016573E" w:rsidRDefault="00364147"/>
    <w:p w:rsidR="0079150D" w:rsidP="0016573E" w:rsidRDefault="00364147">
      <w:pPr>
        <w:rPr>
          <w:szCs w:val="18"/>
        </w:rPr>
      </w:pPr>
      <w:r>
        <w:rPr>
          <w:szCs w:val="18"/>
        </w:rPr>
        <w:t xml:space="preserve">De jaarlijkse uitgaven (tussen </w:t>
      </w:r>
      <w:r w:rsidR="00593FB5">
        <w:rPr>
          <w:szCs w:val="18"/>
        </w:rPr>
        <w:t>8</w:t>
      </w:r>
      <w:r>
        <w:rPr>
          <w:szCs w:val="18"/>
        </w:rPr>
        <w:t>-</w:t>
      </w:r>
      <w:r w:rsidR="00593FB5">
        <w:rPr>
          <w:szCs w:val="18"/>
        </w:rPr>
        <w:t>9</w:t>
      </w:r>
      <w:r>
        <w:rPr>
          <w:szCs w:val="18"/>
        </w:rPr>
        <w:t xml:space="preserve"> miljoen euro, inclusief ZonMw) ten behoeve van de operationele doelstelling bedragen ongeveer 0,2</w:t>
      </w:r>
      <w:r w:rsidR="00593FB5">
        <w:rPr>
          <w:szCs w:val="18"/>
        </w:rPr>
        <w:t>5</w:t>
      </w:r>
      <w:r>
        <w:rPr>
          <w:szCs w:val="18"/>
        </w:rPr>
        <w:t xml:space="preserve">% van de jaarlijkse zorgkosten voor privéongevallen, sportblessures en (pogingen tot) suïcide (ongeveer 3,8 miljard euro). </w:t>
      </w:r>
    </w:p>
    <w:p w:rsidR="00364147" w:rsidP="0016573E" w:rsidRDefault="00364147">
      <w:pPr>
        <w:rPr>
          <w:szCs w:val="18"/>
        </w:rPr>
      </w:pPr>
    </w:p>
    <w:p w:rsidR="006028CF" w:rsidP="0016573E" w:rsidRDefault="006028CF">
      <w:pPr>
        <w:spacing w:line="240" w:lineRule="auto"/>
        <w:rPr>
          <w:b/>
          <w:szCs w:val="18"/>
        </w:rPr>
      </w:pPr>
    </w:p>
    <w:p w:rsidRPr="00F024E3" w:rsidR="00F024E3" w:rsidP="0016573E" w:rsidRDefault="00F024E3">
      <w:pPr>
        <w:rPr>
          <w:b/>
          <w:szCs w:val="18"/>
        </w:rPr>
      </w:pPr>
      <w:r w:rsidRPr="00F024E3">
        <w:rPr>
          <w:b/>
          <w:szCs w:val="18"/>
        </w:rPr>
        <w:t xml:space="preserve">Tabel </w:t>
      </w:r>
      <w:r>
        <w:rPr>
          <w:b/>
          <w:szCs w:val="18"/>
        </w:rPr>
        <w:t>3</w:t>
      </w:r>
      <w:r w:rsidRPr="00F024E3">
        <w:rPr>
          <w:b/>
          <w:szCs w:val="18"/>
        </w:rPr>
        <w:t xml:space="preserve"> Financiën operationele doelstelling periode 2008 – 2012</w:t>
      </w:r>
    </w:p>
    <w:p w:rsidRPr="00062A8F" w:rsidR="00F024E3" w:rsidP="0016573E" w:rsidRDefault="00F024E3">
      <w:pPr>
        <w:rPr>
          <w:sz w:val="16"/>
          <w:szCs w:val="16"/>
        </w:rPr>
      </w:pPr>
    </w:p>
    <w:tbl>
      <w:tblPr>
        <w:tblStyle w:val="Tabelraster"/>
        <w:tblW w:w="8635" w:type="dxa"/>
        <w:tblInd w:w="-34" w:type="dxa"/>
        <w:tblLook w:val="04A0"/>
      </w:tblPr>
      <w:tblGrid>
        <w:gridCol w:w="2510"/>
        <w:gridCol w:w="1190"/>
        <w:gridCol w:w="1236"/>
        <w:gridCol w:w="1190"/>
        <w:gridCol w:w="1190"/>
        <w:gridCol w:w="1319"/>
      </w:tblGrid>
      <w:tr w:rsidRPr="00062A8F" w:rsidR="00AC2FD4" w:rsidTr="003A2B18">
        <w:tc>
          <w:tcPr>
            <w:tcW w:w="2510" w:type="dxa"/>
          </w:tcPr>
          <w:p w:rsidRPr="00062A8F" w:rsidR="00AC2FD4" w:rsidP="0016573E" w:rsidRDefault="0079150D">
            <w:pPr>
              <w:rPr>
                <w:b/>
                <w:sz w:val="16"/>
                <w:szCs w:val="16"/>
              </w:rPr>
            </w:pPr>
            <w:r w:rsidRPr="00062A8F">
              <w:rPr>
                <w:b/>
                <w:sz w:val="16"/>
                <w:szCs w:val="16"/>
              </w:rPr>
              <w:t>Bedragen in euro’s</w:t>
            </w:r>
          </w:p>
        </w:tc>
        <w:tc>
          <w:tcPr>
            <w:tcW w:w="1190" w:type="dxa"/>
          </w:tcPr>
          <w:p w:rsidRPr="00062A8F" w:rsidR="00AC2FD4" w:rsidP="0016573E" w:rsidRDefault="00AC2FD4">
            <w:pPr>
              <w:jc w:val="center"/>
              <w:rPr>
                <w:b/>
                <w:sz w:val="16"/>
                <w:szCs w:val="16"/>
              </w:rPr>
            </w:pPr>
            <w:r w:rsidRPr="00062A8F">
              <w:rPr>
                <w:b/>
                <w:sz w:val="16"/>
                <w:szCs w:val="16"/>
              </w:rPr>
              <w:t>2008</w:t>
            </w:r>
          </w:p>
        </w:tc>
        <w:tc>
          <w:tcPr>
            <w:tcW w:w="1236" w:type="dxa"/>
          </w:tcPr>
          <w:p w:rsidRPr="00062A8F" w:rsidR="00AC2FD4" w:rsidP="0016573E" w:rsidRDefault="00AC2FD4">
            <w:pPr>
              <w:jc w:val="center"/>
              <w:rPr>
                <w:b/>
                <w:sz w:val="16"/>
                <w:szCs w:val="16"/>
              </w:rPr>
            </w:pPr>
            <w:r w:rsidRPr="00062A8F">
              <w:rPr>
                <w:b/>
                <w:sz w:val="16"/>
                <w:szCs w:val="16"/>
              </w:rPr>
              <w:t>2009</w:t>
            </w:r>
          </w:p>
        </w:tc>
        <w:tc>
          <w:tcPr>
            <w:tcW w:w="1190" w:type="dxa"/>
          </w:tcPr>
          <w:p w:rsidRPr="00062A8F" w:rsidR="00AC2FD4" w:rsidP="0016573E" w:rsidRDefault="00AC2FD4">
            <w:pPr>
              <w:jc w:val="center"/>
              <w:rPr>
                <w:b/>
                <w:sz w:val="16"/>
                <w:szCs w:val="16"/>
              </w:rPr>
            </w:pPr>
            <w:r w:rsidRPr="00062A8F">
              <w:rPr>
                <w:b/>
                <w:sz w:val="16"/>
                <w:szCs w:val="16"/>
              </w:rPr>
              <w:t>2010</w:t>
            </w:r>
          </w:p>
        </w:tc>
        <w:tc>
          <w:tcPr>
            <w:tcW w:w="1190" w:type="dxa"/>
          </w:tcPr>
          <w:p w:rsidRPr="00062A8F" w:rsidR="00AC2FD4" w:rsidP="0016573E" w:rsidRDefault="00AC2FD4">
            <w:pPr>
              <w:jc w:val="center"/>
              <w:rPr>
                <w:b/>
                <w:sz w:val="16"/>
                <w:szCs w:val="16"/>
              </w:rPr>
            </w:pPr>
            <w:r w:rsidRPr="00062A8F">
              <w:rPr>
                <w:b/>
                <w:sz w:val="16"/>
                <w:szCs w:val="16"/>
              </w:rPr>
              <w:t>2011</w:t>
            </w:r>
          </w:p>
        </w:tc>
        <w:tc>
          <w:tcPr>
            <w:tcW w:w="1319" w:type="dxa"/>
          </w:tcPr>
          <w:p w:rsidRPr="00062A8F" w:rsidR="00AC2FD4" w:rsidP="0016573E" w:rsidRDefault="00AC2FD4">
            <w:pPr>
              <w:jc w:val="center"/>
              <w:rPr>
                <w:b/>
                <w:sz w:val="16"/>
                <w:szCs w:val="16"/>
              </w:rPr>
            </w:pPr>
            <w:r w:rsidRPr="00062A8F">
              <w:rPr>
                <w:b/>
                <w:sz w:val="16"/>
                <w:szCs w:val="16"/>
              </w:rPr>
              <w:t>2012</w:t>
            </w:r>
          </w:p>
        </w:tc>
      </w:tr>
      <w:tr w:rsidRPr="00062A8F" w:rsidR="00AC2FD4" w:rsidTr="003A2B18">
        <w:tc>
          <w:tcPr>
            <w:tcW w:w="2510" w:type="dxa"/>
          </w:tcPr>
          <w:p w:rsidRPr="00062A8F" w:rsidR="00AC2FD4" w:rsidP="0016573E" w:rsidRDefault="00AC2FD4">
            <w:pPr>
              <w:rPr>
                <w:b/>
                <w:sz w:val="16"/>
                <w:szCs w:val="16"/>
              </w:rPr>
            </w:pPr>
          </w:p>
          <w:p w:rsidRPr="00062A8F" w:rsidR="00AC2FD4" w:rsidP="0016573E" w:rsidRDefault="00AC2FD4">
            <w:pPr>
              <w:rPr>
                <w:b/>
                <w:sz w:val="16"/>
                <w:szCs w:val="16"/>
              </w:rPr>
            </w:pPr>
            <w:r w:rsidRPr="00062A8F">
              <w:rPr>
                <w:b/>
                <w:sz w:val="16"/>
                <w:szCs w:val="16"/>
              </w:rPr>
              <w:t xml:space="preserve">Instellingsubsidie </w:t>
            </w:r>
            <w:r w:rsidRPr="00062A8F" w:rsidR="00DE0F88">
              <w:rPr>
                <w:b/>
                <w:sz w:val="16"/>
                <w:szCs w:val="16"/>
              </w:rPr>
              <w:t>VeiligheidNL</w:t>
            </w:r>
          </w:p>
          <w:p w:rsidRPr="00062A8F" w:rsidR="00AC2FD4" w:rsidP="0016573E" w:rsidRDefault="00AC2FD4">
            <w:pPr>
              <w:pStyle w:val="Lijstalinea"/>
              <w:numPr>
                <w:ilvl w:val="0"/>
                <w:numId w:val="29"/>
              </w:numPr>
              <w:spacing w:after="0" w:line="240" w:lineRule="auto"/>
              <w:ind w:left="0" w:hanging="175"/>
              <w:rPr>
                <w:rFonts w:ascii="Verdana" w:hAnsi="Verdana"/>
                <w:sz w:val="16"/>
                <w:szCs w:val="16"/>
              </w:rPr>
            </w:pPr>
            <w:r w:rsidRPr="00062A8F">
              <w:rPr>
                <w:rFonts w:ascii="Verdana" w:hAnsi="Verdana"/>
                <w:sz w:val="16"/>
                <w:szCs w:val="16"/>
              </w:rPr>
              <w:t>Registratie en monitoring</w:t>
            </w:r>
          </w:p>
          <w:p w:rsidRPr="00062A8F" w:rsidR="00AC2FD4" w:rsidP="0016573E" w:rsidRDefault="00AC2FD4">
            <w:pPr>
              <w:pStyle w:val="Lijstalinea"/>
              <w:numPr>
                <w:ilvl w:val="0"/>
                <w:numId w:val="29"/>
              </w:numPr>
              <w:spacing w:after="0" w:line="240" w:lineRule="auto"/>
              <w:ind w:left="0" w:hanging="175"/>
              <w:rPr>
                <w:rFonts w:ascii="Verdana" w:hAnsi="Verdana"/>
                <w:sz w:val="16"/>
                <w:szCs w:val="16"/>
              </w:rPr>
            </w:pPr>
            <w:r w:rsidRPr="00062A8F">
              <w:rPr>
                <w:rFonts w:ascii="Verdana" w:hAnsi="Verdana"/>
                <w:sz w:val="16"/>
                <w:szCs w:val="16"/>
              </w:rPr>
              <w:t>Bevorderen veilig gedrag</w:t>
            </w:r>
          </w:p>
          <w:p w:rsidRPr="00062A8F" w:rsidR="00AC2FD4" w:rsidP="0016573E" w:rsidRDefault="00AC2FD4">
            <w:pPr>
              <w:rPr>
                <w:sz w:val="16"/>
                <w:szCs w:val="16"/>
              </w:rPr>
            </w:pPr>
          </w:p>
        </w:tc>
        <w:tc>
          <w:tcPr>
            <w:tcW w:w="1190" w:type="dxa"/>
          </w:tcPr>
          <w:p w:rsidRPr="00062A8F" w:rsidR="00AC2FD4" w:rsidP="0016573E" w:rsidRDefault="00AC2FD4">
            <w:pPr>
              <w:jc w:val="right"/>
              <w:rPr>
                <w:sz w:val="16"/>
                <w:szCs w:val="16"/>
              </w:rPr>
            </w:pPr>
          </w:p>
          <w:p w:rsidRPr="00062A8F" w:rsidR="00AC2FD4" w:rsidP="0016573E" w:rsidRDefault="00AC2FD4">
            <w:pPr>
              <w:jc w:val="right"/>
              <w:rPr>
                <w:sz w:val="16"/>
                <w:szCs w:val="16"/>
              </w:rPr>
            </w:pPr>
            <w:r w:rsidRPr="00062A8F">
              <w:rPr>
                <w:sz w:val="16"/>
                <w:szCs w:val="16"/>
              </w:rPr>
              <w:t>3.254.280</w:t>
            </w:r>
          </w:p>
          <w:p w:rsidRPr="00062A8F" w:rsidR="00472B17" w:rsidP="0016573E" w:rsidRDefault="00472B17">
            <w:pPr>
              <w:jc w:val="right"/>
              <w:rPr>
                <w:sz w:val="16"/>
                <w:szCs w:val="16"/>
              </w:rPr>
            </w:pPr>
          </w:p>
          <w:p w:rsidRPr="00062A8F" w:rsidR="00AC2FD4" w:rsidP="0016573E" w:rsidRDefault="00AC2FD4">
            <w:pPr>
              <w:jc w:val="right"/>
              <w:rPr>
                <w:sz w:val="16"/>
                <w:szCs w:val="16"/>
              </w:rPr>
            </w:pPr>
            <w:r w:rsidRPr="00062A8F">
              <w:rPr>
                <w:sz w:val="16"/>
                <w:szCs w:val="16"/>
              </w:rPr>
              <w:t>(463.391)</w:t>
            </w:r>
          </w:p>
          <w:p w:rsidRPr="00062A8F" w:rsidR="00AC2FD4" w:rsidP="0016573E" w:rsidRDefault="00AC2FD4">
            <w:pPr>
              <w:jc w:val="right"/>
              <w:rPr>
                <w:sz w:val="16"/>
                <w:szCs w:val="16"/>
              </w:rPr>
            </w:pPr>
            <w:r w:rsidRPr="00062A8F">
              <w:rPr>
                <w:sz w:val="16"/>
                <w:szCs w:val="16"/>
              </w:rPr>
              <w:t>(2.790.889</w:t>
            </w:r>
            <w:r w:rsidRPr="00062A8F" w:rsidR="00BD0990">
              <w:rPr>
                <w:sz w:val="16"/>
                <w:szCs w:val="16"/>
              </w:rPr>
              <w:t>)</w:t>
            </w:r>
            <w:r w:rsidRPr="00062A8F">
              <w:rPr>
                <w:sz w:val="16"/>
                <w:szCs w:val="16"/>
              </w:rPr>
              <w:t xml:space="preserve"> </w:t>
            </w:r>
          </w:p>
        </w:tc>
        <w:tc>
          <w:tcPr>
            <w:tcW w:w="1236" w:type="dxa"/>
          </w:tcPr>
          <w:p w:rsidRPr="00062A8F" w:rsidR="00AC2FD4" w:rsidP="0016573E" w:rsidRDefault="00AC2FD4">
            <w:pPr>
              <w:jc w:val="right"/>
              <w:rPr>
                <w:sz w:val="16"/>
                <w:szCs w:val="16"/>
              </w:rPr>
            </w:pPr>
          </w:p>
          <w:p w:rsidRPr="00062A8F" w:rsidR="00AC2FD4" w:rsidP="0016573E" w:rsidRDefault="00AC2FD4">
            <w:pPr>
              <w:jc w:val="right"/>
              <w:rPr>
                <w:sz w:val="16"/>
                <w:szCs w:val="16"/>
              </w:rPr>
            </w:pPr>
            <w:r w:rsidRPr="00062A8F">
              <w:rPr>
                <w:sz w:val="16"/>
                <w:szCs w:val="16"/>
              </w:rPr>
              <w:t>4.092.597</w:t>
            </w:r>
          </w:p>
          <w:p w:rsidRPr="00062A8F" w:rsidR="00472B17" w:rsidP="0016573E" w:rsidRDefault="00472B17">
            <w:pPr>
              <w:jc w:val="right"/>
              <w:rPr>
                <w:sz w:val="16"/>
                <w:szCs w:val="16"/>
              </w:rPr>
            </w:pPr>
          </w:p>
          <w:p w:rsidRPr="00062A8F" w:rsidR="00AC2FD4" w:rsidP="0016573E" w:rsidRDefault="00AC2FD4">
            <w:pPr>
              <w:jc w:val="right"/>
              <w:rPr>
                <w:sz w:val="16"/>
                <w:szCs w:val="16"/>
              </w:rPr>
            </w:pPr>
            <w:r w:rsidRPr="00062A8F">
              <w:rPr>
                <w:sz w:val="16"/>
                <w:szCs w:val="16"/>
              </w:rPr>
              <w:t>(1.318.121)</w:t>
            </w:r>
          </w:p>
          <w:p w:rsidRPr="00062A8F" w:rsidR="00AC2FD4" w:rsidP="0016573E" w:rsidRDefault="00AC2FD4">
            <w:pPr>
              <w:jc w:val="right"/>
              <w:rPr>
                <w:sz w:val="16"/>
                <w:szCs w:val="16"/>
              </w:rPr>
            </w:pPr>
            <w:r w:rsidRPr="00062A8F">
              <w:rPr>
                <w:sz w:val="16"/>
                <w:szCs w:val="16"/>
              </w:rPr>
              <w:t>(2.774.476)</w:t>
            </w:r>
          </w:p>
        </w:tc>
        <w:tc>
          <w:tcPr>
            <w:tcW w:w="1190" w:type="dxa"/>
          </w:tcPr>
          <w:p w:rsidRPr="00062A8F" w:rsidR="00AC2FD4" w:rsidP="0016573E" w:rsidRDefault="00AC2FD4">
            <w:pPr>
              <w:jc w:val="right"/>
              <w:rPr>
                <w:sz w:val="16"/>
                <w:szCs w:val="16"/>
              </w:rPr>
            </w:pPr>
          </w:p>
          <w:p w:rsidRPr="00062A8F" w:rsidR="00AC2FD4" w:rsidP="0016573E" w:rsidRDefault="00AC2FD4">
            <w:pPr>
              <w:jc w:val="right"/>
              <w:rPr>
                <w:sz w:val="16"/>
                <w:szCs w:val="16"/>
              </w:rPr>
            </w:pPr>
            <w:r w:rsidRPr="00062A8F">
              <w:rPr>
                <w:sz w:val="16"/>
                <w:szCs w:val="16"/>
              </w:rPr>
              <w:t>4.195.540</w:t>
            </w:r>
          </w:p>
          <w:p w:rsidRPr="00062A8F" w:rsidR="00472B17" w:rsidP="0016573E" w:rsidRDefault="00472B17">
            <w:pPr>
              <w:jc w:val="right"/>
              <w:rPr>
                <w:sz w:val="16"/>
                <w:szCs w:val="16"/>
              </w:rPr>
            </w:pPr>
          </w:p>
          <w:p w:rsidRPr="00062A8F" w:rsidR="00AC2FD4" w:rsidP="0016573E" w:rsidRDefault="00AC2FD4">
            <w:pPr>
              <w:jc w:val="right"/>
              <w:rPr>
                <w:sz w:val="16"/>
                <w:szCs w:val="16"/>
              </w:rPr>
            </w:pPr>
            <w:r w:rsidRPr="00062A8F">
              <w:rPr>
                <w:sz w:val="16"/>
                <w:szCs w:val="16"/>
              </w:rPr>
              <w:t>(1.377.650)</w:t>
            </w:r>
          </w:p>
          <w:p w:rsidRPr="00062A8F" w:rsidR="00AC2FD4" w:rsidP="0016573E" w:rsidRDefault="00AC2FD4">
            <w:pPr>
              <w:jc w:val="right"/>
              <w:rPr>
                <w:sz w:val="16"/>
                <w:szCs w:val="16"/>
              </w:rPr>
            </w:pPr>
            <w:r w:rsidRPr="00062A8F">
              <w:rPr>
                <w:sz w:val="16"/>
                <w:szCs w:val="16"/>
              </w:rPr>
              <w:t>(2.817.890)</w:t>
            </w:r>
          </w:p>
        </w:tc>
        <w:tc>
          <w:tcPr>
            <w:tcW w:w="1190" w:type="dxa"/>
          </w:tcPr>
          <w:p w:rsidRPr="00062A8F" w:rsidR="00AC2FD4" w:rsidP="0016573E" w:rsidRDefault="00AC2FD4">
            <w:pPr>
              <w:jc w:val="right"/>
              <w:rPr>
                <w:sz w:val="16"/>
                <w:szCs w:val="16"/>
              </w:rPr>
            </w:pPr>
          </w:p>
          <w:p w:rsidRPr="00062A8F" w:rsidR="00AC2FD4" w:rsidP="0016573E" w:rsidRDefault="00AC2FD4">
            <w:pPr>
              <w:jc w:val="right"/>
              <w:rPr>
                <w:sz w:val="16"/>
                <w:szCs w:val="16"/>
              </w:rPr>
            </w:pPr>
            <w:r w:rsidRPr="00062A8F">
              <w:rPr>
                <w:sz w:val="16"/>
                <w:szCs w:val="16"/>
              </w:rPr>
              <w:t>4.132.558</w:t>
            </w:r>
          </w:p>
          <w:p w:rsidRPr="00062A8F" w:rsidR="00472B17" w:rsidP="0016573E" w:rsidRDefault="00472B17">
            <w:pPr>
              <w:jc w:val="right"/>
              <w:rPr>
                <w:sz w:val="16"/>
                <w:szCs w:val="16"/>
              </w:rPr>
            </w:pPr>
          </w:p>
          <w:p w:rsidRPr="00062A8F" w:rsidR="00AC2FD4" w:rsidP="0016573E" w:rsidRDefault="00AC2FD4">
            <w:pPr>
              <w:jc w:val="right"/>
              <w:rPr>
                <w:sz w:val="16"/>
                <w:szCs w:val="16"/>
              </w:rPr>
            </w:pPr>
            <w:r w:rsidRPr="00062A8F">
              <w:rPr>
                <w:sz w:val="16"/>
                <w:szCs w:val="16"/>
              </w:rPr>
              <w:t>(1.334.607)</w:t>
            </w:r>
          </w:p>
          <w:p w:rsidRPr="00062A8F" w:rsidR="00AC2FD4" w:rsidP="0016573E" w:rsidRDefault="00AC2FD4">
            <w:pPr>
              <w:jc w:val="right"/>
              <w:rPr>
                <w:sz w:val="16"/>
                <w:szCs w:val="16"/>
              </w:rPr>
            </w:pPr>
            <w:r w:rsidRPr="00062A8F">
              <w:rPr>
                <w:sz w:val="16"/>
                <w:szCs w:val="16"/>
              </w:rPr>
              <w:t>(2.797.951)</w:t>
            </w:r>
          </w:p>
        </w:tc>
        <w:tc>
          <w:tcPr>
            <w:tcW w:w="1319" w:type="dxa"/>
          </w:tcPr>
          <w:p w:rsidRPr="00062A8F" w:rsidR="00AC2FD4" w:rsidP="0016573E" w:rsidRDefault="00AC2FD4">
            <w:pPr>
              <w:jc w:val="right"/>
              <w:rPr>
                <w:sz w:val="16"/>
                <w:szCs w:val="16"/>
              </w:rPr>
            </w:pPr>
          </w:p>
          <w:p w:rsidRPr="00062A8F" w:rsidR="00AC2FD4" w:rsidP="0016573E" w:rsidRDefault="00AC2FD4">
            <w:pPr>
              <w:jc w:val="right"/>
              <w:rPr>
                <w:sz w:val="16"/>
                <w:szCs w:val="16"/>
              </w:rPr>
            </w:pPr>
            <w:r w:rsidRPr="00062A8F">
              <w:rPr>
                <w:sz w:val="16"/>
                <w:szCs w:val="16"/>
              </w:rPr>
              <w:t>4.203.262</w:t>
            </w:r>
          </w:p>
          <w:p w:rsidRPr="00062A8F" w:rsidR="00472B17" w:rsidP="0016573E" w:rsidRDefault="00472B17">
            <w:pPr>
              <w:jc w:val="right"/>
              <w:rPr>
                <w:sz w:val="16"/>
                <w:szCs w:val="16"/>
              </w:rPr>
            </w:pPr>
          </w:p>
          <w:p w:rsidRPr="00062A8F" w:rsidR="00AC2FD4" w:rsidP="0016573E" w:rsidRDefault="00AC2FD4">
            <w:pPr>
              <w:jc w:val="right"/>
              <w:rPr>
                <w:sz w:val="16"/>
                <w:szCs w:val="16"/>
              </w:rPr>
            </w:pPr>
            <w:r w:rsidRPr="00062A8F">
              <w:rPr>
                <w:sz w:val="16"/>
                <w:szCs w:val="16"/>
              </w:rPr>
              <w:t>(1.155.071)</w:t>
            </w:r>
          </w:p>
          <w:p w:rsidRPr="00062A8F" w:rsidR="00AC2FD4" w:rsidP="0016573E" w:rsidRDefault="00AC2FD4">
            <w:pPr>
              <w:jc w:val="right"/>
              <w:rPr>
                <w:sz w:val="16"/>
                <w:szCs w:val="16"/>
              </w:rPr>
            </w:pPr>
            <w:r w:rsidRPr="00062A8F">
              <w:rPr>
                <w:sz w:val="16"/>
                <w:szCs w:val="16"/>
              </w:rPr>
              <w:t>(3.048.191)</w:t>
            </w:r>
          </w:p>
        </w:tc>
      </w:tr>
      <w:tr w:rsidRPr="00062A8F" w:rsidR="00AC2FD4" w:rsidTr="003A2B18">
        <w:tc>
          <w:tcPr>
            <w:tcW w:w="2510" w:type="dxa"/>
          </w:tcPr>
          <w:p w:rsidRPr="00062A8F" w:rsidR="00AC2FD4" w:rsidP="0016573E" w:rsidRDefault="00AC2FD4">
            <w:pPr>
              <w:rPr>
                <w:b/>
                <w:sz w:val="16"/>
                <w:szCs w:val="16"/>
              </w:rPr>
            </w:pPr>
          </w:p>
          <w:p w:rsidRPr="00062A8F" w:rsidR="00AC2FD4" w:rsidP="0016573E" w:rsidRDefault="00AC2FD4">
            <w:pPr>
              <w:rPr>
                <w:b/>
                <w:sz w:val="16"/>
                <w:szCs w:val="16"/>
              </w:rPr>
            </w:pPr>
            <w:r w:rsidRPr="00062A8F">
              <w:rPr>
                <w:b/>
                <w:sz w:val="16"/>
                <w:szCs w:val="16"/>
              </w:rPr>
              <w:t xml:space="preserve">Projectsubsidie </w:t>
            </w:r>
            <w:r w:rsidRPr="00062A8F" w:rsidR="00DE0F88">
              <w:rPr>
                <w:b/>
                <w:sz w:val="16"/>
                <w:szCs w:val="16"/>
              </w:rPr>
              <w:t>VeiligheidNL</w:t>
            </w:r>
          </w:p>
          <w:p w:rsidRPr="00062A8F" w:rsidR="00AC2FD4" w:rsidP="0016573E" w:rsidRDefault="00AC2FD4">
            <w:pPr>
              <w:rPr>
                <w:sz w:val="16"/>
                <w:szCs w:val="16"/>
              </w:rPr>
            </w:pPr>
          </w:p>
        </w:tc>
        <w:tc>
          <w:tcPr>
            <w:tcW w:w="1190" w:type="dxa"/>
          </w:tcPr>
          <w:p w:rsidRPr="00062A8F" w:rsidR="00AC2FD4" w:rsidP="0016573E" w:rsidRDefault="00AC2FD4">
            <w:pPr>
              <w:jc w:val="right"/>
              <w:rPr>
                <w:sz w:val="16"/>
                <w:szCs w:val="16"/>
              </w:rPr>
            </w:pPr>
          </w:p>
          <w:p w:rsidRPr="00062A8F" w:rsidR="00AC2FD4" w:rsidP="0016573E" w:rsidRDefault="00AC2FD4">
            <w:pPr>
              <w:jc w:val="right"/>
              <w:rPr>
                <w:sz w:val="16"/>
                <w:szCs w:val="16"/>
              </w:rPr>
            </w:pPr>
            <w:r w:rsidRPr="00062A8F">
              <w:rPr>
                <w:sz w:val="16"/>
                <w:szCs w:val="16"/>
              </w:rPr>
              <w:t>2.410.180*</w:t>
            </w:r>
          </w:p>
          <w:p w:rsidRPr="00062A8F" w:rsidR="00AC2FD4" w:rsidP="0016573E" w:rsidRDefault="00AC2FD4">
            <w:pPr>
              <w:jc w:val="right"/>
              <w:rPr>
                <w:sz w:val="16"/>
                <w:szCs w:val="16"/>
              </w:rPr>
            </w:pPr>
          </w:p>
        </w:tc>
        <w:tc>
          <w:tcPr>
            <w:tcW w:w="1236" w:type="dxa"/>
          </w:tcPr>
          <w:p w:rsidRPr="00062A8F" w:rsidR="00AC2FD4" w:rsidP="0016573E" w:rsidRDefault="00AC2FD4">
            <w:pPr>
              <w:jc w:val="right"/>
              <w:rPr>
                <w:sz w:val="16"/>
                <w:szCs w:val="16"/>
              </w:rPr>
            </w:pPr>
          </w:p>
          <w:p w:rsidRPr="00062A8F" w:rsidR="00AC2FD4" w:rsidP="0016573E" w:rsidRDefault="00AC2FD4">
            <w:pPr>
              <w:jc w:val="right"/>
              <w:rPr>
                <w:sz w:val="16"/>
                <w:szCs w:val="16"/>
              </w:rPr>
            </w:pPr>
            <w:r w:rsidRPr="00062A8F">
              <w:rPr>
                <w:sz w:val="16"/>
                <w:szCs w:val="16"/>
              </w:rPr>
              <w:t>1.242.000</w:t>
            </w:r>
          </w:p>
        </w:tc>
        <w:tc>
          <w:tcPr>
            <w:tcW w:w="1190" w:type="dxa"/>
          </w:tcPr>
          <w:p w:rsidRPr="00062A8F" w:rsidR="00AC2FD4" w:rsidP="0016573E" w:rsidRDefault="00AC2FD4">
            <w:pPr>
              <w:jc w:val="right"/>
              <w:rPr>
                <w:sz w:val="16"/>
                <w:szCs w:val="16"/>
              </w:rPr>
            </w:pPr>
          </w:p>
          <w:p w:rsidRPr="00062A8F" w:rsidR="00AC2FD4" w:rsidP="0016573E" w:rsidRDefault="00AC2FD4">
            <w:pPr>
              <w:jc w:val="right"/>
              <w:rPr>
                <w:sz w:val="16"/>
                <w:szCs w:val="16"/>
              </w:rPr>
            </w:pPr>
            <w:r w:rsidRPr="00062A8F">
              <w:rPr>
                <w:sz w:val="16"/>
                <w:szCs w:val="16"/>
              </w:rPr>
              <w:t>1.242.000</w:t>
            </w:r>
          </w:p>
        </w:tc>
        <w:tc>
          <w:tcPr>
            <w:tcW w:w="1190" w:type="dxa"/>
          </w:tcPr>
          <w:p w:rsidRPr="00062A8F" w:rsidR="00AC2FD4" w:rsidP="0016573E" w:rsidRDefault="00AC2FD4">
            <w:pPr>
              <w:jc w:val="right"/>
              <w:rPr>
                <w:sz w:val="16"/>
                <w:szCs w:val="16"/>
              </w:rPr>
            </w:pPr>
          </w:p>
          <w:p w:rsidRPr="00062A8F" w:rsidR="00AC2FD4" w:rsidP="0016573E" w:rsidRDefault="00AC2FD4">
            <w:pPr>
              <w:jc w:val="right"/>
              <w:rPr>
                <w:sz w:val="16"/>
                <w:szCs w:val="16"/>
              </w:rPr>
            </w:pPr>
            <w:r w:rsidRPr="00062A8F">
              <w:rPr>
                <w:sz w:val="16"/>
                <w:szCs w:val="16"/>
              </w:rPr>
              <w:t>1.285.506</w:t>
            </w:r>
          </w:p>
        </w:tc>
        <w:tc>
          <w:tcPr>
            <w:tcW w:w="1319" w:type="dxa"/>
          </w:tcPr>
          <w:p w:rsidRPr="00062A8F" w:rsidR="00AC2FD4" w:rsidP="0016573E" w:rsidRDefault="00AC2FD4">
            <w:pPr>
              <w:jc w:val="right"/>
              <w:rPr>
                <w:sz w:val="16"/>
                <w:szCs w:val="16"/>
              </w:rPr>
            </w:pPr>
          </w:p>
          <w:p w:rsidRPr="00062A8F" w:rsidR="00AC2FD4" w:rsidP="0016573E" w:rsidRDefault="00AC2FD4">
            <w:pPr>
              <w:jc w:val="right"/>
              <w:rPr>
                <w:sz w:val="16"/>
                <w:szCs w:val="16"/>
              </w:rPr>
            </w:pPr>
            <w:r w:rsidRPr="00062A8F">
              <w:rPr>
                <w:sz w:val="16"/>
                <w:szCs w:val="16"/>
              </w:rPr>
              <w:t>770.408</w:t>
            </w:r>
          </w:p>
        </w:tc>
      </w:tr>
      <w:tr w:rsidRPr="00062A8F" w:rsidR="00AC2FD4" w:rsidTr="003A2B18">
        <w:tc>
          <w:tcPr>
            <w:tcW w:w="2510" w:type="dxa"/>
          </w:tcPr>
          <w:p w:rsidRPr="00062A8F" w:rsidR="00AC2FD4" w:rsidP="0016573E" w:rsidRDefault="00AC2FD4">
            <w:pPr>
              <w:rPr>
                <w:b/>
                <w:sz w:val="16"/>
                <w:szCs w:val="16"/>
              </w:rPr>
            </w:pPr>
          </w:p>
          <w:p w:rsidRPr="00062A8F" w:rsidR="00AC2FD4" w:rsidP="0016573E" w:rsidRDefault="00AC2FD4">
            <w:pPr>
              <w:rPr>
                <w:b/>
                <w:sz w:val="16"/>
                <w:szCs w:val="16"/>
              </w:rPr>
            </w:pPr>
            <w:r w:rsidRPr="00062A8F">
              <w:rPr>
                <w:b/>
                <w:sz w:val="16"/>
                <w:szCs w:val="16"/>
              </w:rPr>
              <w:t>O</w:t>
            </w:r>
            <w:r w:rsidR="00FB59D3">
              <w:rPr>
                <w:b/>
                <w:sz w:val="16"/>
                <w:szCs w:val="16"/>
              </w:rPr>
              <w:t xml:space="preserve">ngevallen en Bewegen in Nederland </w:t>
            </w:r>
            <w:r w:rsidRPr="00062A8F">
              <w:rPr>
                <w:b/>
                <w:sz w:val="16"/>
                <w:szCs w:val="16"/>
              </w:rPr>
              <w:t>(registratie en monitoring)</w:t>
            </w:r>
            <w:r w:rsidRPr="00062A8F" w:rsidR="00785012">
              <w:rPr>
                <w:b/>
                <w:sz w:val="16"/>
                <w:szCs w:val="16"/>
              </w:rPr>
              <w:t>**</w:t>
            </w:r>
          </w:p>
          <w:p w:rsidRPr="00062A8F" w:rsidR="00AC2FD4" w:rsidP="0016573E" w:rsidRDefault="00AC2FD4">
            <w:pPr>
              <w:rPr>
                <w:sz w:val="16"/>
                <w:szCs w:val="16"/>
              </w:rPr>
            </w:pPr>
          </w:p>
        </w:tc>
        <w:tc>
          <w:tcPr>
            <w:tcW w:w="1190" w:type="dxa"/>
          </w:tcPr>
          <w:p w:rsidRPr="00062A8F" w:rsidR="00AC2FD4" w:rsidP="0016573E" w:rsidRDefault="00AC2FD4">
            <w:pPr>
              <w:jc w:val="right"/>
              <w:rPr>
                <w:sz w:val="16"/>
                <w:szCs w:val="16"/>
              </w:rPr>
            </w:pPr>
          </w:p>
          <w:p w:rsidR="00FB59D3" w:rsidP="0016573E" w:rsidRDefault="00FB59D3">
            <w:pPr>
              <w:jc w:val="right"/>
              <w:rPr>
                <w:sz w:val="16"/>
                <w:szCs w:val="16"/>
              </w:rPr>
            </w:pPr>
          </w:p>
          <w:p w:rsidRPr="00062A8F" w:rsidR="00AC2FD4" w:rsidP="0016573E" w:rsidRDefault="009E1062">
            <w:pPr>
              <w:jc w:val="right"/>
              <w:rPr>
                <w:sz w:val="16"/>
                <w:szCs w:val="16"/>
              </w:rPr>
            </w:pPr>
            <w:r w:rsidRPr="00062A8F">
              <w:rPr>
                <w:sz w:val="16"/>
                <w:szCs w:val="16"/>
              </w:rPr>
              <w:t>195.000</w:t>
            </w:r>
            <w:r w:rsidRPr="00062A8F" w:rsidR="00FE661F">
              <w:rPr>
                <w:sz w:val="16"/>
                <w:szCs w:val="16"/>
              </w:rPr>
              <w:t xml:space="preserve"> </w:t>
            </w:r>
            <w:r w:rsidRPr="00062A8F" w:rsidR="00AC2FD4">
              <w:rPr>
                <w:sz w:val="16"/>
                <w:szCs w:val="16"/>
              </w:rPr>
              <w:t xml:space="preserve"> </w:t>
            </w:r>
          </w:p>
        </w:tc>
        <w:tc>
          <w:tcPr>
            <w:tcW w:w="1236" w:type="dxa"/>
          </w:tcPr>
          <w:p w:rsidR="00AC2FD4" w:rsidP="0016573E" w:rsidRDefault="00AC2FD4">
            <w:pPr>
              <w:jc w:val="right"/>
              <w:rPr>
                <w:sz w:val="16"/>
                <w:szCs w:val="16"/>
              </w:rPr>
            </w:pPr>
          </w:p>
          <w:p w:rsidRPr="00062A8F" w:rsidR="00FB59D3" w:rsidP="0016573E" w:rsidRDefault="00FB59D3">
            <w:pPr>
              <w:jc w:val="right"/>
              <w:rPr>
                <w:sz w:val="16"/>
                <w:szCs w:val="16"/>
              </w:rPr>
            </w:pPr>
          </w:p>
          <w:p w:rsidRPr="00062A8F" w:rsidR="00AC2FD4" w:rsidP="0016573E" w:rsidRDefault="00FE661F">
            <w:pPr>
              <w:jc w:val="right"/>
              <w:rPr>
                <w:sz w:val="16"/>
                <w:szCs w:val="16"/>
              </w:rPr>
            </w:pPr>
            <w:r w:rsidRPr="00062A8F">
              <w:rPr>
                <w:sz w:val="16"/>
                <w:szCs w:val="16"/>
              </w:rPr>
              <w:t xml:space="preserve"> </w:t>
            </w:r>
            <w:r w:rsidRPr="00062A8F" w:rsidR="00AC2FD4">
              <w:rPr>
                <w:sz w:val="16"/>
                <w:szCs w:val="16"/>
              </w:rPr>
              <w:t xml:space="preserve"> </w:t>
            </w:r>
            <w:r w:rsidRPr="00062A8F" w:rsidR="009E1062">
              <w:rPr>
                <w:sz w:val="16"/>
                <w:szCs w:val="16"/>
              </w:rPr>
              <w:t>208</w:t>
            </w:r>
            <w:r w:rsidRPr="00062A8F" w:rsidR="00AC2FD4">
              <w:rPr>
                <w:sz w:val="16"/>
                <w:szCs w:val="16"/>
              </w:rPr>
              <w:t>.</w:t>
            </w:r>
            <w:r w:rsidRPr="00062A8F" w:rsidR="009E1062">
              <w:rPr>
                <w:sz w:val="16"/>
                <w:szCs w:val="16"/>
              </w:rPr>
              <w:t>080</w:t>
            </w:r>
          </w:p>
        </w:tc>
        <w:tc>
          <w:tcPr>
            <w:tcW w:w="1190" w:type="dxa"/>
          </w:tcPr>
          <w:p w:rsidR="00AC2FD4" w:rsidP="0016573E" w:rsidRDefault="00AC2FD4">
            <w:pPr>
              <w:jc w:val="right"/>
              <w:rPr>
                <w:sz w:val="16"/>
                <w:szCs w:val="16"/>
              </w:rPr>
            </w:pPr>
          </w:p>
          <w:p w:rsidRPr="00062A8F" w:rsidR="00FB59D3" w:rsidP="0016573E" w:rsidRDefault="00FB59D3">
            <w:pPr>
              <w:jc w:val="right"/>
              <w:rPr>
                <w:sz w:val="16"/>
                <w:szCs w:val="16"/>
              </w:rPr>
            </w:pPr>
          </w:p>
          <w:p w:rsidRPr="00062A8F" w:rsidR="00AC2FD4" w:rsidP="0016573E" w:rsidRDefault="00785012">
            <w:pPr>
              <w:jc w:val="right"/>
              <w:rPr>
                <w:sz w:val="16"/>
                <w:szCs w:val="16"/>
              </w:rPr>
            </w:pPr>
            <w:r w:rsidRPr="00062A8F">
              <w:rPr>
                <w:sz w:val="16"/>
                <w:szCs w:val="16"/>
              </w:rPr>
              <w:t>116.864</w:t>
            </w:r>
          </w:p>
        </w:tc>
        <w:tc>
          <w:tcPr>
            <w:tcW w:w="1190" w:type="dxa"/>
          </w:tcPr>
          <w:p w:rsidR="00AC2FD4" w:rsidP="0016573E" w:rsidRDefault="00AC2FD4">
            <w:pPr>
              <w:jc w:val="right"/>
              <w:rPr>
                <w:sz w:val="16"/>
                <w:szCs w:val="16"/>
              </w:rPr>
            </w:pPr>
          </w:p>
          <w:p w:rsidRPr="00062A8F" w:rsidR="00FB59D3" w:rsidP="0016573E" w:rsidRDefault="00FB59D3">
            <w:pPr>
              <w:jc w:val="right"/>
              <w:rPr>
                <w:sz w:val="16"/>
                <w:szCs w:val="16"/>
              </w:rPr>
            </w:pPr>
          </w:p>
          <w:p w:rsidRPr="00062A8F" w:rsidR="00AC2FD4" w:rsidP="0016573E" w:rsidRDefault="009E1062">
            <w:pPr>
              <w:jc w:val="right"/>
              <w:rPr>
                <w:sz w:val="16"/>
                <w:szCs w:val="16"/>
              </w:rPr>
            </w:pPr>
            <w:r w:rsidRPr="00062A8F">
              <w:rPr>
                <w:sz w:val="16"/>
                <w:szCs w:val="16"/>
              </w:rPr>
              <w:t>116.864</w:t>
            </w:r>
          </w:p>
          <w:p w:rsidRPr="00062A8F" w:rsidR="00FB59D3" w:rsidP="0016573E" w:rsidRDefault="00FB59D3">
            <w:pPr>
              <w:rPr>
                <w:sz w:val="16"/>
                <w:szCs w:val="16"/>
              </w:rPr>
            </w:pPr>
          </w:p>
        </w:tc>
        <w:tc>
          <w:tcPr>
            <w:tcW w:w="1319" w:type="dxa"/>
          </w:tcPr>
          <w:p w:rsidR="00AC2FD4" w:rsidP="0016573E" w:rsidRDefault="00AC2FD4">
            <w:pPr>
              <w:jc w:val="right"/>
              <w:rPr>
                <w:sz w:val="16"/>
                <w:szCs w:val="16"/>
              </w:rPr>
            </w:pPr>
          </w:p>
          <w:p w:rsidRPr="00062A8F" w:rsidR="00FB59D3" w:rsidP="0016573E" w:rsidRDefault="00FB59D3">
            <w:pPr>
              <w:jc w:val="right"/>
              <w:rPr>
                <w:sz w:val="16"/>
                <w:szCs w:val="16"/>
              </w:rPr>
            </w:pPr>
          </w:p>
          <w:p w:rsidRPr="00062A8F" w:rsidR="00AC2FD4" w:rsidP="0016573E" w:rsidRDefault="009E1062">
            <w:pPr>
              <w:jc w:val="right"/>
              <w:rPr>
                <w:sz w:val="16"/>
                <w:szCs w:val="16"/>
              </w:rPr>
            </w:pPr>
            <w:r w:rsidRPr="00062A8F">
              <w:rPr>
                <w:sz w:val="16"/>
                <w:szCs w:val="16"/>
              </w:rPr>
              <w:t>116.864</w:t>
            </w:r>
          </w:p>
        </w:tc>
      </w:tr>
      <w:tr w:rsidRPr="00062A8F" w:rsidR="00AC2FD4" w:rsidTr="003A2B18">
        <w:tc>
          <w:tcPr>
            <w:tcW w:w="2510" w:type="dxa"/>
          </w:tcPr>
          <w:p w:rsidRPr="00062A8F" w:rsidR="00AC2FD4" w:rsidP="0016573E" w:rsidRDefault="00AC2FD4">
            <w:pPr>
              <w:rPr>
                <w:b/>
                <w:sz w:val="16"/>
                <w:szCs w:val="16"/>
              </w:rPr>
            </w:pPr>
          </w:p>
          <w:p w:rsidRPr="00062A8F" w:rsidR="00AC2FD4" w:rsidP="0016573E" w:rsidRDefault="00AC2FD4">
            <w:pPr>
              <w:rPr>
                <w:b/>
                <w:sz w:val="16"/>
                <w:szCs w:val="16"/>
              </w:rPr>
            </w:pPr>
            <w:r w:rsidRPr="00062A8F">
              <w:rPr>
                <w:b/>
                <w:sz w:val="16"/>
                <w:szCs w:val="16"/>
              </w:rPr>
              <w:t>Projecten SZW, IenM, VenJ</w:t>
            </w:r>
          </w:p>
          <w:p w:rsidRPr="00062A8F" w:rsidR="00AC2FD4" w:rsidP="0016573E" w:rsidRDefault="00AC2FD4">
            <w:pPr>
              <w:rPr>
                <w:b/>
                <w:sz w:val="16"/>
                <w:szCs w:val="16"/>
              </w:rPr>
            </w:pPr>
          </w:p>
        </w:tc>
        <w:tc>
          <w:tcPr>
            <w:tcW w:w="1190" w:type="dxa"/>
          </w:tcPr>
          <w:p w:rsidRPr="00062A8F" w:rsidR="00AC2FD4" w:rsidP="0016573E" w:rsidRDefault="00AC2FD4">
            <w:pPr>
              <w:jc w:val="right"/>
              <w:rPr>
                <w:sz w:val="16"/>
                <w:szCs w:val="16"/>
              </w:rPr>
            </w:pPr>
          </w:p>
          <w:p w:rsidRPr="00062A8F" w:rsidR="00AC2FD4" w:rsidP="0016573E" w:rsidRDefault="00FE661F">
            <w:pPr>
              <w:jc w:val="right"/>
              <w:rPr>
                <w:sz w:val="16"/>
                <w:szCs w:val="16"/>
              </w:rPr>
            </w:pPr>
            <w:r w:rsidRPr="00062A8F">
              <w:rPr>
                <w:sz w:val="16"/>
                <w:szCs w:val="16"/>
              </w:rPr>
              <w:t xml:space="preserve"> </w:t>
            </w:r>
            <w:r w:rsidRPr="00062A8F" w:rsidR="00AC2FD4">
              <w:rPr>
                <w:sz w:val="16"/>
                <w:szCs w:val="16"/>
              </w:rPr>
              <w:t xml:space="preserve"> 300.000</w:t>
            </w:r>
          </w:p>
        </w:tc>
        <w:tc>
          <w:tcPr>
            <w:tcW w:w="1236" w:type="dxa"/>
          </w:tcPr>
          <w:p w:rsidRPr="00062A8F" w:rsidR="00AC2FD4" w:rsidP="0016573E" w:rsidRDefault="00AC2FD4">
            <w:pPr>
              <w:jc w:val="right"/>
              <w:rPr>
                <w:sz w:val="16"/>
                <w:szCs w:val="16"/>
              </w:rPr>
            </w:pPr>
          </w:p>
          <w:p w:rsidRPr="00062A8F" w:rsidR="00AC2FD4" w:rsidP="0016573E" w:rsidRDefault="00AC2FD4">
            <w:pPr>
              <w:jc w:val="right"/>
              <w:rPr>
                <w:sz w:val="16"/>
                <w:szCs w:val="16"/>
              </w:rPr>
            </w:pPr>
            <w:r w:rsidRPr="00062A8F">
              <w:rPr>
                <w:sz w:val="16"/>
                <w:szCs w:val="16"/>
              </w:rPr>
              <w:t>-</w:t>
            </w:r>
          </w:p>
        </w:tc>
        <w:tc>
          <w:tcPr>
            <w:tcW w:w="1190" w:type="dxa"/>
          </w:tcPr>
          <w:p w:rsidRPr="00062A8F" w:rsidR="00AC2FD4" w:rsidP="0016573E" w:rsidRDefault="00AC2FD4">
            <w:pPr>
              <w:jc w:val="right"/>
              <w:rPr>
                <w:sz w:val="16"/>
                <w:szCs w:val="16"/>
              </w:rPr>
            </w:pPr>
          </w:p>
          <w:p w:rsidRPr="00062A8F" w:rsidR="00AC2FD4" w:rsidP="0016573E" w:rsidRDefault="00AC2FD4">
            <w:pPr>
              <w:jc w:val="right"/>
              <w:rPr>
                <w:sz w:val="16"/>
                <w:szCs w:val="16"/>
              </w:rPr>
            </w:pPr>
            <w:r w:rsidRPr="00062A8F">
              <w:rPr>
                <w:sz w:val="16"/>
                <w:szCs w:val="16"/>
              </w:rPr>
              <w:t>-</w:t>
            </w:r>
          </w:p>
        </w:tc>
        <w:tc>
          <w:tcPr>
            <w:tcW w:w="1190" w:type="dxa"/>
          </w:tcPr>
          <w:p w:rsidRPr="00062A8F" w:rsidR="00AC2FD4" w:rsidP="0016573E" w:rsidRDefault="00AC2FD4">
            <w:pPr>
              <w:jc w:val="right"/>
              <w:rPr>
                <w:sz w:val="16"/>
                <w:szCs w:val="16"/>
              </w:rPr>
            </w:pPr>
          </w:p>
          <w:p w:rsidRPr="00062A8F" w:rsidR="00AC2FD4" w:rsidP="0016573E" w:rsidRDefault="00AC2FD4">
            <w:pPr>
              <w:jc w:val="right"/>
              <w:rPr>
                <w:sz w:val="16"/>
                <w:szCs w:val="16"/>
              </w:rPr>
            </w:pPr>
            <w:r w:rsidRPr="00062A8F">
              <w:rPr>
                <w:sz w:val="16"/>
                <w:szCs w:val="16"/>
              </w:rPr>
              <w:t>-</w:t>
            </w:r>
          </w:p>
        </w:tc>
        <w:tc>
          <w:tcPr>
            <w:tcW w:w="1319" w:type="dxa"/>
          </w:tcPr>
          <w:p w:rsidRPr="00062A8F" w:rsidR="00AC2FD4" w:rsidP="0016573E" w:rsidRDefault="00AC2FD4">
            <w:pPr>
              <w:jc w:val="right"/>
              <w:rPr>
                <w:sz w:val="16"/>
                <w:szCs w:val="16"/>
              </w:rPr>
            </w:pPr>
          </w:p>
          <w:p w:rsidRPr="00062A8F" w:rsidR="00AC2FD4" w:rsidP="0016573E" w:rsidRDefault="00AC2FD4">
            <w:pPr>
              <w:jc w:val="right"/>
              <w:rPr>
                <w:sz w:val="16"/>
                <w:szCs w:val="16"/>
              </w:rPr>
            </w:pPr>
            <w:r w:rsidRPr="00062A8F">
              <w:rPr>
                <w:sz w:val="16"/>
                <w:szCs w:val="16"/>
              </w:rPr>
              <w:t>-</w:t>
            </w:r>
          </w:p>
        </w:tc>
      </w:tr>
      <w:tr w:rsidRPr="00062A8F" w:rsidR="00AC2FD4" w:rsidTr="003A2B18">
        <w:tc>
          <w:tcPr>
            <w:tcW w:w="2510" w:type="dxa"/>
          </w:tcPr>
          <w:p w:rsidRPr="00062A8F" w:rsidR="00AC2FD4" w:rsidP="0016573E" w:rsidRDefault="00AC2FD4">
            <w:pPr>
              <w:rPr>
                <w:b/>
                <w:sz w:val="16"/>
                <w:szCs w:val="16"/>
              </w:rPr>
            </w:pPr>
          </w:p>
          <w:p w:rsidRPr="00062A8F" w:rsidR="00AC2FD4" w:rsidP="0016573E" w:rsidRDefault="00AC2FD4">
            <w:pPr>
              <w:rPr>
                <w:b/>
                <w:sz w:val="16"/>
                <w:szCs w:val="16"/>
              </w:rPr>
            </w:pPr>
            <w:r w:rsidRPr="00062A8F">
              <w:rPr>
                <w:b/>
                <w:sz w:val="16"/>
                <w:szCs w:val="16"/>
              </w:rPr>
              <w:t xml:space="preserve">Overige activiteiten </w:t>
            </w:r>
          </w:p>
          <w:p w:rsidRPr="00062A8F" w:rsidR="00AC2FD4" w:rsidP="0016573E" w:rsidRDefault="00AC2FD4">
            <w:pPr>
              <w:rPr>
                <w:b/>
                <w:sz w:val="16"/>
                <w:szCs w:val="16"/>
              </w:rPr>
            </w:pPr>
          </w:p>
        </w:tc>
        <w:tc>
          <w:tcPr>
            <w:tcW w:w="1190" w:type="dxa"/>
          </w:tcPr>
          <w:p w:rsidRPr="00062A8F" w:rsidR="00AC2FD4" w:rsidP="0016573E" w:rsidRDefault="00AC2FD4">
            <w:pPr>
              <w:jc w:val="right"/>
              <w:rPr>
                <w:sz w:val="16"/>
                <w:szCs w:val="16"/>
              </w:rPr>
            </w:pPr>
          </w:p>
          <w:p w:rsidRPr="00062A8F" w:rsidR="00AC2FD4" w:rsidP="0016573E" w:rsidRDefault="00AC2FD4">
            <w:pPr>
              <w:jc w:val="right"/>
              <w:rPr>
                <w:sz w:val="16"/>
                <w:szCs w:val="16"/>
              </w:rPr>
            </w:pPr>
            <w:r w:rsidRPr="00062A8F">
              <w:rPr>
                <w:sz w:val="16"/>
                <w:szCs w:val="16"/>
              </w:rPr>
              <w:t>-</w:t>
            </w:r>
          </w:p>
        </w:tc>
        <w:tc>
          <w:tcPr>
            <w:tcW w:w="1236" w:type="dxa"/>
          </w:tcPr>
          <w:p w:rsidRPr="00062A8F" w:rsidR="00AC2FD4" w:rsidP="0016573E" w:rsidRDefault="00AC2FD4">
            <w:pPr>
              <w:jc w:val="right"/>
              <w:rPr>
                <w:sz w:val="16"/>
                <w:szCs w:val="16"/>
              </w:rPr>
            </w:pPr>
          </w:p>
          <w:p w:rsidRPr="00062A8F" w:rsidR="00AC2FD4" w:rsidP="0016573E" w:rsidRDefault="00FE661F">
            <w:pPr>
              <w:jc w:val="right"/>
              <w:rPr>
                <w:sz w:val="16"/>
                <w:szCs w:val="16"/>
              </w:rPr>
            </w:pPr>
            <w:r w:rsidRPr="00062A8F">
              <w:rPr>
                <w:sz w:val="16"/>
                <w:szCs w:val="16"/>
              </w:rPr>
              <w:t xml:space="preserve">   </w:t>
            </w:r>
            <w:r w:rsidRPr="00062A8F" w:rsidR="00AC2FD4">
              <w:rPr>
                <w:sz w:val="16"/>
                <w:szCs w:val="16"/>
              </w:rPr>
              <w:t xml:space="preserve"> 2.874</w:t>
            </w:r>
          </w:p>
        </w:tc>
        <w:tc>
          <w:tcPr>
            <w:tcW w:w="1190" w:type="dxa"/>
          </w:tcPr>
          <w:p w:rsidRPr="00062A8F" w:rsidR="00AC2FD4" w:rsidP="0016573E" w:rsidRDefault="00AC2FD4">
            <w:pPr>
              <w:jc w:val="right"/>
              <w:rPr>
                <w:sz w:val="16"/>
                <w:szCs w:val="16"/>
              </w:rPr>
            </w:pPr>
          </w:p>
          <w:p w:rsidRPr="00062A8F" w:rsidR="00AC2FD4" w:rsidP="0016573E" w:rsidRDefault="00FE661F">
            <w:pPr>
              <w:jc w:val="right"/>
              <w:rPr>
                <w:sz w:val="16"/>
                <w:szCs w:val="16"/>
              </w:rPr>
            </w:pPr>
            <w:r w:rsidRPr="00062A8F">
              <w:rPr>
                <w:sz w:val="16"/>
                <w:szCs w:val="16"/>
              </w:rPr>
              <w:t xml:space="preserve">  </w:t>
            </w:r>
            <w:r w:rsidRPr="00062A8F" w:rsidR="00AC2FD4">
              <w:rPr>
                <w:sz w:val="16"/>
                <w:szCs w:val="16"/>
              </w:rPr>
              <w:t xml:space="preserve"> 36.230</w:t>
            </w:r>
          </w:p>
        </w:tc>
        <w:tc>
          <w:tcPr>
            <w:tcW w:w="1190" w:type="dxa"/>
          </w:tcPr>
          <w:p w:rsidRPr="00062A8F" w:rsidR="00AC2FD4" w:rsidP="0016573E" w:rsidRDefault="00AC2FD4">
            <w:pPr>
              <w:jc w:val="right"/>
              <w:rPr>
                <w:sz w:val="16"/>
                <w:szCs w:val="16"/>
              </w:rPr>
            </w:pPr>
          </w:p>
          <w:p w:rsidRPr="00062A8F" w:rsidR="00AC2FD4" w:rsidP="0016573E" w:rsidRDefault="00AC2FD4">
            <w:pPr>
              <w:jc w:val="right"/>
              <w:rPr>
                <w:sz w:val="16"/>
                <w:szCs w:val="16"/>
              </w:rPr>
            </w:pPr>
            <w:r w:rsidRPr="00062A8F">
              <w:rPr>
                <w:sz w:val="16"/>
                <w:szCs w:val="16"/>
              </w:rPr>
              <w:t>60.190</w:t>
            </w:r>
          </w:p>
        </w:tc>
        <w:tc>
          <w:tcPr>
            <w:tcW w:w="1319" w:type="dxa"/>
          </w:tcPr>
          <w:p w:rsidRPr="00062A8F" w:rsidR="00AC2FD4" w:rsidP="0016573E" w:rsidRDefault="00AC2FD4">
            <w:pPr>
              <w:jc w:val="right"/>
              <w:rPr>
                <w:sz w:val="16"/>
                <w:szCs w:val="16"/>
              </w:rPr>
            </w:pPr>
          </w:p>
          <w:p w:rsidRPr="00062A8F" w:rsidR="00AC2FD4" w:rsidP="0016573E" w:rsidRDefault="00AC2FD4">
            <w:pPr>
              <w:jc w:val="right"/>
              <w:rPr>
                <w:sz w:val="16"/>
                <w:szCs w:val="16"/>
              </w:rPr>
            </w:pPr>
            <w:r w:rsidRPr="00062A8F">
              <w:rPr>
                <w:sz w:val="16"/>
                <w:szCs w:val="16"/>
              </w:rPr>
              <w:t>-</w:t>
            </w:r>
          </w:p>
        </w:tc>
      </w:tr>
      <w:tr w:rsidRPr="00DA527E" w:rsidR="00DA527E" w:rsidTr="003A2B18">
        <w:tc>
          <w:tcPr>
            <w:tcW w:w="2510" w:type="dxa"/>
          </w:tcPr>
          <w:p w:rsidR="00DA527E" w:rsidP="0016573E" w:rsidRDefault="00DA527E">
            <w:pPr>
              <w:rPr>
                <w:b/>
                <w:sz w:val="16"/>
                <w:szCs w:val="16"/>
              </w:rPr>
            </w:pPr>
          </w:p>
          <w:p w:rsidRPr="00DA527E" w:rsidR="00DA527E" w:rsidP="0016573E" w:rsidRDefault="00DA527E">
            <w:pPr>
              <w:rPr>
                <w:b/>
                <w:sz w:val="16"/>
                <w:szCs w:val="16"/>
              </w:rPr>
            </w:pPr>
            <w:r>
              <w:rPr>
                <w:b/>
                <w:sz w:val="16"/>
                <w:szCs w:val="16"/>
              </w:rPr>
              <w:t>Suïcidepreventie</w:t>
            </w:r>
          </w:p>
          <w:p w:rsidRPr="00DA527E" w:rsidR="00DA527E" w:rsidP="0016573E" w:rsidRDefault="00DA527E">
            <w:pPr>
              <w:rPr>
                <w:b/>
                <w:sz w:val="16"/>
                <w:szCs w:val="16"/>
              </w:rPr>
            </w:pPr>
          </w:p>
        </w:tc>
        <w:tc>
          <w:tcPr>
            <w:tcW w:w="1190" w:type="dxa"/>
          </w:tcPr>
          <w:p w:rsidRPr="00DA527E" w:rsidR="00DA527E" w:rsidP="0016573E" w:rsidRDefault="00DA527E">
            <w:pPr>
              <w:jc w:val="right"/>
              <w:rPr>
                <w:sz w:val="16"/>
                <w:szCs w:val="16"/>
              </w:rPr>
            </w:pPr>
          </w:p>
          <w:p w:rsidRPr="00DA527E" w:rsidR="00DA527E" w:rsidP="0016573E" w:rsidRDefault="00DA527E">
            <w:pPr>
              <w:jc w:val="right"/>
              <w:rPr>
                <w:sz w:val="16"/>
                <w:szCs w:val="16"/>
              </w:rPr>
            </w:pPr>
            <w:r w:rsidRPr="00DA527E">
              <w:rPr>
                <w:sz w:val="16"/>
                <w:szCs w:val="16"/>
              </w:rPr>
              <w:t>470.000</w:t>
            </w:r>
          </w:p>
        </w:tc>
        <w:tc>
          <w:tcPr>
            <w:tcW w:w="1236" w:type="dxa"/>
            <w:vAlign w:val="center"/>
          </w:tcPr>
          <w:p w:rsidRPr="00DA527E" w:rsidR="00DA527E" w:rsidP="0016573E" w:rsidRDefault="00DA527E">
            <w:pPr>
              <w:spacing w:line="240" w:lineRule="auto"/>
              <w:jc w:val="right"/>
              <w:rPr>
                <w:color w:val="000000"/>
                <w:sz w:val="16"/>
                <w:szCs w:val="16"/>
              </w:rPr>
            </w:pPr>
            <w:r>
              <w:rPr>
                <w:color w:val="000000"/>
                <w:sz w:val="16"/>
                <w:szCs w:val="16"/>
              </w:rPr>
              <w:t>772.000</w:t>
            </w:r>
          </w:p>
        </w:tc>
        <w:tc>
          <w:tcPr>
            <w:tcW w:w="1190" w:type="dxa"/>
            <w:vAlign w:val="center"/>
          </w:tcPr>
          <w:p w:rsidRPr="00DA527E" w:rsidR="00DA527E" w:rsidP="0016573E" w:rsidRDefault="00DA527E">
            <w:pPr>
              <w:spacing w:line="240" w:lineRule="auto"/>
              <w:jc w:val="right"/>
              <w:rPr>
                <w:color w:val="000000"/>
                <w:sz w:val="16"/>
                <w:szCs w:val="16"/>
              </w:rPr>
            </w:pPr>
            <w:r>
              <w:rPr>
                <w:color w:val="000000"/>
                <w:sz w:val="16"/>
                <w:szCs w:val="16"/>
              </w:rPr>
              <w:t>1.125.000</w:t>
            </w:r>
          </w:p>
        </w:tc>
        <w:tc>
          <w:tcPr>
            <w:tcW w:w="1190" w:type="dxa"/>
            <w:vAlign w:val="center"/>
          </w:tcPr>
          <w:p w:rsidRPr="00DA527E" w:rsidR="00DA527E" w:rsidP="0016573E" w:rsidRDefault="00DA527E">
            <w:pPr>
              <w:spacing w:line="240" w:lineRule="auto"/>
              <w:jc w:val="right"/>
              <w:rPr>
                <w:color w:val="000000"/>
                <w:sz w:val="16"/>
                <w:szCs w:val="16"/>
              </w:rPr>
            </w:pPr>
            <w:r>
              <w:rPr>
                <w:color w:val="000000"/>
                <w:sz w:val="16"/>
                <w:szCs w:val="16"/>
              </w:rPr>
              <w:t>1.035.000</w:t>
            </w:r>
          </w:p>
        </w:tc>
        <w:tc>
          <w:tcPr>
            <w:tcW w:w="1319" w:type="dxa"/>
          </w:tcPr>
          <w:p w:rsidR="00DA527E" w:rsidP="0016573E" w:rsidRDefault="00DA527E">
            <w:pPr>
              <w:jc w:val="right"/>
              <w:rPr>
                <w:sz w:val="16"/>
                <w:szCs w:val="16"/>
              </w:rPr>
            </w:pPr>
          </w:p>
          <w:p w:rsidRPr="00DA527E" w:rsidR="00DA527E" w:rsidP="0016573E" w:rsidRDefault="00DA527E">
            <w:pPr>
              <w:jc w:val="right"/>
              <w:rPr>
                <w:sz w:val="16"/>
                <w:szCs w:val="16"/>
              </w:rPr>
            </w:pPr>
            <w:r>
              <w:rPr>
                <w:sz w:val="16"/>
                <w:szCs w:val="16"/>
              </w:rPr>
              <w:t>1.080.000</w:t>
            </w:r>
          </w:p>
        </w:tc>
      </w:tr>
      <w:tr w:rsidRPr="00062A8F" w:rsidR="00DA527E" w:rsidTr="00DA527E">
        <w:tc>
          <w:tcPr>
            <w:tcW w:w="2510" w:type="dxa"/>
          </w:tcPr>
          <w:p w:rsidRPr="00062A8F" w:rsidR="00DA527E" w:rsidP="0016573E" w:rsidRDefault="00DA527E">
            <w:pPr>
              <w:rPr>
                <w:b/>
                <w:i/>
                <w:sz w:val="16"/>
                <w:szCs w:val="16"/>
              </w:rPr>
            </w:pPr>
          </w:p>
          <w:p w:rsidRPr="00062A8F" w:rsidR="00DA527E" w:rsidP="0016573E" w:rsidRDefault="00DA527E">
            <w:pPr>
              <w:rPr>
                <w:b/>
                <w:i/>
                <w:sz w:val="16"/>
                <w:szCs w:val="16"/>
              </w:rPr>
            </w:pPr>
            <w:r w:rsidRPr="00062A8F">
              <w:rPr>
                <w:b/>
                <w:i/>
                <w:sz w:val="16"/>
                <w:szCs w:val="16"/>
              </w:rPr>
              <w:t>Totaal VWS</w:t>
            </w:r>
          </w:p>
          <w:p w:rsidRPr="00062A8F" w:rsidR="00DA527E" w:rsidP="0016573E" w:rsidRDefault="00DA527E">
            <w:pPr>
              <w:rPr>
                <w:b/>
                <w:i/>
                <w:sz w:val="16"/>
                <w:szCs w:val="16"/>
              </w:rPr>
            </w:pPr>
          </w:p>
        </w:tc>
        <w:tc>
          <w:tcPr>
            <w:tcW w:w="1190" w:type="dxa"/>
            <w:vAlign w:val="center"/>
          </w:tcPr>
          <w:p w:rsidRPr="00A70261" w:rsidR="00DA527E" w:rsidP="00DA527E" w:rsidRDefault="00DA527E">
            <w:pPr>
              <w:jc w:val="right"/>
              <w:rPr>
                <w:b/>
                <w:bCs/>
                <w:i/>
                <w:color w:val="000000"/>
                <w:sz w:val="16"/>
                <w:szCs w:val="16"/>
              </w:rPr>
            </w:pPr>
            <w:r w:rsidRPr="00A70261">
              <w:rPr>
                <w:b/>
                <w:bCs/>
                <w:i/>
                <w:color w:val="000000"/>
                <w:sz w:val="16"/>
                <w:szCs w:val="16"/>
              </w:rPr>
              <w:t>6.629.460</w:t>
            </w:r>
          </w:p>
        </w:tc>
        <w:tc>
          <w:tcPr>
            <w:tcW w:w="1236" w:type="dxa"/>
            <w:vAlign w:val="center"/>
          </w:tcPr>
          <w:p w:rsidRPr="00A70261" w:rsidR="00DA527E" w:rsidP="00DA527E" w:rsidRDefault="00DA527E">
            <w:pPr>
              <w:jc w:val="right"/>
              <w:rPr>
                <w:b/>
                <w:bCs/>
                <w:i/>
                <w:color w:val="000000"/>
                <w:sz w:val="16"/>
                <w:szCs w:val="16"/>
              </w:rPr>
            </w:pPr>
            <w:r w:rsidRPr="00A70261">
              <w:rPr>
                <w:b/>
                <w:bCs/>
                <w:i/>
                <w:color w:val="000000"/>
                <w:sz w:val="16"/>
                <w:szCs w:val="16"/>
              </w:rPr>
              <w:t>6.317.551</w:t>
            </w:r>
          </w:p>
        </w:tc>
        <w:tc>
          <w:tcPr>
            <w:tcW w:w="1190" w:type="dxa"/>
            <w:vAlign w:val="center"/>
          </w:tcPr>
          <w:p w:rsidRPr="00A70261" w:rsidR="00DA527E" w:rsidP="00DA527E" w:rsidRDefault="00DA527E">
            <w:pPr>
              <w:jc w:val="right"/>
              <w:rPr>
                <w:b/>
                <w:bCs/>
                <w:i/>
                <w:color w:val="000000"/>
                <w:sz w:val="16"/>
                <w:szCs w:val="16"/>
              </w:rPr>
            </w:pPr>
            <w:r w:rsidRPr="00A70261">
              <w:rPr>
                <w:b/>
                <w:bCs/>
                <w:i/>
                <w:color w:val="000000"/>
                <w:sz w:val="16"/>
                <w:szCs w:val="16"/>
              </w:rPr>
              <w:t>6.715.634</w:t>
            </w:r>
          </w:p>
        </w:tc>
        <w:tc>
          <w:tcPr>
            <w:tcW w:w="1190" w:type="dxa"/>
            <w:vAlign w:val="center"/>
          </w:tcPr>
          <w:p w:rsidRPr="00A70261" w:rsidR="00DA527E" w:rsidP="00DA527E" w:rsidRDefault="00DA527E">
            <w:pPr>
              <w:jc w:val="right"/>
              <w:rPr>
                <w:b/>
                <w:bCs/>
                <w:i/>
                <w:color w:val="000000"/>
                <w:sz w:val="16"/>
                <w:szCs w:val="16"/>
              </w:rPr>
            </w:pPr>
            <w:r w:rsidRPr="00A70261">
              <w:rPr>
                <w:b/>
                <w:bCs/>
                <w:i/>
                <w:color w:val="000000"/>
                <w:sz w:val="16"/>
                <w:szCs w:val="16"/>
              </w:rPr>
              <w:t>6.630.118</w:t>
            </w:r>
          </w:p>
        </w:tc>
        <w:tc>
          <w:tcPr>
            <w:tcW w:w="1319" w:type="dxa"/>
            <w:vAlign w:val="center"/>
          </w:tcPr>
          <w:p w:rsidRPr="00A70261" w:rsidR="00DA527E" w:rsidP="00DA527E" w:rsidRDefault="00DA527E">
            <w:pPr>
              <w:jc w:val="right"/>
              <w:rPr>
                <w:b/>
                <w:bCs/>
                <w:i/>
                <w:color w:val="000000"/>
                <w:sz w:val="16"/>
                <w:szCs w:val="16"/>
              </w:rPr>
            </w:pPr>
            <w:r w:rsidRPr="00A70261">
              <w:rPr>
                <w:b/>
                <w:bCs/>
                <w:i/>
                <w:color w:val="000000"/>
                <w:sz w:val="16"/>
                <w:szCs w:val="16"/>
              </w:rPr>
              <w:t>€ 6.170.534</w:t>
            </w:r>
          </w:p>
        </w:tc>
      </w:tr>
      <w:tr w:rsidRPr="00062A8F" w:rsidR="00733A69" w:rsidTr="003A2B18">
        <w:tc>
          <w:tcPr>
            <w:tcW w:w="2510" w:type="dxa"/>
          </w:tcPr>
          <w:p w:rsidR="00733A69" w:rsidP="0016573E" w:rsidRDefault="00733A69">
            <w:pPr>
              <w:rPr>
                <w:b/>
                <w:i/>
                <w:sz w:val="16"/>
                <w:szCs w:val="16"/>
              </w:rPr>
            </w:pPr>
          </w:p>
          <w:p w:rsidRPr="00062A8F" w:rsidR="00733A69" w:rsidP="0016573E" w:rsidRDefault="00890E88">
            <w:pPr>
              <w:rPr>
                <w:b/>
                <w:i/>
                <w:sz w:val="16"/>
                <w:szCs w:val="16"/>
              </w:rPr>
            </w:pPr>
            <w:r>
              <w:rPr>
                <w:b/>
                <w:i/>
                <w:sz w:val="16"/>
                <w:szCs w:val="16"/>
              </w:rPr>
              <w:t xml:space="preserve">Via </w:t>
            </w:r>
            <w:r w:rsidRPr="00062A8F" w:rsidR="00733A69">
              <w:rPr>
                <w:b/>
                <w:i/>
                <w:sz w:val="16"/>
                <w:szCs w:val="16"/>
              </w:rPr>
              <w:t>ZonMw</w:t>
            </w:r>
          </w:p>
          <w:p w:rsidRPr="00062A8F" w:rsidR="00733A69" w:rsidP="0016573E" w:rsidRDefault="00733A69">
            <w:pPr>
              <w:rPr>
                <w:b/>
                <w:i/>
                <w:sz w:val="16"/>
                <w:szCs w:val="16"/>
              </w:rPr>
            </w:pPr>
          </w:p>
        </w:tc>
        <w:tc>
          <w:tcPr>
            <w:tcW w:w="6125" w:type="dxa"/>
            <w:gridSpan w:val="5"/>
          </w:tcPr>
          <w:p w:rsidR="00733A69" w:rsidP="0016573E" w:rsidRDefault="00733A69">
            <w:pPr>
              <w:tabs>
                <w:tab w:val="left" w:pos="1598"/>
              </w:tabs>
              <w:jc w:val="center"/>
              <w:rPr>
                <w:b/>
                <w:i/>
                <w:sz w:val="16"/>
                <w:szCs w:val="16"/>
              </w:rPr>
            </w:pPr>
          </w:p>
          <w:p w:rsidR="00733A69" w:rsidP="0016573E" w:rsidRDefault="00733A69">
            <w:pPr>
              <w:tabs>
                <w:tab w:val="left" w:pos="1598"/>
              </w:tabs>
              <w:jc w:val="center"/>
              <w:rPr>
                <w:b/>
                <w:i/>
                <w:sz w:val="16"/>
                <w:szCs w:val="16"/>
              </w:rPr>
            </w:pPr>
            <w:r w:rsidRPr="00062A8F">
              <w:rPr>
                <w:b/>
                <w:i/>
                <w:sz w:val="16"/>
                <w:szCs w:val="16"/>
              </w:rPr>
              <w:t>4,9 miljoen</w:t>
            </w:r>
          </w:p>
          <w:p w:rsidRPr="00062A8F" w:rsidR="00733A69" w:rsidP="0016573E" w:rsidRDefault="00733A69">
            <w:pPr>
              <w:tabs>
                <w:tab w:val="left" w:pos="1598"/>
              </w:tabs>
              <w:jc w:val="center"/>
              <w:rPr>
                <w:b/>
                <w:i/>
                <w:sz w:val="16"/>
                <w:szCs w:val="16"/>
              </w:rPr>
            </w:pPr>
          </w:p>
        </w:tc>
      </w:tr>
      <w:tr w:rsidRPr="00062A8F" w:rsidR="00666C44" w:rsidTr="003A2B18">
        <w:tc>
          <w:tcPr>
            <w:tcW w:w="2510" w:type="dxa"/>
          </w:tcPr>
          <w:p w:rsidRPr="00062A8F" w:rsidR="00666C44" w:rsidP="0016573E" w:rsidRDefault="00890E88">
            <w:pPr>
              <w:rPr>
                <w:b/>
                <w:i/>
                <w:sz w:val="16"/>
                <w:szCs w:val="16"/>
              </w:rPr>
            </w:pPr>
            <w:r>
              <w:rPr>
                <w:b/>
                <w:i/>
                <w:sz w:val="16"/>
                <w:szCs w:val="16"/>
              </w:rPr>
              <w:t xml:space="preserve">Via </w:t>
            </w:r>
            <w:r w:rsidR="00666C44">
              <w:rPr>
                <w:b/>
                <w:i/>
                <w:sz w:val="16"/>
                <w:szCs w:val="16"/>
              </w:rPr>
              <w:t xml:space="preserve">ZonMw </w:t>
            </w:r>
            <w:r>
              <w:rPr>
                <w:b/>
                <w:i/>
                <w:sz w:val="16"/>
                <w:szCs w:val="16"/>
              </w:rPr>
              <w:t>subsidie</w:t>
            </w:r>
            <w:r w:rsidR="00EF5100">
              <w:rPr>
                <w:b/>
                <w:i/>
                <w:sz w:val="16"/>
                <w:szCs w:val="16"/>
              </w:rPr>
              <w:t xml:space="preserve"> aan</w:t>
            </w:r>
            <w:r>
              <w:rPr>
                <w:b/>
                <w:i/>
                <w:sz w:val="16"/>
                <w:szCs w:val="16"/>
              </w:rPr>
              <w:t xml:space="preserve"> </w:t>
            </w:r>
            <w:r w:rsidR="00666C44">
              <w:rPr>
                <w:b/>
                <w:i/>
                <w:sz w:val="16"/>
                <w:szCs w:val="16"/>
              </w:rPr>
              <w:t>VeiligheidNL ikv landelijke leefstijlcampagnes</w:t>
            </w:r>
          </w:p>
        </w:tc>
        <w:tc>
          <w:tcPr>
            <w:tcW w:w="6125" w:type="dxa"/>
            <w:gridSpan w:val="5"/>
          </w:tcPr>
          <w:p w:rsidR="00666C44" w:rsidP="0016573E" w:rsidRDefault="00666C44">
            <w:pPr>
              <w:tabs>
                <w:tab w:val="left" w:pos="1598"/>
              </w:tabs>
              <w:spacing w:line="240" w:lineRule="auto"/>
              <w:jc w:val="right"/>
              <w:rPr>
                <w:b/>
                <w:i/>
                <w:color w:val="000000"/>
                <w:sz w:val="16"/>
                <w:szCs w:val="16"/>
              </w:rPr>
            </w:pPr>
          </w:p>
          <w:p w:rsidR="00666C44" w:rsidP="0016573E" w:rsidRDefault="00666C44">
            <w:pPr>
              <w:spacing w:line="240" w:lineRule="auto"/>
              <w:jc w:val="center"/>
              <w:rPr>
                <w:b/>
                <w:i/>
                <w:color w:val="000000"/>
                <w:sz w:val="16"/>
                <w:szCs w:val="16"/>
              </w:rPr>
            </w:pPr>
          </w:p>
          <w:p w:rsidRPr="00666C44" w:rsidR="00666C44" w:rsidP="0016573E" w:rsidRDefault="00666C44">
            <w:pPr>
              <w:spacing w:line="240" w:lineRule="auto"/>
              <w:jc w:val="center"/>
              <w:rPr>
                <w:b/>
                <w:i/>
                <w:color w:val="000000"/>
                <w:sz w:val="16"/>
                <w:szCs w:val="16"/>
              </w:rPr>
            </w:pPr>
            <w:r>
              <w:rPr>
                <w:b/>
                <w:i/>
                <w:color w:val="000000"/>
                <w:sz w:val="16"/>
                <w:szCs w:val="16"/>
              </w:rPr>
              <w:t>7 miljoen</w:t>
            </w:r>
          </w:p>
        </w:tc>
      </w:tr>
    </w:tbl>
    <w:p w:rsidRPr="00591DEC" w:rsidR="00AC2FD4" w:rsidP="0016573E" w:rsidRDefault="00AC2FD4">
      <w:pPr>
        <w:rPr>
          <w:szCs w:val="18"/>
        </w:rPr>
      </w:pPr>
      <w:r>
        <w:rPr>
          <w:szCs w:val="18"/>
        </w:rPr>
        <w:t>*</w:t>
      </w:r>
      <w:r w:rsidR="0093606F">
        <w:rPr>
          <w:szCs w:val="18"/>
        </w:rPr>
        <w:tab/>
        <w:t xml:space="preserve">  </w:t>
      </w:r>
      <w:r>
        <w:rPr>
          <w:szCs w:val="18"/>
        </w:rPr>
        <w:t>inclusief € 0,5 miljoen extra activiteiten sportblessurepreventie</w:t>
      </w:r>
    </w:p>
    <w:p w:rsidR="00AC2FD4" w:rsidP="0093606F" w:rsidRDefault="00785012">
      <w:pPr>
        <w:spacing w:line="240" w:lineRule="auto"/>
        <w:ind w:left="284" w:hanging="284"/>
      </w:pPr>
      <w:r>
        <w:t xml:space="preserve">** OBiN omvat niet alleen vragen over ongevallen en letsels, maar </w:t>
      </w:r>
      <w:r w:rsidR="009726CF">
        <w:t>oo</w:t>
      </w:r>
      <w:r>
        <w:t>k over bewegen</w:t>
      </w:r>
      <w:r w:rsidR="009726CF">
        <w:t xml:space="preserve"> en in beperkte mate over andere volksgezondheidonderwerpen</w:t>
      </w:r>
      <w:r>
        <w:t>.</w:t>
      </w:r>
    </w:p>
    <w:p w:rsidR="00695836" w:rsidP="0016573E" w:rsidRDefault="00695836">
      <w:pPr>
        <w:spacing w:line="240" w:lineRule="auto"/>
      </w:pPr>
    </w:p>
    <w:p w:rsidR="007113F4" w:rsidP="0016573E" w:rsidRDefault="007113F4">
      <w:pPr>
        <w:spacing w:line="240" w:lineRule="auto"/>
      </w:pPr>
      <w:r>
        <w:br w:type="page"/>
      </w:r>
    </w:p>
    <w:p w:rsidR="00CE2FB7" w:rsidP="0016573E" w:rsidRDefault="00CE2FB7">
      <w:pPr>
        <w:pStyle w:val="Huisstijl-Kop1"/>
      </w:pPr>
      <w:bookmarkStart w:name="_Toc351626677" w:id="27"/>
      <w:r>
        <w:t xml:space="preserve">Percepties </w:t>
      </w:r>
      <w:r w:rsidR="00BE625A">
        <w:t>belanghebbenden (</w:t>
      </w:r>
      <w:r>
        <w:t>klankbordgroep</w:t>
      </w:r>
      <w:r w:rsidR="00EF63B2">
        <w:t>)</w:t>
      </w:r>
      <w:bookmarkEnd w:id="27"/>
    </w:p>
    <w:p w:rsidR="00CE2FB7" w:rsidP="0016573E" w:rsidRDefault="00445111">
      <w:pPr>
        <w:pStyle w:val="Huisstijl-Kop2"/>
      </w:pPr>
      <w:bookmarkStart w:name="_Toc351626678" w:id="28"/>
      <w:r>
        <w:t>Legitimiteit</w:t>
      </w:r>
      <w:bookmarkEnd w:id="28"/>
    </w:p>
    <w:p w:rsidR="00445111" w:rsidP="0016573E" w:rsidRDefault="00445111"/>
    <w:p w:rsidR="007A4013" w:rsidP="0016573E" w:rsidRDefault="007A4013">
      <w:pPr>
        <w:rPr>
          <w:szCs w:val="18"/>
        </w:rPr>
      </w:pPr>
      <w:r>
        <w:rPr>
          <w:szCs w:val="18"/>
        </w:rPr>
        <w:t xml:space="preserve">De drie rollen </w:t>
      </w:r>
      <w:r w:rsidR="00DA5E05">
        <w:rPr>
          <w:szCs w:val="18"/>
        </w:rPr>
        <w:t xml:space="preserve">‘bescherming van burgers’, ‘stimulering en facilitering’ en ‘coördinatie’ </w:t>
      </w:r>
      <w:r>
        <w:rPr>
          <w:szCs w:val="18"/>
        </w:rPr>
        <w:t>die worden benoemd en toegelicht in het rapport</w:t>
      </w:r>
      <w:r w:rsidR="00CA1F74">
        <w:rPr>
          <w:szCs w:val="18"/>
        </w:rPr>
        <w:t>,</w:t>
      </w:r>
      <w:r>
        <w:rPr>
          <w:szCs w:val="18"/>
        </w:rPr>
        <w:t xml:space="preserve"> zijn volgens de klankbordgroep inderdaad de rollen die het ministerie van VWS op zich moet nemen. De klankbordgroep ziet geen andere rollen, die het ministerie ten aanzien van letselpreventie op zich zou moeten nemen. </w:t>
      </w:r>
    </w:p>
    <w:p w:rsidR="007A4013" w:rsidP="0016573E" w:rsidRDefault="007A4013">
      <w:pPr>
        <w:rPr>
          <w:szCs w:val="18"/>
        </w:rPr>
      </w:pPr>
    </w:p>
    <w:p w:rsidR="007A4013" w:rsidP="0016573E" w:rsidRDefault="007A4013">
      <w:pPr>
        <w:rPr>
          <w:szCs w:val="18"/>
        </w:rPr>
      </w:pPr>
      <w:r>
        <w:rPr>
          <w:szCs w:val="18"/>
        </w:rPr>
        <w:t>Ten aanzien van de invulling van de rollen, is de klankb</w:t>
      </w:r>
      <w:r w:rsidR="00640EA4">
        <w:rPr>
          <w:szCs w:val="18"/>
        </w:rPr>
        <w:t>ordgroep van mening dat de regie</w:t>
      </w:r>
      <w:r>
        <w:rPr>
          <w:szCs w:val="18"/>
        </w:rPr>
        <w:t>rol sterker had gekund. De klankbordgroep relateert deze regierol aan de verantwoordelijkheidsverdeling op het terrein van</w:t>
      </w:r>
      <w:r w:rsidR="00EA6F08">
        <w:rPr>
          <w:szCs w:val="18"/>
        </w:rPr>
        <w:t xml:space="preserve"> </w:t>
      </w:r>
      <w:r w:rsidR="00BB1EA7">
        <w:rPr>
          <w:szCs w:val="18"/>
        </w:rPr>
        <w:t xml:space="preserve">de </w:t>
      </w:r>
      <w:r>
        <w:rPr>
          <w:szCs w:val="18"/>
        </w:rPr>
        <w:t xml:space="preserve">publieke gezondheid, waarvan de uitvoering door VWS gedelegeerd is naar gemeenten. De klankbordgroep constateert dat partijen letselpreventie niet zelf oppakken (bijvoorbeeld </w:t>
      </w:r>
      <w:r w:rsidR="00CA1F74">
        <w:rPr>
          <w:szCs w:val="18"/>
        </w:rPr>
        <w:t>in het kader van</w:t>
      </w:r>
      <w:r>
        <w:rPr>
          <w:szCs w:val="18"/>
        </w:rPr>
        <w:t xml:space="preserve"> academische werkplaats</w:t>
      </w:r>
      <w:r w:rsidR="00CA1F74">
        <w:rPr>
          <w:szCs w:val="18"/>
        </w:rPr>
        <w:t>en</w:t>
      </w:r>
      <w:r>
        <w:rPr>
          <w:szCs w:val="18"/>
        </w:rPr>
        <w:t xml:space="preserve">). VWS had het onderwerp meer kunnen agenderen door letselpreventie als prioriteit te benoemen in de landelijke nota en door zelf actief partijen bij elkaar te brengen. </w:t>
      </w:r>
      <w:r w:rsidR="00B15ADE">
        <w:rPr>
          <w:szCs w:val="18"/>
        </w:rPr>
        <w:t xml:space="preserve">Ook tussen de diverse departementen is sprake van schotten en had VWS de regierol sterker op kunnen pakken. De klankbordgroep geeft aan dat er winst te behalen valt op kennismanagement, gebruik van een gezamenlijk begrippenkader en een vergelijkbare aanpak van analyses van ongevallen. Ook op het gebied van gedragsverandering valt van elkaar te leren, hierin kunnen de diverse ministeries op verschillende domeinen bezig zijn. Aan geweld wordt bijvoorbeeld door verschillende ministeries aandacht gegeven. </w:t>
      </w:r>
    </w:p>
    <w:p w:rsidR="007A4013" w:rsidP="0016573E" w:rsidRDefault="007A4013">
      <w:pPr>
        <w:rPr>
          <w:szCs w:val="18"/>
        </w:rPr>
      </w:pPr>
      <w:r>
        <w:rPr>
          <w:szCs w:val="18"/>
        </w:rPr>
        <w:t>Ten aanzien van valpreventie</w:t>
      </w:r>
      <w:r w:rsidR="007C52CF">
        <w:rPr>
          <w:szCs w:val="18"/>
        </w:rPr>
        <w:t xml:space="preserve"> bij ouderen</w:t>
      </w:r>
      <w:r>
        <w:rPr>
          <w:szCs w:val="18"/>
        </w:rPr>
        <w:t xml:space="preserve"> bestaat bij de klankbordgroep het beeld dat de overheid daar geen extra in</w:t>
      </w:r>
      <w:r w:rsidR="00B15ADE">
        <w:rPr>
          <w:szCs w:val="18"/>
        </w:rPr>
        <w:t>zet</w:t>
      </w:r>
      <w:r>
        <w:rPr>
          <w:szCs w:val="18"/>
        </w:rPr>
        <w:t xml:space="preserve"> op heeft gedaan.</w:t>
      </w:r>
    </w:p>
    <w:p w:rsidR="00445111" w:rsidP="0016573E" w:rsidRDefault="00445111">
      <w:pPr>
        <w:pStyle w:val="Huisstijl-Kop2"/>
      </w:pPr>
      <w:bookmarkStart w:name="_Toc351626679" w:id="29"/>
      <w:r>
        <w:t>Doeltreffendheid en doe</w:t>
      </w:r>
      <w:r w:rsidR="00E266A7">
        <w:t>l</w:t>
      </w:r>
      <w:r>
        <w:t>matigheid</w:t>
      </w:r>
      <w:bookmarkEnd w:id="29"/>
    </w:p>
    <w:p w:rsidR="00445111" w:rsidP="0016573E" w:rsidRDefault="00445111"/>
    <w:p w:rsidR="00854284" w:rsidP="0016573E" w:rsidRDefault="00854284">
      <w:pPr>
        <w:tabs>
          <w:tab w:val="left" w:pos="1134"/>
          <w:tab w:val="left" w:pos="1276"/>
        </w:tabs>
        <w:rPr>
          <w:szCs w:val="18"/>
        </w:rPr>
      </w:pPr>
      <w:r>
        <w:rPr>
          <w:szCs w:val="18"/>
        </w:rPr>
        <w:t>Er is maar een beperkte uitspraak te doen over zowel doeltreffendheid als doelmatigheid, omdat externe factoren behoorlijk van invloed zijn op de effectiviteit van het letselpreventiebeleid.</w:t>
      </w:r>
    </w:p>
    <w:p w:rsidR="00854284" w:rsidP="0016573E" w:rsidRDefault="00854284"/>
    <w:p w:rsidRPr="007A4013" w:rsidR="007A4013" w:rsidP="0016573E" w:rsidRDefault="00455FD4">
      <w:pPr>
        <w:rPr>
          <w:i/>
        </w:rPr>
      </w:pPr>
      <w:r>
        <w:rPr>
          <w:i/>
        </w:rPr>
        <w:t>D</w:t>
      </w:r>
      <w:r w:rsidR="007A4013">
        <w:rPr>
          <w:i/>
        </w:rPr>
        <w:t>oeltreffendheid</w:t>
      </w:r>
    </w:p>
    <w:p w:rsidR="00825CD7" w:rsidP="0016573E" w:rsidRDefault="007A4013">
      <w:pPr>
        <w:tabs>
          <w:tab w:val="left" w:pos="1134"/>
          <w:tab w:val="left" w:pos="1276"/>
        </w:tabs>
        <w:rPr>
          <w:szCs w:val="18"/>
        </w:rPr>
      </w:pPr>
      <w:r>
        <w:rPr>
          <w:szCs w:val="18"/>
        </w:rPr>
        <w:t>De klankbordgroep erkent dat het moeilijk is om zo’n groot terrein in beeld te krijgen, maar dat het goed gelukt is wat betreft gegevensbronnen. De DALY</w:t>
      </w:r>
      <w:r w:rsidR="00854284">
        <w:rPr>
          <w:szCs w:val="18"/>
        </w:rPr>
        <w:t xml:space="preserve"> berekening voor suïcide is </w:t>
      </w:r>
      <w:r>
        <w:rPr>
          <w:szCs w:val="18"/>
        </w:rPr>
        <w:t xml:space="preserve">verbeterd waardoor een nauwkeuriger interpretatie van de cijfers van de huidige registraties kan plaatsvinden. </w:t>
      </w:r>
      <w:r w:rsidR="00CA1F74">
        <w:rPr>
          <w:szCs w:val="18"/>
        </w:rPr>
        <w:t xml:space="preserve">Hier worden enkele </w:t>
      </w:r>
      <w:r>
        <w:rPr>
          <w:szCs w:val="18"/>
        </w:rPr>
        <w:t>kanttekeningen bij</w:t>
      </w:r>
      <w:r w:rsidR="00CA1F74">
        <w:rPr>
          <w:szCs w:val="18"/>
        </w:rPr>
        <w:t xml:space="preserve"> geplaatst</w:t>
      </w:r>
      <w:r>
        <w:rPr>
          <w:szCs w:val="18"/>
        </w:rPr>
        <w:t>: registratie</w:t>
      </w:r>
      <w:r w:rsidR="00EE5B55">
        <w:rPr>
          <w:szCs w:val="18"/>
        </w:rPr>
        <w:t>systemen (naast die van VWS) zijn</w:t>
      </w:r>
      <w:r>
        <w:rPr>
          <w:szCs w:val="18"/>
        </w:rPr>
        <w:t xml:space="preserve"> niet op alle terreinen goed/gelijk gebleven</w:t>
      </w:r>
      <w:r w:rsidR="00CA1F74">
        <w:rPr>
          <w:szCs w:val="18"/>
        </w:rPr>
        <w:t xml:space="preserve"> (</w:t>
      </w:r>
      <w:r>
        <w:rPr>
          <w:szCs w:val="18"/>
        </w:rPr>
        <w:t>verkeer, arbeid, geweld</w:t>
      </w:r>
      <w:r w:rsidR="00CA1F74">
        <w:rPr>
          <w:szCs w:val="18"/>
        </w:rPr>
        <w:t>)</w:t>
      </w:r>
      <w:r w:rsidR="00EE5B55">
        <w:rPr>
          <w:szCs w:val="18"/>
        </w:rPr>
        <w:t>.</w:t>
      </w:r>
      <w:r w:rsidR="00CA1F74">
        <w:rPr>
          <w:szCs w:val="18"/>
        </w:rPr>
        <w:t xml:space="preserve"> </w:t>
      </w:r>
      <w:r w:rsidR="00EE5B55">
        <w:rPr>
          <w:szCs w:val="18"/>
        </w:rPr>
        <w:t>B</w:t>
      </w:r>
      <w:r>
        <w:rPr>
          <w:szCs w:val="18"/>
        </w:rPr>
        <w:t>ij geweld is sprake van een onderrapportage</w:t>
      </w:r>
      <w:r w:rsidR="00CA1F74">
        <w:rPr>
          <w:szCs w:val="18"/>
        </w:rPr>
        <w:t xml:space="preserve"> </w:t>
      </w:r>
      <w:r w:rsidR="00EE5B55">
        <w:rPr>
          <w:szCs w:val="18"/>
        </w:rPr>
        <w:t>via het politieregistratiesysteem</w:t>
      </w:r>
      <w:r>
        <w:rPr>
          <w:szCs w:val="18"/>
        </w:rPr>
        <w:t>.</w:t>
      </w:r>
      <w:r w:rsidR="00825CD7">
        <w:rPr>
          <w:szCs w:val="18"/>
        </w:rPr>
        <w:t xml:space="preserve"> Voorts stelt de klankbordgroep dat </w:t>
      </w:r>
      <w:r w:rsidR="00B67E0E">
        <w:rPr>
          <w:szCs w:val="18"/>
        </w:rPr>
        <w:t xml:space="preserve">de interpretatie van de cijfers nog wel een </w:t>
      </w:r>
      <w:r w:rsidR="00EE5B55">
        <w:rPr>
          <w:szCs w:val="18"/>
        </w:rPr>
        <w:t xml:space="preserve">extra </w:t>
      </w:r>
      <w:r w:rsidR="00B67E0E">
        <w:rPr>
          <w:szCs w:val="18"/>
        </w:rPr>
        <w:t>verdiepingsslag verdient</w:t>
      </w:r>
      <w:r w:rsidR="001D2E99">
        <w:rPr>
          <w:szCs w:val="18"/>
        </w:rPr>
        <w:t xml:space="preserve"> voor toekomstig beleid</w:t>
      </w:r>
      <w:r w:rsidR="00B67E0E">
        <w:rPr>
          <w:szCs w:val="18"/>
        </w:rPr>
        <w:t>.</w:t>
      </w:r>
    </w:p>
    <w:p w:rsidR="007A4013" w:rsidP="0016573E" w:rsidRDefault="007A4013">
      <w:pPr>
        <w:tabs>
          <w:tab w:val="left" w:pos="1134"/>
          <w:tab w:val="left" w:pos="1276"/>
        </w:tabs>
        <w:rPr>
          <w:szCs w:val="18"/>
        </w:rPr>
      </w:pPr>
      <w:r>
        <w:rPr>
          <w:szCs w:val="18"/>
        </w:rPr>
        <w:t xml:space="preserve">De klankbordgroep is van mening dat de gemaakte afbakening te beperkt is. Een deel van de gevolgen van letsels wordt gemist omdat de psychische en sociale gevolgen buiten beschouwing gelaten worden (dit is overigens nog een onontgonnen terrein). </w:t>
      </w:r>
      <w:r w:rsidR="00835300">
        <w:rPr>
          <w:szCs w:val="18"/>
        </w:rPr>
        <w:t>Ook is</w:t>
      </w:r>
      <w:r>
        <w:rPr>
          <w:szCs w:val="18"/>
        </w:rPr>
        <w:t xml:space="preserve"> het een gemiste kans dat er nog geen </w:t>
      </w:r>
      <w:r w:rsidR="00854284">
        <w:rPr>
          <w:szCs w:val="18"/>
        </w:rPr>
        <w:t xml:space="preserve">verbeterde </w:t>
      </w:r>
      <w:r>
        <w:rPr>
          <w:szCs w:val="18"/>
        </w:rPr>
        <w:t>DALY</w:t>
      </w:r>
      <w:r w:rsidR="00854284">
        <w:rPr>
          <w:szCs w:val="18"/>
        </w:rPr>
        <w:t xml:space="preserve"> berekening</w:t>
      </w:r>
      <w:r>
        <w:rPr>
          <w:szCs w:val="18"/>
        </w:rPr>
        <w:t xml:space="preserve"> is voor geweld.</w:t>
      </w:r>
    </w:p>
    <w:p w:rsidR="00EF0A68" w:rsidP="0016573E" w:rsidRDefault="007A4013">
      <w:pPr>
        <w:tabs>
          <w:tab w:val="left" w:pos="1134"/>
          <w:tab w:val="left" w:pos="1276"/>
        </w:tabs>
        <w:rPr>
          <w:szCs w:val="18"/>
        </w:rPr>
      </w:pPr>
      <w:r>
        <w:rPr>
          <w:szCs w:val="18"/>
        </w:rPr>
        <w:t>De klankbordgroep constateert dat de kosten van letsels</w:t>
      </w:r>
      <w:r w:rsidR="00835300">
        <w:rPr>
          <w:szCs w:val="18"/>
        </w:rPr>
        <w:t xml:space="preserve"> met 50% zijn toegenomen, maar dat dit </w:t>
      </w:r>
      <w:r>
        <w:rPr>
          <w:szCs w:val="18"/>
        </w:rPr>
        <w:t xml:space="preserve">nog niets </w:t>
      </w:r>
      <w:r w:rsidR="00835300">
        <w:rPr>
          <w:szCs w:val="18"/>
        </w:rPr>
        <w:t xml:space="preserve">zegt </w:t>
      </w:r>
      <w:r>
        <w:rPr>
          <w:szCs w:val="18"/>
        </w:rPr>
        <w:t xml:space="preserve">over de doeltreffendheid van het overheidsbeleid. </w:t>
      </w:r>
      <w:r w:rsidR="00682342">
        <w:rPr>
          <w:szCs w:val="18"/>
        </w:rPr>
        <w:t xml:space="preserve"> </w:t>
      </w:r>
    </w:p>
    <w:p w:rsidR="00854284" w:rsidP="0016573E" w:rsidRDefault="00EF0A68">
      <w:pPr>
        <w:tabs>
          <w:tab w:val="left" w:pos="1134"/>
          <w:tab w:val="left" w:pos="1276"/>
        </w:tabs>
        <w:rPr>
          <w:szCs w:val="18"/>
        </w:rPr>
      </w:pPr>
      <w:r>
        <w:rPr>
          <w:szCs w:val="18"/>
        </w:rPr>
        <w:t xml:space="preserve">Ten aanzien van effectieve interventies vraagt de klankbordgroep zich af of er voldoende inzicht is in het gebruik van deze interventies. </w:t>
      </w:r>
      <w:r w:rsidR="007A4013">
        <w:rPr>
          <w:szCs w:val="18"/>
        </w:rPr>
        <w:t xml:space="preserve">Geconcludeerd wordt dat er geen harde uitspraken gedaan kunnen worden over doeltreffendheid. Wel wordt geconstateerd dat het suïcidebeleid niet tot succes geleid heeft. </w:t>
      </w:r>
    </w:p>
    <w:p w:rsidR="007A4013" w:rsidP="0016573E" w:rsidRDefault="007A4013">
      <w:pPr>
        <w:tabs>
          <w:tab w:val="left" w:pos="1134"/>
          <w:tab w:val="left" w:pos="1276"/>
        </w:tabs>
        <w:rPr>
          <w:i/>
          <w:szCs w:val="18"/>
        </w:rPr>
      </w:pPr>
    </w:p>
    <w:p w:rsidR="007A4013" w:rsidP="0016573E" w:rsidRDefault="007A4013">
      <w:pPr>
        <w:tabs>
          <w:tab w:val="left" w:pos="1134"/>
          <w:tab w:val="left" w:pos="1276"/>
        </w:tabs>
        <w:rPr>
          <w:i/>
          <w:szCs w:val="18"/>
        </w:rPr>
      </w:pPr>
      <w:r w:rsidRPr="00082132">
        <w:rPr>
          <w:i/>
          <w:szCs w:val="18"/>
        </w:rPr>
        <w:t>Doelm</w:t>
      </w:r>
      <w:r>
        <w:rPr>
          <w:i/>
          <w:szCs w:val="18"/>
        </w:rPr>
        <w:t>atigheid</w:t>
      </w:r>
    </w:p>
    <w:p w:rsidR="007A4013" w:rsidP="0016573E" w:rsidRDefault="007A4013">
      <w:pPr>
        <w:tabs>
          <w:tab w:val="left" w:pos="1134"/>
          <w:tab w:val="left" w:pos="1276"/>
        </w:tabs>
        <w:rPr>
          <w:szCs w:val="18"/>
        </w:rPr>
      </w:pPr>
      <w:r>
        <w:rPr>
          <w:szCs w:val="18"/>
        </w:rPr>
        <w:t xml:space="preserve">Zoals hiervoor aangegeven, kan slechts een beperkte uitspraak gedaan worden over zowel doeltreffendheid als doelmatigheid, omdat externe factoren </w:t>
      </w:r>
      <w:r w:rsidR="0018546A">
        <w:rPr>
          <w:szCs w:val="18"/>
        </w:rPr>
        <w:t>in verschillende mate</w:t>
      </w:r>
      <w:r>
        <w:rPr>
          <w:szCs w:val="18"/>
        </w:rPr>
        <w:t xml:space="preserve"> van invloed zijn op de effectiviteit van het letselpreventiebeleid.</w:t>
      </w:r>
    </w:p>
    <w:p w:rsidR="007A4013" w:rsidP="0016573E" w:rsidRDefault="007A4013">
      <w:pPr>
        <w:tabs>
          <w:tab w:val="left" w:pos="1134"/>
          <w:tab w:val="left" w:pos="1276"/>
        </w:tabs>
        <w:rPr>
          <w:szCs w:val="18"/>
        </w:rPr>
      </w:pPr>
      <w:r>
        <w:rPr>
          <w:szCs w:val="18"/>
        </w:rPr>
        <w:t>De klankbordgroep stelt dat de overheid op zich de juiste instrumenten heeft ingezet, maar dat het randvoorwaardelijk beter had gekund. Ze had een meer proactieve rol van de overheid verwacht in het agenderen en aanjagen van acties op het terrein van letselpreventie.</w:t>
      </w:r>
    </w:p>
    <w:p w:rsidRPr="00854284" w:rsidR="0000784A" w:rsidP="0016573E" w:rsidRDefault="007A4013">
      <w:pPr>
        <w:tabs>
          <w:tab w:val="left" w:pos="1134"/>
          <w:tab w:val="left" w:pos="1276"/>
        </w:tabs>
        <w:rPr>
          <w:szCs w:val="18"/>
        </w:rPr>
      </w:pPr>
      <w:r>
        <w:rPr>
          <w:szCs w:val="18"/>
        </w:rPr>
        <w:t>Ten aanzien van wet- en regelgeving op het gebied van kinderveiligheid is er nog wel winst te behalen: te denken valt aan schoolzwemmen, fietshelmen, thermostaatkranen.</w:t>
      </w:r>
    </w:p>
    <w:p w:rsidR="0000784A" w:rsidP="0016573E" w:rsidRDefault="0000784A">
      <w:pPr>
        <w:pStyle w:val="Huisstijl-Kop2"/>
      </w:pPr>
      <w:bookmarkStart w:name="_Toc351626680" w:id="30"/>
      <w:r>
        <w:t>Aanbevelingen</w:t>
      </w:r>
      <w:bookmarkEnd w:id="30"/>
    </w:p>
    <w:p w:rsidR="00AA3805" w:rsidP="0016573E" w:rsidRDefault="00AA3805">
      <w:pPr>
        <w:spacing w:line="240" w:lineRule="auto"/>
      </w:pPr>
    </w:p>
    <w:p w:rsidR="00AA3805" w:rsidP="0016573E" w:rsidRDefault="00AA3805">
      <w:pPr>
        <w:pStyle w:val="Lijstalinea"/>
        <w:spacing w:after="0" w:line="240" w:lineRule="exact"/>
        <w:ind w:left="0"/>
        <w:rPr>
          <w:rFonts w:ascii="Verdana" w:hAnsi="Verdana"/>
          <w:sz w:val="18"/>
          <w:szCs w:val="18"/>
        </w:rPr>
      </w:pPr>
      <w:r>
        <w:rPr>
          <w:rFonts w:ascii="Verdana" w:hAnsi="Verdana"/>
          <w:sz w:val="18"/>
          <w:szCs w:val="18"/>
        </w:rPr>
        <w:t>De klankbordgroep formuleert gezamenlijk de volgende aanbevelingen ten aanzien van het letselpreventiebeleid:</w:t>
      </w:r>
    </w:p>
    <w:p w:rsidR="00AA3805" w:rsidP="0016573E" w:rsidRDefault="00AA3805">
      <w:pPr>
        <w:pStyle w:val="Lijstalinea"/>
        <w:spacing w:after="0" w:line="240" w:lineRule="exact"/>
        <w:ind w:left="0"/>
        <w:rPr>
          <w:rFonts w:ascii="Verdana" w:hAnsi="Verdana"/>
          <w:sz w:val="18"/>
          <w:szCs w:val="18"/>
        </w:rPr>
      </w:pPr>
    </w:p>
    <w:p w:rsidRPr="008044AE" w:rsidR="00AA3805" w:rsidP="0016573E" w:rsidRDefault="00AA3805">
      <w:pPr>
        <w:pStyle w:val="Lijstalinea"/>
        <w:spacing w:after="0" w:line="240" w:lineRule="exact"/>
        <w:ind w:left="0"/>
        <w:rPr>
          <w:rFonts w:ascii="Verdana" w:hAnsi="Verdana"/>
          <w:i/>
          <w:sz w:val="18"/>
          <w:szCs w:val="18"/>
        </w:rPr>
      </w:pPr>
      <w:r w:rsidRPr="008044AE">
        <w:rPr>
          <w:i/>
        </w:rPr>
        <w:t>Verantwoordelijkheid en rol overheid</w:t>
      </w:r>
    </w:p>
    <w:p w:rsidR="00AA3805" w:rsidP="0016573E" w:rsidRDefault="00AA3805">
      <w:pPr>
        <w:pStyle w:val="Lijstalinea"/>
        <w:spacing w:after="0" w:line="240" w:lineRule="exact"/>
        <w:ind w:left="0"/>
        <w:rPr>
          <w:rFonts w:ascii="Verdana" w:hAnsi="Verdana"/>
          <w:sz w:val="18"/>
          <w:szCs w:val="18"/>
        </w:rPr>
      </w:pPr>
      <w:r>
        <w:rPr>
          <w:rFonts w:ascii="Verdana" w:hAnsi="Verdana"/>
          <w:sz w:val="18"/>
          <w:szCs w:val="18"/>
        </w:rPr>
        <w:t>Een krachtiger regierol, ook interdepartementaal, door toezicht op afspraken met partners en door te sturen op ontwikkeling, gebruik van een gezamenlijk begrippenkader en vergelijkbare aanpak van analyses van ongevallen. De regierol houdt ook in dat de verantwoordelijkheidsverdeling tussen nationale en lokale overheid en andere spelers helder is en er een goede kennisintegratie bestaat tussen de domeinen.</w:t>
      </w:r>
    </w:p>
    <w:p w:rsidR="00AA3805" w:rsidP="0016573E" w:rsidRDefault="00AA3805">
      <w:pPr>
        <w:pStyle w:val="Lijstalinea"/>
        <w:spacing w:after="0" w:line="240" w:lineRule="exact"/>
        <w:ind w:left="0"/>
        <w:rPr>
          <w:rFonts w:ascii="Verdana" w:hAnsi="Verdana"/>
          <w:sz w:val="18"/>
          <w:szCs w:val="18"/>
        </w:rPr>
      </w:pPr>
      <w:r>
        <w:rPr>
          <w:rFonts w:ascii="Verdana" w:hAnsi="Verdana"/>
          <w:sz w:val="18"/>
          <w:szCs w:val="18"/>
        </w:rPr>
        <w:t>Ter verbetering van doeltreffendheid en doelmatigheid is het aan te bevelen vooraf een doelen- en effectenboom te maken ten aanzien van het beleid en verwachte resultaten, waarbij ook de inzet van geld en actoren helder gemaakt wordt. Het beleid zou zich moeten concentreren op de top 10 van ongevalscenario’s per domein/doelgroep.</w:t>
      </w:r>
    </w:p>
    <w:p w:rsidR="00AA3805" w:rsidP="0016573E" w:rsidRDefault="00AA3805">
      <w:pPr>
        <w:pStyle w:val="Lijstalinea"/>
        <w:spacing w:after="0" w:line="240" w:lineRule="exact"/>
        <w:ind w:left="0"/>
        <w:rPr>
          <w:rFonts w:ascii="Verdana" w:hAnsi="Verdana"/>
          <w:sz w:val="18"/>
          <w:szCs w:val="18"/>
        </w:rPr>
      </w:pPr>
    </w:p>
    <w:p w:rsidRPr="008044AE" w:rsidR="00AA3805" w:rsidP="0016573E" w:rsidRDefault="00AA3805">
      <w:pPr>
        <w:pStyle w:val="Lijstalinea"/>
        <w:spacing w:after="0" w:line="240" w:lineRule="exact"/>
        <w:ind w:left="0"/>
        <w:rPr>
          <w:rFonts w:ascii="Verdana" w:hAnsi="Verdana"/>
          <w:i/>
          <w:sz w:val="18"/>
          <w:szCs w:val="18"/>
        </w:rPr>
      </w:pPr>
      <w:r w:rsidRPr="008044AE">
        <w:rPr>
          <w:rFonts w:ascii="Verdana" w:hAnsi="Verdana"/>
          <w:i/>
          <w:sz w:val="18"/>
          <w:szCs w:val="18"/>
        </w:rPr>
        <w:t>Gerichte informatievoorziening</w:t>
      </w:r>
    </w:p>
    <w:p w:rsidR="00AA3805" w:rsidP="0016573E" w:rsidRDefault="00AA3805">
      <w:pPr>
        <w:pStyle w:val="Lijstalinea"/>
        <w:spacing w:after="0" w:line="240" w:lineRule="exact"/>
        <w:ind w:left="0"/>
        <w:rPr>
          <w:rFonts w:ascii="Verdana" w:hAnsi="Verdana"/>
          <w:sz w:val="18"/>
          <w:szCs w:val="18"/>
        </w:rPr>
      </w:pPr>
      <w:r>
        <w:rPr>
          <w:rFonts w:ascii="Verdana" w:hAnsi="Verdana"/>
          <w:sz w:val="18"/>
          <w:szCs w:val="18"/>
        </w:rPr>
        <w:t>Voorlichting vooral en sterker inzetten op kwetsbare groepen (kinderen en ouderen) op basis van goede analyse en meest doeltreffende manier om gedragsverandering teweeg te brengen. Stimuleer gezondheid in de verschillende levensfasen.</w:t>
      </w:r>
    </w:p>
    <w:p w:rsidR="00AA3805" w:rsidP="0016573E" w:rsidRDefault="00AA3805">
      <w:pPr>
        <w:pStyle w:val="Lijstalinea"/>
        <w:spacing w:after="0" w:line="240" w:lineRule="exact"/>
        <w:ind w:left="0"/>
        <w:rPr>
          <w:rFonts w:ascii="Verdana" w:hAnsi="Verdana"/>
          <w:b/>
          <w:sz w:val="18"/>
          <w:szCs w:val="18"/>
        </w:rPr>
      </w:pPr>
    </w:p>
    <w:p w:rsidRPr="008044AE" w:rsidR="00AA3805" w:rsidP="0016573E" w:rsidRDefault="00AA3805">
      <w:pPr>
        <w:pStyle w:val="Lijstalinea"/>
        <w:spacing w:after="0" w:line="240" w:lineRule="exact"/>
        <w:ind w:left="0"/>
        <w:rPr>
          <w:rFonts w:ascii="Verdana" w:hAnsi="Verdana"/>
          <w:i/>
          <w:sz w:val="18"/>
          <w:szCs w:val="18"/>
        </w:rPr>
      </w:pPr>
      <w:r w:rsidRPr="008044AE">
        <w:rPr>
          <w:rFonts w:ascii="Verdana" w:hAnsi="Verdana"/>
          <w:i/>
          <w:sz w:val="18"/>
          <w:szCs w:val="18"/>
        </w:rPr>
        <w:t>Verdieping inzicht letselproblematiek</w:t>
      </w:r>
    </w:p>
    <w:p w:rsidR="00AA3805" w:rsidP="0016573E" w:rsidRDefault="00AA3805">
      <w:pPr>
        <w:pStyle w:val="Lijstalinea"/>
        <w:spacing w:after="0" w:line="240" w:lineRule="exact"/>
        <w:ind w:left="0"/>
        <w:rPr>
          <w:rFonts w:ascii="Verdana" w:hAnsi="Verdana"/>
          <w:sz w:val="18"/>
          <w:szCs w:val="18"/>
        </w:rPr>
      </w:pPr>
      <w:r>
        <w:rPr>
          <w:rFonts w:ascii="Verdana" w:hAnsi="Verdana"/>
          <w:sz w:val="18"/>
          <w:szCs w:val="18"/>
        </w:rPr>
        <w:t xml:space="preserve">De huidige indicator (SEH-behandelingen) geeft onvoldoende inzicht, DALY’s of kosten zijn een betere indicator. De klankbordgroep beveelt verder aan om de cijfers te corrigeren voor </w:t>
      </w:r>
      <w:r w:rsidR="003771C6">
        <w:rPr>
          <w:rFonts w:ascii="Verdana" w:hAnsi="Verdana"/>
          <w:sz w:val="18"/>
          <w:szCs w:val="18"/>
        </w:rPr>
        <w:t xml:space="preserve">aan risico’s </w:t>
      </w:r>
      <w:r>
        <w:rPr>
          <w:rFonts w:ascii="Verdana" w:hAnsi="Verdana"/>
          <w:sz w:val="18"/>
          <w:szCs w:val="18"/>
        </w:rPr>
        <w:t>blootgestelde populaties voor de verschillende domeinen. Ook zou voor elk domein een goede duiding van de cijfers moeten worden gegeven. De berekening van de DALY’s voor geweld moet worden verbeterd, daarnaast moeten ook de psychische en sociale gevolgen van letsels worden meegenomen.</w:t>
      </w:r>
    </w:p>
    <w:p w:rsidR="00CE2FB7" w:rsidP="0016573E" w:rsidRDefault="00AA3805">
      <w:pPr>
        <w:pStyle w:val="Lijstalinea"/>
        <w:spacing w:after="0" w:line="240" w:lineRule="exact"/>
        <w:ind w:left="0"/>
        <w:rPr>
          <w:sz w:val="24"/>
        </w:rPr>
      </w:pPr>
      <w:r>
        <w:rPr>
          <w:rFonts w:ascii="Verdana" w:hAnsi="Verdana"/>
          <w:sz w:val="18"/>
          <w:szCs w:val="18"/>
        </w:rPr>
        <w:t>Het aantal effectieve interventies is beperkt, e</w:t>
      </w:r>
      <w:r w:rsidRPr="001C6D77">
        <w:rPr>
          <w:rFonts w:ascii="Verdana" w:hAnsi="Verdana"/>
          <w:sz w:val="18"/>
          <w:szCs w:val="18"/>
        </w:rPr>
        <w:t xml:space="preserve">r is meer inzicht nodig in de aangrijpingspunten/causaliteit van de ongevallen </w:t>
      </w:r>
      <w:r>
        <w:rPr>
          <w:rFonts w:ascii="Verdana" w:hAnsi="Verdana"/>
          <w:sz w:val="18"/>
          <w:szCs w:val="18"/>
        </w:rPr>
        <w:t xml:space="preserve">in de verschillende domeinen </w:t>
      </w:r>
      <w:r w:rsidRPr="001C6D77">
        <w:rPr>
          <w:rFonts w:ascii="Verdana" w:hAnsi="Verdana"/>
          <w:sz w:val="18"/>
          <w:szCs w:val="18"/>
        </w:rPr>
        <w:t>(leading indicatoren)</w:t>
      </w:r>
      <w:r>
        <w:rPr>
          <w:rFonts w:ascii="Verdana" w:hAnsi="Verdana"/>
          <w:sz w:val="18"/>
          <w:szCs w:val="18"/>
        </w:rPr>
        <w:t xml:space="preserve">, zodat de gevaren meer centraal komen te staan in plaats van de gevolgen. Ook is er meer onderzoek nodig naar de implementatie van bewezen effectieve interventies in de praktijk, om te weten hoeveel geïmplementeerd wordt en wat de knelpunten en mogelijkheden zijn ter verbetering van zowel de interventie als de implementatie. </w:t>
      </w:r>
      <w:r w:rsidR="00CE2FB7">
        <w:br w:type="page"/>
      </w:r>
    </w:p>
    <w:p w:rsidR="00776AC0" w:rsidP="0016573E" w:rsidRDefault="000402A4">
      <w:pPr>
        <w:pStyle w:val="Huisstijl-Kop1"/>
      </w:pPr>
      <w:bookmarkStart w:name="_Toc351626681" w:id="31"/>
      <w:r>
        <w:t>Conclusie</w:t>
      </w:r>
      <w:bookmarkEnd w:id="31"/>
    </w:p>
    <w:p w:rsidR="00776AC0" w:rsidP="0016573E" w:rsidRDefault="00776AC0">
      <w:r w:rsidRPr="00776AC0">
        <w:t>In dit hoofdstuk word</w:t>
      </w:r>
      <w:r w:rsidR="0002109D">
        <w:t>en</w:t>
      </w:r>
      <w:r w:rsidRPr="00776AC0">
        <w:t xml:space="preserve"> de probleemanalyse, rol</w:t>
      </w:r>
      <w:r w:rsidR="0002109D">
        <w:t>(len)</w:t>
      </w:r>
      <w:r w:rsidRPr="00776AC0">
        <w:t xml:space="preserve"> van de rijksoverheid (en specifiek het ministerie van VWS), de legitimiteit, doeltreffendheid en doelmatigheid van het beleid</w:t>
      </w:r>
      <w:r w:rsidR="00B2785A">
        <w:t xml:space="preserve"> van VWS</w:t>
      </w:r>
      <w:r w:rsidRPr="00776AC0">
        <w:t xml:space="preserve"> op het gebied van letselpreventiebeleid samengevat</w:t>
      </w:r>
      <w:r>
        <w:t>.</w:t>
      </w:r>
    </w:p>
    <w:p w:rsidRPr="00776AC0" w:rsidR="002E3EA4" w:rsidP="0016573E" w:rsidRDefault="002E3EA4"/>
    <w:p w:rsidR="00947606" w:rsidP="0016573E" w:rsidRDefault="00C76DBD">
      <w:pPr>
        <w:pStyle w:val="Huisstijl-Kop2"/>
      </w:pPr>
      <w:bookmarkStart w:name="_Toc351626682" w:id="32"/>
      <w:r>
        <w:t>Aanleiding beleid</w:t>
      </w:r>
      <w:bookmarkEnd w:id="32"/>
    </w:p>
    <w:p w:rsidR="00C76DBD" w:rsidP="0016573E" w:rsidRDefault="00E80F03">
      <w:r>
        <w:t xml:space="preserve">Nederland is een van de veiligste landen van de wereld. Daar is veel inzet voor nodig geweest in alle relevante domeinen. Het vraagt continue aandacht om op </w:t>
      </w:r>
      <w:r w:rsidR="00252A6D">
        <w:t>het huidige</w:t>
      </w:r>
      <w:r>
        <w:t xml:space="preserve"> niveau te blijven. </w:t>
      </w:r>
      <w:r w:rsidR="003C7039">
        <w:t>Het betekent ook niet automatisch dat alle domeinen zich gunstig ontwikkelen, er kunnen verschuiv</w:t>
      </w:r>
      <w:r w:rsidR="00383B00">
        <w:t>ingen</w:t>
      </w:r>
      <w:r w:rsidR="003C7039">
        <w:t xml:space="preserve"> optreden tussen domeinen en doelgroepen, waardoor prioriteiten moeten worden verlegd. </w:t>
      </w:r>
      <w:r w:rsidR="00252A6D">
        <w:t>Met het huidige niveau sterven er j</w:t>
      </w:r>
      <w:r w:rsidR="008A4386">
        <w:t xml:space="preserve">aarlijks ongeveer 5.600 mensen door een ongeval of opzettelijk toegebracht letsels, vooral door een privé-ongeval (bijvoorbeeld een val in huis) of door suïcide. Veel letsels lopen gelukkig niet fataal af en worden behandeld op een SEH-afdeling of tijdens een ziekenhuisopname. Zo worden op SEH-afdelingen gemiddeld per jaar 870.000 letsels behandeld en zijn de letsels in 150.000 gevallen zodanig ernstig dat ziekenhuisopname noodzakelijk is (periode 2007-2011). </w:t>
      </w:r>
    </w:p>
    <w:p w:rsidR="00776AC0" w:rsidP="0016573E" w:rsidRDefault="00C76DBD">
      <w:r>
        <w:t xml:space="preserve">De laatste twee jaar is het aantal SEH-behandelingen voor letsels door privéongevallen en sportblessures gelijk gebleven. </w:t>
      </w:r>
      <w:r w:rsidR="00BF6EB6">
        <w:t xml:space="preserve">Maar het aantal ziekenhuisopnamen, de ziektelast en de totale kosten zijn </w:t>
      </w:r>
      <w:r w:rsidR="00473F4D">
        <w:t xml:space="preserve">in de periode 2007 – 2011 </w:t>
      </w:r>
      <w:r w:rsidR="00BF6EB6">
        <w:t xml:space="preserve">wel toegenomen. </w:t>
      </w:r>
      <w:r>
        <w:t xml:space="preserve">Dit </w:t>
      </w:r>
      <w:r w:rsidR="00BF6EB6">
        <w:t xml:space="preserve">betekent </w:t>
      </w:r>
      <w:r>
        <w:t xml:space="preserve">dat letsels </w:t>
      </w:r>
      <w:r w:rsidR="00B338A9">
        <w:t>nog steeds een relatief</w:t>
      </w:r>
      <w:r>
        <w:t xml:space="preserve"> groot volksgezondheidsprobleem zijn en de aanleiding voor het beleid nog steeds actueel is.</w:t>
      </w:r>
      <w:r w:rsidR="00B338A9">
        <w:t xml:space="preserve"> </w:t>
      </w:r>
    </w:p>
    <w:p w:rsidR="002E3EA4" w:rsidP="0016573E" w:rsidRDefault="002E3EA4"/>
    <w:p w:rsidR="000402A4" w:rsidP="0016573E" w:rsidRDefault="000402A4">
      <w:pPr>
        <w:pStyle w:val="Huisstijl-Kop2"/>
      </w:pPr>
      <w:bookmarkStart w:name="_Toc351626683" w:id="33"/>
      <w:r>
        <w:t>Rol van de overheid</w:t>
      </w:r>
      <w:bookmarkEnd w:id="33"/>
    </w:p>
    <w:p w:rsidR="00E83331" w:rsidP="0016573E" w:rsidRDefault="00B338A9">
      <w:r w:rsidRPr="00B338A9">
        <w:t>Preventie van letsels door ongevallen, geweld en suïcide levert een bedrage aan de gezonde levensverwachting en het voorkomen van vermijdbare sterfte en is daarmee een belangrijk onderdeel van het volksgezondheidsbeleid</w:t>
      </w:r>
      <w:r>
        <w:t>, zoals benoemd in artikel 22 van de Nederlandse Grondwet</w:t>
      </w:r>
      <w:r w:rsidRPr="00B338A9">
        <w:t>.</w:t>
      </w:r>
      <w:r w:rsidR="00E83331">
        <w:t xml:space="preserve"> Maar ook vanuit </w:t>
      </w:r>
      <w:r w:rsidRPr="00B338A9" w:rsidR="00E83331">
        <w:t>het oogpunt van maatschappelijke participatie (arbeid, sport, etc.), mobiliteit en veiligheid is het voorkomen van ongevallen en opzettelijk toegebracht letsel (geweld, suïcide) van belang. Dit betekent dat rijksoverheidbeleid en –verantwoordelijkheid ten aanzien van letselpreventie verdeeld is over meerdere ministeries.</w:t>
      </w:r>
    </w:p>
    <w:p w:rsidR="00B338A9" w:rsidP="0016573E" w:rsidRDefault="00B338A9"/>
    <w:p w:rsidR="00785012" w:rsidP="0016573E" w:rsidRDefault="00785012">
      <w:r>
        <w:t>Voor het letselpreventiebeleid van VWS zijn drie</w:t>
      </w:r>
      <w:r w:rsidR="00212246">
        <w:t xml:space="preserve"> rollen</w:t>
      </w:r>
      <w:r>
        <w:t xml:space="preserve"> te onderscheiden voor de overheid</w:t>
      </w:r>
      <w:r w:rsidR="009659F4">
        <w:t>:</w:t>
      </w:r>
      <w:r>
        <w:t xml:space="preserve"> bescherming van burgers</w:t>
      </w:r>
      <w:r w:rsidR="009659F4">
        <w:t xml:space="preserve"> door wet- en regelgeving</w:t>
      </w:r>
      <w:r>
        <w:t xml:space="preserve">, </w:t>
      </w:r>
      <w:r w:rsidR="009659F4">
        <w:t xml:space="preserve">een </w:t>
      </w:r>
      <w:r>
        <w:t xml:space="preserve">stimulerende en faciliterende rol in de preventie van letsels door </w:t>
      </w:r>
      <w:r w:rsidR="002513EB">
        <w:t>bevordering van gezond gedrag</w:t>
      </w:r>
      <w:r>
        <w:t xml:space="preserve"> en een coördinerende rol, zowel internationaal als nationaal over het gehele veld. </w:t>
      </w:r>
    </w:p>
    <w:p w:rsidR="00DF4D42" w:rsidP="0016573E" w:rsidRDefault="00DF4D42">
      <w:r>
        <w:t xml:space="preserve">De belanghebbenden zijn het eens met de drie rollen die het ministerie van VWS heeft vervuld ten aanzien van letselpreventie. Hierbij wordt door de klankbordgroep opgemerkt dat de coördinerende rol sterker had gekund, omdat partijen in het veld het onderwerp letselpreventie niet </w:t>
      </w:r>
      <w:r w:rsidR="00A07B43">
        <w:t>van</w:t>
      </w:r>
      <w:r>
        <w:t xml:space="preserve">zelf oppakken. Tegelijkertijd is de begeleidingsgroep van mening dat VWS zijn coördinerende rol ten aanzien van afstemming en samenwerking met alle betrokken departementen heeft opgepakt, daar waar zinvol. </w:t>
      </w:r>
    </w:p>
    <w:p w:rsidR="00DF4D42" w:rsidP="0016573E" w:rsidRDefault="00DF4D42"/>
    <w:p w:rsidR="00C76DBD" w:rsidP="0016573E" w:rsidRDefault="00C76DBD">
      <w:r>
        <w:t xml:space="preserve">Het is de verantwoordelijkheid van de </w:t>
      </w:r>
      <w:r w:rsidR="00D3185F">
        <w:t xml:space="preserve">overheid om burgers te beschermen tegen risico’s waar ze geen invloed op hebben. Maar burgers zijn zelf aan zet om zich te beschermen tegen </w:t>
      </w:r>
      <w:r>
        <w:t xml:space="preserve">risico’s die </w:t>
      </w:r>
      <w:r w:rsidR="00D3185F">
        <w:t xml:space="preserve">ze </w:t>
      </w:r>
      <w:r>
        <w:t xml:space="preserve">zelf kunnen beperken. Vanwege het relatief grote gezondheidsprobleem beschouwt het ministerie van VWS het als </w:t>
      </w:r>
      <w:r w:rsidR="00662DBA">
        <w:t>zijn</w:t>
      </w:r>
      <w:r>
        <w:t xml:space="preserve"> verantwoordelijkheid om </w:t>
      </w:r>
      <w:r w:rsidR="00D3185F">
        <w:t xml:space="preserve">ook </w:t>
      </w:r>
      <w:r w:rsidR="00383B00">
        <w:t>in te zetten op bevordering van gezond gedrag, met name van de jeugd en kwetsbare groepen</w:t>
      </w:r>
      <w:r>
        <w:t xml:space="preserve">. </w:t>
      </w:r>
      <w:r w:rsidR="001C4FF5">
        <w:t>Voor de operationele doelstelling ‘het voorkomen van gezondheidsschade door ongevallen’ (later</w:t>
      </w:r>
      <w:r w:rsidR="009659F4">
        <w:t xml:space="preserve"> ondergebracht in</w:t>
      </w:r>
      <w:r w:rsidR="001C4FF5">
        <w:t xml:space="preserve"> ‘meer mensen kiezen voor een gezonde leefstijl’</w:t>
      </w:r>
      <w:r w:rsidR="009659F4">
        <w:t>)</w:t>
      </w:r>
      <w:r w:rsidR="001C4FF5">
        <w:t xml:space="preserve"> is de inzet van de overheid</w:t>
      </w:r>
      <w:r w:rsidR="00E70FB6">
        <w:t xml:space="preserve"> op letselpreventie</w:t>
      </w:r>
      <w:r w:rsidR="001C4FF5">
        <w:t xml:space="preserve"> vooral gericht op </w:t>
      </w:r>
      <w:r w:rsidR="00DF4D42">
        <w:t xml:space="preserve">het stimuleren en faciliteren van </w:t>
      </w:r>
      <w:r w:rsidR="003D31B7">
        <w:t>gezond gedrag</w:t>
      </w:r>
      <w:r w:rsidR="001C4FF5">
        <w:t xml:space="preserve">: </w:t>
      </w:r>
      <w:r w:rsidR="00097AF4">
        <w:t xml:space="preserve">€ </w:t>
      </w:r>
      <w:r w:rsidR="00252A6D">
        <w:t>2</w:t>
      </w:r>
      <w:r w:rsidR="00A06E0C">
        <w:t>6</w:t>
      </w:r>
      <w:r w:rsidR="00097AF4">
        <w:t xml:space="preserve"> miljoen van in totaal € </w:t>
      </w:r>
      <w:r w:rsidR="00A06E0C">
        <w:t>32,5</w:t>
      </w:r>
      <w:r w:rsidR="001A71B2">
        <w:t xml:space="preserve"> miljoen</w:t>
      </w:r>
      <w:r w:rsidR="00E70FB6">
        <w:t xml:space="preserve">. </w:t>
      </w:r>
      <w:r w:rsidR="00A06E0C">
        <w:t xml:space="preserve">Via </w:t>
      </w:r>
      <w:r w:rsidR="00E70FB6">
        <w:t xml:space="preserve">ZonMw </w:t>
      </w:r>
      <w:r w:rsidR="00A06E0C">
        <w:t xml:space="preserve">is </w:t>
      </w:r>
      <w:r w:rsidR="00E70FB6">
        <w:t xml:space="preserve">ook bijgedragen aan gedragsverandering </w:t>
      </w:r>
      <w:r w:rsidR="00A06E0C">
        <w:t xml:space="preserve">vanuit </w:t>
      </w:r>
      <w:r w:rsidR="00E70FB6">
        <w:t xml:space="preserve">programma’s </w:t>
      </w:r>
      <w:r w:rsidR="00097AF4">
        <w:t xml:space="preserve">(€ </w:t>
      </w:r>
      <w:r w:rsidR="00E70FB6">
        <w:t>4</w:t>
      </w:r>
      <w:r w:rsidR="00252A6D">
        <w:t>,</w:t>
      </w:r>
      <w:r w:rsidR="00097AF4">
        <w:t>9 miljoen</w:t>
      </w:r>
      <w:r w:rsidR="00E70FB6">
        <w:t>) en massamediale campagnes (€ 7 miljoen</w:t>
      </w:r>
      <w:r w:rsidR="00097AF4">
        <w:t>).</w:t>
      </w:r>
    </w:p>
    <w:p w:rsidR="00A56845" w:rsidP="0016573E" w:rsidRDefault="00A56845"/>
    <w:p w:rsidR="000402A4" w:rsidP="0016573E" w:rsidRDefault="000402A4">
      <w:pPr>
        <w:pStyle w:val="Huisstijl-Kop2"/>
      </w:pPr>
      <w:bookmarkStart w:name="_Toc351626684" w:id="34"/>
      <w:r>
        <w:t>Doeltreffendheid</w:t>
      </w:r>
      <w:r w:rsidR="0001536B">
        <w:t xml:space="preserve"> en doelmatigheid</w:t>
      </w:r>
      <w:bookmarkEnd w:id="34"/>
    </w:p>
    <w:p w:rsidR="00765AC9" w:rsidP="0016573E" w:rsidRDefault="00765AC9"/>
    <w:p w:rsidRPr="00AA3805" w:rsidR="00AA3805" w:rsidP="0016573E" w:rsidRDefault="00AA3805">
      <w:r w:rsidRPr="00AA3805">
        <w:t>Voor letselpreventie geldt als prestatie-indicator een daling van het aantal SEH-behandelingen in ziekenhuizen door privé-ongevallen en sportblessures. In 2008 was dit 650.000 behandelingen, in 2009 640.000, in 2010 en 2011 600.000</w:t>
      </w:r>
      <w:r w:rsidR="00377799">
        <w:t xml:space="preserve"> behandelingen</w:t>
      </w:r>
      <w:r w:rsidRPr="00AA3805">
        <w:t xml:space="preserve">. Er zijn nog geen cijfers over 2012, maar de verwachting is dat het aantal behandelingen rond de 600.000 zal blijven schommelen. Hiermee zal het streefcijfer zoals gesteld in 2008 voor 2012 (610.000 behandelingen) waarschijnlijk gehaald worden. </w:t>
      </w:r>
      <w:r w:rsidR="00AA625E">
        <w:t>D</w:t>
      </w:r>
      <w:r w:rsidRPr="00D729FA" w:rsidR="00AA625E">
        <w:rPr>
          <w:szCs w:val="18"/>
        </w:rPr>
        <w:t xml:space="preserve">e </w:t>
      </w:r>
      <w:r w:rsidRPr="00D729FA" w:rsidR="00AA625E">
        <w:rPr>
          <w:rFonts w:eastAsia="Times New Roman" w:cs="Times New Roman"/>
          <w:color w:val="000000"/>
          <w:kern w:val="0"/>
          <w:szCs w:val="18"/>
          <w:lang w:eastAsia="nl-NL" w:bidi="ar-SA"/>
        </w:rPr>
        <w:t>Disability Adjusted Life Years</w:t>
      </w:r>
      <w:r w:rsidRPr="00D729FA" w:rsidR="00AA625E">
        <w:rPr>
          <w:szCs w:val="18"/>
        </w:rPr>
        <w:t xml:space="preserve"> (DALY’s)</w:t>
      </w:r>
      <w:r w:rsidRPr="00D729FA" w:rsidR="00AA625E">
        <w:rPr>
          <w:rStyle w:val="Voetnootmarkering"/>
          <w:szCs w:val="18"/>
        </w:rPr>
        <w:footnoteReference w:id="16"/>
      </w:r>
      <w:r w:rsidRPr="00D729FA" w:rsidR="00AA625E">
        <w:rPr>
          <w:szCs w:val="18"/>
        </w:rPr>
        <w:t xml:space="preserve"> </w:t>
      </w:r>
      <w:r w:rsidR="00AA625E">
        <w:rPr>
          <w:szCs w:val="18"/>
        </w:rPr>
        <w:t xml:space="preserve">zijn </w:t>
      </w:r>
      <w:r w:rsidRPr="00D729FA" w:rsidR="00AA625E">
        <w:rPr>
          <w:szCs w:val="18"/>
        </w:rPr>
        <w:t>in de afgelopen jaren wel toegenomen</w:t>
      </w:r>
      <w:r w:rsidR="00AA625E">
        <w:rPr>
          <w:szCs w:val="18"/>
        </w:rPr>
        <w:t>.</w:t>
      </w:r>
      <w:r w:rsidR="00AA625E">
        <w:t xml:space="preserve"> </w:t>
      </w:r>
      <w:r w:rsidR="002535FF">
        <w:t xml:space="preserve">Vanwege de beperkte zeggingskracht van de indicator ‘aantal SEH-behandelingen’ </w:t>
      </w:r>
      <w:r w:rsidR="00F73DAA">
        <w:t>stel</w:t>
      </w:r>
      <w:r w:rsidR="002535FF">
        <w:t>t de klankbordgroep</w:t>
      </w:r>
      <w:r w:rsidR="00F73DAA">
        <w:t xml:space="preserve"> </w:t>
      </w:r>
      <w:r>
        <w:t>de validiteit van de gekozen prestatie-indicator</w:t>
      </w:r>
      <w:r w:rsidR="00F73DAA">
        <w:t xml:space="preserve"> SEH-behandelingen ter discussie</w:t>
      </w:r>
      <w:r>
        <w:t>.</w:t>
      </w:r>
    </w:p>
    <w:p w:rsidR="007A4B5B" w:rsidP="0016573E" w:rsidRDefault="007A4B5B">
      <w:pPr>
        <w:spacing w:line="240" w:lineRule="auto"/>
        <w:rPr>
          <w:szCs w:val="18"/>
        </w:rPr>
      </w:pPr>
    </w:p>
    <w:p w:rsidRPr="00F019BD" w:rsidR="00B17E7E" w:rsidP="0016573E" w:rsidRDefault="00B17E7E">
      <w:r>
        <w:rPr>
          <w:szCs w:val="18"/>
        </w:rPr>
        <w:t xml:space="preserve">Bij het beoordelen van doeltreffendheid is het van belang te constateren dat de meeste winst van preventiebeleid al in het verleden is geboekt. </w:t>
      </w:r>
      <w:r w:rsidRPr="00F019BD">
        <w:t xml:space="preserve">Uit het rapport van </w:t>
      </w:r>
      <w:r w:rsidR="008800A9">
        <w:t xml:space="preserve">VeiligheidNL </w:t>
      </w:r>
      <w:r w:rsidRPr="00F019BD">
        <w:t>(2011) wordt dat bijvoorbeeld duidelijk voor het geval van kinderveiligheid. In de periode 2000-2009 daalde het aantal SEH-behandelingen van kinderen van 0-4 jaar met 27% en dit zat vooral in de speerpunten van preventie op dit gebied: ernstige vergiftigingen (-32%), verdrinkingen (-41%), verbrandingen (-35%) en valongevallen (-23%). Hoewel er volgens de auteurs geen één-op een relatie gelegd kan worden tussen de geleverde preventie-inspanningen en de bereikte resultaten in ongevallentrends op bevolkingsniveau, stellen ze dat samen met wetgeving</w:t>
      </w:r>
      <w:r w:rsidR="00C15E49">
        <w:t>,</w:t>
      </w:r>
      <w:r w:rsidRPr="00F019BD">
        <w:t xml:space="preserve"> zelfregulering en veiligheidsinnovatie deze preventie-inspanningen een belangrijke bijdrage hebben geleverd aan de veiligheid in Nederland. </w:t>
      </w:r>
    </w:p>
    <w:p w:rsidRPr="00F019BD" w:rsidR="00B17E7E" w:rsidP="0016573E" w:rsidRDefault="00B17E7E"/>
    <w:p w:rsidRPr="00F019BD" w:rsidR="00B17E7E" w:rsidP="0016573E" w:rsidRDefault="00B17E7E">
      <w:r w:rsidRPr="00F019BD">
        <w:t xml:space="preserve">Het is niet goed mogelijk om voor de meest recente periode (2007-2011) specifieke effecten van preventie aan te tonen. Dit komt mede door de korte tijdsperiode en de inmiddels relatief lage ongevalscijfers (Nederland is een van de veiligste landen ter wereld). Daarnaast heeft de medische zorg in deze periode de letaliteit sterk gereduceerd. </w:t>
      </w:r>
      <w:r w:rsidRPr="00D729FA" w:rsidR="005F5526">
        <w:rPr>
          <w:szCs w:val="18"/>
        </w:rPr>
        <w:t xml:space="preserve">Tegelijkertijd zijn de DALY’s in de afgelopen jaren wel toegenomen, wat wijst op een verschuiving naar meer ernstige letsels, onder andere bij valincidenten van ouderen. Dit is deels ook terug te zien in de kosten, deze zijn met 50% toegenomen in de afgelopen 5 jaar. Veranderingen in het zorggebruik in het algemeen zijn een andere reden voor stijging van de kosten. Het zorggebruik wordt bijvoorbeeld beïnvloed door het hulpzoekgedrag van patiënten en door veranderingen in richtlijnen, financiering, opnamebeleid en indicatiestelling van zorgverleners. </w:t>
      </w:r>
      <w:r w:rsidRPr="004C5029" w:rsidR="00236633">
        <w:rPr>
          <w:szCs w:val="18"/>
        </w:rPr>
        <w:t>De sterk stijgende trend in ziekenhuisopname kan hier waarschijnlijk deels mee worden verklaard, vermoedelijk wordt men sneller (maar korter) opgenomen, o.a. ter observatie of eerder geopereerd.</w:t>
      </w:r>
      <w:r w:rsidRPr="00F019BD">
        <w:t xml:space="preserve"> </w:t>
      </w:r>
    </w:p>
    <w:p w:rsidR="00C15E49" w:rsidP="0016573E" w:rsidRDefault="00C15E49"/>
    <w:p w:rsidR="00C15E49" w:rsidP="0016573E" w:rsidRDefault="00C15E49">
      <w:r>
        <w:t xml:space="preserve">Indirect </w:t>
      </w:r>
      <w:r w:rsidR="00956E00">
        <w:t xml:space="preserve">kan er </w:t>
      </w:r>
      <w:r>
        <w:t xml:space="preserve">wel iets </w:t>
      </w:r>
      <w:r w:rsidR="00956E00">
        <w:t>ge</w:t>
      </w:r>
      <w:r>
        <w:t>zeg</w:t>
      </w:r>
      <w:r w:rsidR="00956E00">
        <w:t>d worden</w:t>
      </w:r>
      <w:r>
        <w:t xml:space="preserve"> over de doeltreffendheid </w:t>
      </w:r>
      <w:r w:rsidR="00956E00">
        <w:t xml:space="preserve">door </w:t>
      </w:r>
      <w:r>
        <w:t xml:space="preserve">specifiek </w:t>
      </w:r>
      <w:r w:rsidR="00956E00">
        <w:t xml:space="preserve">te </w:t>
      </w:r>
      <w:r>
        <w:t>kijken naar het beleidsinstrument communicatie en voorlichting</w:t>
      </w:r>
      <w:r w:rsidR="00956E00">
        <w:t>.</w:t>
      </w:r>
      <w:r>
        <w:t xml:space="preserve"> </w:t>
      </w:r>
      <w:r w:rsidR="00956E00">
        <w:t>Zo is d</w:t>
      </w:r>
      <w:r>
        <w:t>e kennis over de effectiviteit van interventies op het gebied van letselpreventie in de beleidsperiode vergroot. Een brede implementatie van deze interventies zal zeker effect hebben op het aantal letsels.</w:t>
      </w:r>
      <w:r w:rsidR="003D31B7">
        <w:t xml:space="preserve"> </w:t>
      </w:r>
      <w:r w:rsidR="006A1FBB">
        <w:t>Het gebundeld aanbieden van interventies via het CGL kan bijdragen aan bredere implementatie ervan.</w:t>
      </w:r>
    </w:p>
    <w:p w:rsidRPr="00F019BD" w:rsidR="00B17E7E" w:rsidP="0016573E" w:rsidRDefault="00C15E49">
      <w:r>
        <w:t xml:space="preserve">Ook zijn er </w:t>
      </w:r>
      <w:r w:rsidRPr="00F019BD" w:rsidR="00B17E7E">
        <w:t xml:space="preserve">voorbeelden van mogelijke indirecte effecten. Bij trampolinespringen is bijvoorbeeld de stijging in aantallen letsels omgebogen. </w:t>
      </w:r>
      <w:r w:rsidR="00956E00">
        <w:t xml:space="preserve">Waarschijnlijk </w:t>
      </w:r>
      <w:r w:rsidRPr="00F019BD" w:rsidR="00B17E7E">
        <w:t xml:space="preserve">komt </w:t>
      </w:r>
      <w:r w:rsidR="00956E00">
        <w:t xml:space="preserve">dit door de toegenomen </w:t>
      </w:r>
      <w:r w:rsidRPr="00F019BD" w:rsidR="00B17E7E">
        <w:t xml:space="preserve">aandacht aan veiligheidsvoorschriften (zoals veiligheidsnetten) bij tuintrampolines. Dit is een vorm van voorlichting die mogelijk is gemaakt door beleid. </w:t>
      </w:r>
    </w:p>
    <w:p w:rsidRPr="00F019BD" w:rsidR="00B17E7E" w:rsidP="0016573E" w:rsidRDefault="00B17E7E"/>
    <w:p w:rsidR="00B17E7E" w:rsidP="0016573E" w:rsidRDefault="00B17E7E">
      <w:r w:rsidRPr="00F019BD">
        <w:t xml:space="preserve">Voor sportblessurepreventiebeleid heeft </w:t>
      </w:r>
      <w:r w:rsidR="00FC6287">
        <w:t>VeiligheidNL</w:t>
      </w:r>
      <w:r w:rsidRPr="00F019BD">
        <w:t xml:space="preserve"> een evaluatie gedaan over de periode 2008-2011. De toepassing van diverse persoonlijke beschermende maatregelen (helm, brace, tape, scheenbeschermers, bitje en kniebeschermers) is voor diverse sporttakken significant verbeterd. Deze maatregelen worden echter nog lang niet altijd consequent toegepast, omdat het risico op een blessure vaak wordt onderschat</w:t>
      </w:r>
      <w:r w:rsidR="0051564F">
        <w:t>.</w:t>
      </w:r>
    </w:p>
    <w:p w:rsidRPr="007A4B5B" w:rsidR="00B17E7E" w:rsidP="0016573E" w:rsidRDefault="00B17E7E">
      <w:pPr>
        <w:rPr>
          <w:szCs w:val="18"/>
        </w:rPr>
      </w:pPr>
    </w:p>
    <w:p w:rsidR="00331443" w:rsidP="0016573E" w:rsidRDefault="00331443">
      <w:pPr>
        <w:spacing w:line="240" w:lineRule="auto"/>
      </w:pPr>
      <w:r>
        <w:br w:type="page"/>
      </w:r>
    </w:p>
    <w:p w:rsidR="00A52ED8" w:rsidP="0016573E" w:rsidRDefault="000D5D20">
      <w:pPr>
        <w:pStyle w:val="Huisstijl-Kop1"/>
        <w:numPr>
          <w:ilvl w:val="0"/>
          <w:numId w:val="0"/>
        </w:numPr>
      </w:pPr>
      <w:bookmarkStart w:name="_Toc349901405" w:id="35"/>
      <w:bookmarkStart w:name="_Toc351626685" w:id="36"/>
      <w:r>
        <w:t>Afkortingen</w:t>
      </w:r>
      <w:bookmarkEnd w:id="35"/>
      <w:bookmarkEnd w:id="36"/>
    </w:p>
    <w:tbl>
      <w:tblPr>
        <w:tblW w:w="8804" w:type="dxa"/>
        <w:tblInd w:w="55" w:type="dxa"/>
        <w:tblCellMar>
          <w:left w:w="70" w:type="dxa"/>
          <w:right w:w="70" w:type="dxa"/>
        </w:tblCellMar>
        <w:tblLook w:val="04A0"/>
      </w:tblPr>
      <w:tblGrid>
        <w:gridCol w:w="1149"/>
        <w:gridCol w:w="7655"/>
      </w:tblGrid>
      <w:tr w:rsidRPr="00A52ED8" w:rsidR="00A52ED8" w:rsidTr="004050EB">
        <w:trPr>
          <w:trHeight w:val="300"/>
        </w:trPr>
        <w:tc>
          <w:tcPr>
            <w:tcW w:w="1149" w:type="dxa"/>
            <w:tcBorders>
              <w:top w:val="nil"/>
              <w:left w:val="nil"/>
              <w:bottom w:val="nil"/>
              <w:right w:val="nil"/>
            </w:tcBorders>
            <w:shd w:val="clear" w:color="auto" w:fill="auto"/>
            <w:noWrap/>
            <w:vAlign w:val="bottom"/>
            <w:hideMark/>
          </w:tcPr>
          <w:p w:rsidRPr="00A52ED8" w:rsidR="00A52ED8" w:rsidP="0016573E" w:rsidRDefault="00A52ED8">
            <w:pPr>
              <w:widowControl/>
              <w:suppressAutoHyphens w:val="0"/>
              <w:autoSpaceDN/>
              <w:spacing w:line="240" w:lineRule="auto"/>
              <w:textAlignment w:val="auto"/>
              <w:rPr>
                <w:rFonts w:eastAsia="Times New Roman" w:cs="Times New Roman"/>
                <w:color w:val="000000"/>
                <w:kern w:val="0"/>
                <w:szCs w:val="18"/>
                <w:lang w:eastAsia="nl-NL" w:bidi="ar-SA"/>
              </w:rPr>
            </w:pPr>
            <w:r w:rsidRPr="00A52ED8">
              <w:rPr>
                <w:rFonts w:eastAsia="Times New Roman" w:cs="Times New Roman"/>
                <w:color w:val="000000"/>
                <w:kern w:val="0"/>
                <w:szCs w:val="18"/>
                <w:lang w:eastAsia="nl-NL" w:bidi="ar-SA"/>
              </w:rPr>
              <w:t>AGORA</w:t>
            </w:r>
          </w:p>
        </w:tc>
        <w:tc>
          <w:tcPr>
            <w:tcW w:w="7655" w:type="dxa"/>
            <w:tcBorders>
              <w:top w:val="nil"/>
              <w:left w:val="nil"/>
              <w:bottom w:val="nil"/>
              <w:right w:val="nil"/>
            </w:tcBorders>
            <w:shd w:val="clear" w:color="auto" w:fill="auto"/>
            <w:noWrap/>
            <w:vAlign w:val="bottom"/>
            <w:hideMark/>
          </w:tcPr>
          <w:p w:rsidRPr="00A52ED8" w:rsidR="00A52ED8" w:rsidP="0016573E" w:rsidRDefault="00A52ED8">
            <w:pPr>
              <w:widowControl/>
              <w:suppressAutoHyphens w:val="0"/>
              <w:autoSpaceDN/>
              <w:spacing w:line="240" w:lineRule="auto"/>
              <w:textAlignment w:val="auto"/>
              <w:rPr>
                <w:rFonts w:eastAsia="Times New Roman" w:cs="Times New Roman"/>
                <w:color w:val="000000"/>
                <w:kern w:val="0"/>
                <w:szCs w:val="18"/>
                <w:lang w:eastAsia="nl-NL" w:bidi="ar-SA"/>
              </w:rPr>
            </w:pPr>
            <w:r w:rsidRPr="00A52ED8">
              <w:rPr>
                <w:rFonts w:eastAsia="Times New Roman" w:cs="Times New Roman"/>
                <w:color w:val="000000"/>
                <w:kern w:val="0"/>
                <w:szCs w:val="18"/>
                <w:lang w:eastAsia="nl-NL" w:bidi="ar-SA"/>
              </w:rPr>
              <w:t xml:space="preserve">Academische Werkplaats Publieke Gezondheid </w:t>
            </w:r>
          </w:p>
        </w:tc>
      </w:tr>
      <w:tr w:rsidRPr="00A52ED8" w:rsidR="00A52ED8" w:rsidTr="004050EB">
        <w:trPr>
          <w:trHeight w:val="300"/>
        </w:trPr>
        <w:tc>
          <w:tcPr>
            <w:tcW w:w="1149" w:type="dxa"/>
            <w:tcBorders>
              <w:top w:val="nil"/>
              <w:left w:val="nil"/>
              <w:bottom w:val="nil"/>
              <w:right w:val="nil"/>
            </w:tcBorders>
            <w:shd w:val="clear" w:color="auto" w:fill="auto"/>
            <w:noWrap/>
            <w:vAlign w:val="bottom"/>
            <w:hideMark/>
          </w:tcPr>
          <w:p w:rsidRPr="00A52ED8" w:rsidR="00A52ED8" w:rsidP="0016573E" w:rsidRDefault="00A52ED8">
            <w:pPr>
              <w:widowControl/>
              <w:suppressAutoHyphens w:val="0"/>
              <w:autoSpaceDN/>
              <w:spacing w:line="240" w:lineRule="auto"/>
              <w:textAlignment w:val="auto"/>
              <w:rPr>
                <w:rFonts w:eastAsia="Times New Roman" w:cs="Times New Roman"/>
                <w:color w:val="000000"/>
                <w:kern w:val="0"/>
                <w:szCs w:val="18"/>
                <w:lang w:eastAsia="nl-NL" w:bidi="ar-SA"/>
              </w:rPr>
            </w:pPr>
            <w:r w:rsidRPr="00A52ED8">
              <w:rPr>
                <w:rFonts w:eastAsia="Times New Roman" w:cs="Times New Roman"/>
                <w:color w:val="000000"/>
                <w:kern w:val="0"/>
                <w:szCs w:val="18"/>
                <w:lang w:eastAsia="nl-NL" w:bidi="ar-SA"/>
              </w:rPr>
              <w:t>ANWB</w:t>
            </w:r>
          </w:p>
        </w:tc>
        <w:tc>
          <w:tcPr>
            <w:tcW w:w="7655" w:type="dxa"/>
            <w:tcBorders>
              <w:top w:val="nil"/>
              <w:left w:val="nil"/>
              <w:bottom w:val="nil"/>
              <w:right w:val="nil"/>
            </w:tcBorders>
            <w:shd w:val="clear" w:color="auto" w:fill="auto"/>
            <w:noWrap/>
            <w:vAlign w:val="bottom"/>
            <w:hideMark/>
          </w:tcPr>
          <w:p w:rsidRPr="00A52ED8" w:rsidR="00A52ED8" w:rsidP="0016573E" w:rsidRDefault="00A52ED8">
            <w:pPr>
              <w:widowControl/>
              <w:suppressAutoHyphens w:val="0"/>
              <w:autoSpaceDN/>
              <w:spacing w:line="240" w:lineRule="auto"/>
              <w:textAlignment w:val="auto"/>
              <w:rPr>
                <w:rFonts w:eastAsia="Times New Roman" w:cs="Times New Roman"/>
                <w:color w:val="000000"/>
                <w:kern w:val="0"/>
                <w:szCs w:val="18"/>
                <w:lang w:eastAsia="nl-NL" w:bidi="ar-SA"/>
              </w:rPr>
            </w:pPr>
            <w:r w:rsidRPr="00A52ED8">
              <w:rPr>
                <w:rFonts w:eastAsia="Times New Roman" w:cs="Times New Roman"/>
                <w:color w:val="000000"/>
                <w:kern w:val="0"/>
                <w:szCs w:val="18"/>
                <w:lang w:eastAsia="nl-NL" w:bidi="ar-SA"/>
              </w:rPr>
              <w:t>Algemene Nederlandsche Wielrijdersbond</w:t>
            </w:r>
          </w:p>
        </w:tc>
      </w:tr>
      <w:tr w:rsidRPr="00A52ED8" w:rsidR="00A52ED8" w:rsidTr="004050EB">
        <w:trPr>
          <w:trHeight w:val="300"/>
        </w:trPr>
        <w:tc>
          <w:tcPr>
            <w:tcW w:w="1149" w:type="dxa"/>
            <w:tcBorders>
              <w:top w:val="nil"/>
              <w:left w:val="nil"/>
              <w:bottom w:val="nil"/>
              <w:right w:val="nil"/>
            </w:tcBorders>
            <w:shd w:val="clear" w:color="auto" w:fill="auto"/>
            <w:noWrap/>
            <w:vAlign w:val="bottom"/>
            <w:hideMark/>
          </w:tcPr>
          <w:p w:rsidRPr="00A52ED8" w:rsidR="00A52ED8" w:rsidP="0016573E" w:rsidRDefault="00A52ED8">
            <w:pPr>
              <w:widowControl/>
              <w:suppressAutoHyphens w:val="0"/>
              <w:autoSpaceDN/>
              <w:spacing w:line="240" w:lineRule="auto"/>
              <w:textAlignment w:val="auto"/>
              <w:rPr>
                <w:rFonts w:eastAsia="Times New Roman" w:cs="Times New Roman"/>
                <w:color w:val="000000"/>
                <w:kern w:val="0"/>
                <w:szCs w:val="18"/>
                <w:lang w:eastAsia="nl-NL" w:bidi="ar-SA"/>
              </w:rPr>
            </w:pPr>
            <w:r w:rsidRPr="00A52ED8">
              <w:rPr>
                <w:rFonts w:eastAsia="Times New Roman" w:cs="Times New Roman"/>
                <w:color w:val="000000"/>
                <w:kern w:val="0"/>
                <w:szCs w:val="18"/>
                <w:lang w:eastAsia="nl-NL" w:bidi="ar-SA"/>
              </w:rPr>
              <w:t>BZK</w:t>
            </w:r>
          </w:p>
        </w:tc>
        <w:tc>
          <w:tcPr>
            <w:tcW w:w="7655" w:type="dxa"/>
            <w:tcBorders>
              <w:top w:val="nil"/>
              <w:left w:val="nil"/>
              <w:bottom w:val="nil"/>
              <w:right w:val="nil"/>
            </w:tcBorders>
            <w:shd w:val="clear" w:color="auto" w:fill="auto"/>
            <w:noWrap/>
            <w:vAlign w:val="bottom"/>
            <w:hideMark/>
          </w:tcPr>
          <w:p w:rsidRPr="00A52ED8" w:rsidR="00A52ED8" w:rsidP="0016573E" w:rsidRDefault="00A52ED8">
            <w:pPr>
              <w:widowControl/>
              <w:suppressAutoHyphens w:val="0"/>
              <w:autoSpaceDN/>
              <w:spacing w:line="240" w:lineRule="auto"/>
              <w:textAlignment w:val="auto"/>
              <w:rPr>
                <w:rFonts w:eastAsia="Times New Roman" w:cs="Times New Roman"/>
                <w:color w:val="000000"/>
                <w:kern w:val="0"/>
                <w:szCs w:val="18"/>
                <w:lang w:eastAsia="nl-NL" w:bidi="ar-SA"/>
              </w:rPr>
            </w:pPr>
            <w:r w:rsidRPr="00A52ED8">
              <w:rPr>
                <w:rFonts w:eastAsia="Times New Roman" w:cs="Times New Roman"/>
                <w:color w:val="000000"/>
                <w:kern w:val="0"/>
                <w:szCs w:val="18"/>
                <w:lang w:eastAsia="nl-NL" w:bidi="ar-SA"/>
              </w:rPr>
              <w:t>Binnenlandse zaken en Koninkrijksrelaties</w:t>
            </w:r>
          </w:p>
        </w:tc>
      </w:tr>
      <w:tr w:rsidRPr="00A52ED8" w:rsidR="00A52ED8" w:rsidTr="004050EB">
        <w:trPr>
          <w:trHeight w:val="300"/>
        </w:trPr>
        <w:tc>
          <w:tcPr>
            <w:tcW w:w="1149" w:type="dxa"/>
            <w:tcBorders>
              <w:top w:val="nil"/>
              <w:left w:val="nil"/>
              <w:bottom w:val="nil"/>
              <w:right w:val="nil"/>
            </w:tcBorders>
            <w:shd w:val="clear" w:color="auto" w:fill="auto"/>
            <w:noWrap/>
            <w:vAlign w:val="bottom"/>
            <w:hideMark/>
          </w:tcPr>
          <w:p w:rsidRPr="00A52ED8" w:rsidR="00A52ED8" w:rsidP="0016573E" w:rsidRDefault="00A52ED8">
            <w:pPr>
              <w:widowControl/>
              <w:suppressAutoHyphens w:val="0"/>
              <w:autoSpaceDN/>
              <w:spacing w:line="240" w:lineRule="auto"/>
              <w:textAlignment w:val="auto"/>
              <w:rPr>
                <w:rFonts w:eastAsia="Times New Roman" w:cs="Times New Roman"/>
                <w:color w:val="000000"/>
                <w:kern w:val="0"/>
                <w:szCs w:val="18"/>
                <w:lang w:eastAsia="nl-NL" w:bidi="ar-SA"/>
              </w:rPr>
            </w:pPr>
            <w:r w:rsidRPr="00A52ED8">
              <w:rPr>
                <w:rFonts w:eastAsia="Times New Roman" w:cs="Times New Roman"/>
                <w:color w:val="000000"/>
                <w:kern w:val="0"/>
                <w:szCs w:val="18"/>
                <w:lang w:eastAsia="nl-NL" w:bidi="ar-SA"/>
              </w:rPr>
              <w:t>CbO</w:t>
            </w:r>
          </w:p>
        </w:tc>
        <w:tc>
          <w:tcPr>
            <w:tcW w:w="7655" w:type="dxa"/>
            <w:tcBorders>
              <w:top w:val="nil"/>
              <w:left w:val="nil"/>
              <w:bottom w:val="nil"/>
              <w:right w:val="nil"/>
            </w:tcBorders>
            <w:shd w:val="clear" w:color="auto" w:fill="auto"/>
            <w:noWrap/>
            <w:vAlign w:val="bottom"/>
            <w:hideMark/>
          </w:tcPr>
          <w:p w:rsidRPr="00A52ED8" w:rsidR="00A52ED8" w:rsidP="0016573E" w:rsidRDefault="00A52ED8">
            <w:pPr>
              <w:widowControl/>
              <w:suppressAutoHyphens w:val="0"/>
              <w:autoSpaceDN/>
              <w:spacing w:line="240" w:lineRule="auto"/>
              <w:textAlignment w:val="auto"/>
              <w:rPr>
                <w:rFonts w:eastAsia="Times New Roman" w:cs="Times New Roman"/>
                <w:color w:val="000000"/>
                <w:kern w:val="0"/>
                <w:szCs w:val="18"/>
                <w:lang w:eastAsia="nl-NL" w:bidi="ar-SA"/>
              </w:rPr>
            </w:pPr>
            <w:r w:rsidRPr="00A52ED8">
              <w:rPr>
                <w:rFonts w:eastAsia="Times New Roman" w:cs="Times New Roman"/>
                <w:color w:val="000000"/>
                <w:kern w:val="0"/>
                <w:szCs w:val="18"/>
                <w:lang w:eastAsia="nl-NL" w:bidi="ar-SA"/>
              </w:rPr>
              <w:t>Consultatiebureaus voor ouderen</w:t>
            </w:r>
          </w:p>
        </w:tc>
      </w:tr>
      <w:tr w:rsidRPr="00A52ED8" w:rsidR="00A52ED8" w:rsidTr="004050EB">
        <w:trPr>
          <w:trHeight w:val="300"/>
        </w:trPr>
        <w:tc>
          <w:tcPr>
            <w:tcW w:w="1149" w:type="dxa"/>
            <w:tcBorders>
              <w:top w:val="nil"/>
              <w:left w:val="nil"/>
              <w:bottom w:val="nil"/>
              <w:right w:val="nil"/>
            </w:tcBorders>
            <w:shd w:val="clear" w:color="auto" w:fill="auto"/>
            <w:noWrap/>
            <w:vAlign w:val="bottom"/>
            <w:hideMark/>
          </w:tcPr>
          <w:p w:rsidRPr="00A52ED8" w:rsidR="00A52ED8" w:rsidP="0016573E" w:rsidRDefault="00A52ED8">
            <w:pPr>
              <w:widowControl/>
              <w:suppressAutoHyphens w:val="0"/>
              <w:autoSpaceDN/>
              <w:spacing w:line="240" w:lineRule="auto"/>
              <w:textAlignment w:val="auto"/>
              <w:rPr>
                <w:rFonts w:eastAsia="Times New Roman" w:cs="Times New Roman"/>
                <w:color w:val="000000"/>
                <w:kern w:val="0"/>
                <w:szCs w:val="18"/>
                <w:lang w:eastAsia="nl-NL" w:bidi="ar-SA"/>
              </w:rPr>
            </w:pPr>
            <w:r w:rsidRPr="00A52ED8">
              <w:rPr>
                <w:rFonts w:eastAsia="Times New Roman" w:cs="Times New Roman"/>
                <w:color w:val="000000"/>
                <w:kern w:val="0"/>
                <w:szCs w:val="18"/>
                <w:lang w:eastAsia="nl-NL" w:bidi="ar-SA"/>
              </w:rPr>
              <w:t>CBS</w:t>
            </w:r>
          </w:p>
        </w:tc>
        <w:tc>
          <w:tcPr>
            <w:tcW w:w="7655" w:type="dxa"/>
            <w:tcBorders>
              <w:top w:val="nil"/>
              <w:left w:val="nil"/>
              <w:bottom w:val="nil"/>
              <w:right w:val="nil"/>
            </w:tcBorders>
            <w:shd w:val="clear" w:color="auto" w:fill="auto"/>
            <w:noWrap/>
            <w:vAlign w:val="bottom"/>
            <w:hideMark/>
          </w:tcPr>
          <w:p w:rsidRPr="00A52ED8" w:rsidR="00A52ED8" w:rsidP="0016573E" w:rsidRDefault="00A52ED8">
            <w:pPr>
              <w:widowControl/>
              <w:suppressAutoHyphens w:val="0"/>
              <w:autoSpaceDN/>
              <w:spacing w:line="240" w:lineRule="auto"/>
              <w:textAlignment w:val="auto"/>
              <w:rPr>
                <w:rFonts w:eastAsia="Times New Roman" w:cs="Times New Roman"/>
                <w:color w:val="000000"/>
                <w:kern w:val="0"/>
                <w:szCs w:val="18"/>
                <w:lang w:eastAsia="nl-NL" w:bidi="ar-SA"/>
              </w:rPr>
            </w:pPr>
            <w:r w:rsidRPr="00A52ED8">
              <w:rPr>
                <w:rFonts w:eastAsia="Times New Roman" w:cs="Times New Roman"/>
                <w:color w:val="000000"/>
                <w:kern w:val="0"/>
                <w:szCs w:val="18"/>
                <w:lang w:eastAsia="nl-NL" w:bidi="ar-SA"/>
              </w:rPr>
              <w:t>Centraal Bureau voor de Statistiek</w:t>
            </w:r>
          </w:p>
        </w:tc>
      </w:tr>
      <w:tr w:rsidRPr="00A52ED8" w:rsidR="00A52ED8" w:rsidTr="004050EB">
        <w:trPr>
          <w:trHeight w:val="300"/>
        </w:trPr>
        <w:tc>
          <w:tcPr>
            <w:tcW w:w="1149" w:type="dxa"/>
            <w:tcBorders>
              <w:top w:val="nil"/>
              <w:left w:val="nil"/>
              <w:bottom w:val="nil"/>
              <w:right w:val="nil"/>
            </w:tcBorders>
            <w:shd w:val="clear" w:color="auto" w:fill="auto"/>
            <w:noWrap/>
            <w:vAlign w:val="bottom"/>
            <w:hideMark/>
          </w:tcPr>
          <w:p w:rsidRPr="00A52ED8" w:rsidR="00A52ED8" w:rsidP="0016573E" w:rsidRDefault="00A52ED8">
            <w:pPr>
              <w:widowControl/>
              <w:suppressAutoHyphens w:val="0"/>
              <w:autoSpaceDN/>
              <w:spacing w:line="240" w:lineRule="auto"/>
              <w:textAlignment w:val="auto"/>
              <w:rPr>
                <w:rFonts w:eastAsia="Times New Roman" w:cs="Times New Roman"/>
                <w:color w:val="000000"/>
                <w:kern w:val="0"/>
                <w:szCs w:val="18"/>
                <w:lang w:eastAsia="nl-NL" w:bidi="ar-SA"/>
              </w:rPr>
            </w:pPr>
            <w:r w:rsidRPr="00A52ED8">
              <w:rPr>
                <w:rFonts w:eastAsia="Times New Roman" w:cs="Times New Roman"/>
                <w:color w:val="000000"/>
                <w:kern w:val="0"/>
                <w:szCs w:val="18"/>
                <w:lang w:eastAsia="nl-NL" w:bidi="ar-SA"/>
              </w:rPr>
              <w:t>CCV</w:t>
            </w:r>
          </w:p>
        </w:tc>
        <w:tc>
          <w:tcPr>
            <w:tcW w:w="7655" w:type="dxa"/>
            <w:tcBorders>
              <w:top w:val="nil"/>
              <w:left w:val="nil"/>
              <w:bottom w:val="nil"/>
              <w:right w:val="nil"/>
            </w:tcBorders>
            <w:shd w:val="clear" w:color="auto" w:fill="auto"/>
            <w:noWrap/>
            <w:vAlign w:val="bottom"/>
            <w:hideMark/>
          </w:tcPr>
          <w:p w:rsidRPr="00A52ED8" w:rsidR="00A52ED8" w:rsidP="0016573E" w:rsidRDefault="00A52ED8">
            <w:pPr>
              <w:widowControl/>
              <w:suppressAutoHyphens w:val="0"/>
              <w:autoSpaceDN/>
              <w:spacing w:line="240" w:lineRule="auto"/>
              <w:textAlignment w:val="auto"/>
              <w:rPr>
                <w:rFonts w:eastAsia="Times New Roman" w:cs="Times New Roman"/>
                <w:color w:val="000000"/>
                <w:kern w:val="0"/>
                <w:szCs w:val="18"/>
                <w:lang w:eastAsia="nl-NL" w:bidi="ar-SA"/>
              </w:rPr>
            </w:pPr>
            <w:r w:rsidRPr="00A52ED8">
              <w:rPr>
                <w:rFonts w:eastAsia="Times New Roman" w:cs="Times New Roman"/>
                <w:color w:val="000000"/>
                <w:kern w:val="0"/>
                <w:szCs w:val="18"/>
                <w:lang w:eastAsia="nl-NL" w:bidi="ar-SA"/>
              </w:rPr>
              <w:t>Centrum voor Criminaliteitspreventie en Veiligheid</w:t>
            </w:r>
          </w:p>
        </w:tc>
      </w:tr>
      <w:tr w:rsidRPr="00A52ED8" w:rsidR="00A52ED8" w:rsidTr="004050EB">
        <w:trPr>
          <w:trHeight w:val="300"/>
        </w:trPr>
        <w:tc>
          <w:tcPr>
            <w:tcW w:w="1149" w:type="dxa"/>
            <w:tcBorders>
              <w:top w:val="nil"/>
              <w:left w:val="nil"/>
              <w:bottom w:val="nil"/>
              <w:right w:val="nil"/>
            </w:tcBorders>
            <w:shd w:val="clear" w:color="auto" w:fill="auto"/>
            <w:noWrap/>
            <w:vAlign w:val="bottom"/>
            <w:hideMark/>
          </w:tcPr>
          <w:p w:rsidRPr="00A52ED8" w:rsidR="00A52ED8" w:rsidP="0016573E" w:rsidRDefault="00A52ED8">
            <w:pPr>
              <w:widowControl/>
              <w:suppressAutoHyphens w:val="0"/>
              <w:autoSpaceDN/>
              <w:spacing w:line="240" w:lineRule="auto"/>
              <w:textAlignment w:val="auto"/>
              <w:rPr>
                <w:rFonts w:eastAsia="Times New Roman" w:cs="Times New Roman"/>
                <w:color w:val="000000"/>
                <w:kern w:val="0"/>
                <w:szCs w:val="18"/>
                <w:lang w:eastAsia="nl-NL" w:bidi="ar-SA"/>
              </w:rPr>
            </w:pPr>
            <w:r w:rsidRPr="00A52ED8">
              <w:rPr>
                <w:rFonts w:eastAsia="Times New Roman" w:cs="Times New Roman"/>
                <w:color w:val="000000"/>
                <w:kern w:val="0"/>
                <w:szCs w:val="18"/>
                <w:lang w:eastAsia="nl-NL" w:bidi="ar-SA"/>
              </w:rPr>
              <w:t>CGL</w:t>
            </w:r>
          </w:p>
        </w:tc>
        <w:tc>
          <w:tcPr>
            <w:tcW w:w="7655" w:type="dxa"/>
            <w:tcBorders>
              <w:top w:val="nil"/>
              <w:left w:val="nil"/>
              <w:bottom w:val="nil"/>
              <w:right w:val="nil"/>
            </w:tcBorders>
            <w:shd w:val="clear" w:color="auto" w:fill="auto"/>
            <w:noWrap/>
            <w:vAlign w:val="bottom"/>
            <w:hideMark/>
          </w:tcPr>
          <w:p w:rsidRPr="00A52ED8" w:rsidR="00A52ED8" w:rsidP="0016573E" w:rsidRDefault="00A52ED8">
            <w:pPr>
              <w:widowControl/>
              <w:suppressAutoHyphens w:val="0"/>
              <w:autoSpaceDN/>
              <w:spacing w:line="240" w:lineRule="auto"/>
              <w:textAlignment w:val="auto"/>
              <w:rPr>
                <w:rFonts w:eastAsia="Times New Roman" w:cs="Times New Roman"/>
                <w:color w:val="000000"/>
                <w:kern w:val="0"/>
                <w:szCs w:val="18"/>
                <w:lang w:eastAsia="nl-NL" w:bidi="ar-SA"/>
              </w:rPr>
            </w:pPr>
            <w:r w:rsidRPr="00A52ED8">
              <w:rPr>
                <w:rFonts w:eastAsia="Times New Roman" w:cs="Times New Roman"/>
                <w:color w:val="000000"/>
                <w:kern w:val="0"/>
                <w:szCs w:val="18"/>
                <w:lang w:eastAsia="nl-NL" w:bidi="ar-SA"/>
              </w:rPr>
              <w:t>Centrum Gezond Leven</w:t>
            </w:r>
          </w:p>
        </w:tc>
      </w:tr>
      <w:tr w:rsidRPr="00A52ED8" w:rsidR="00A52ED8" w:rsidTr="004050EB">
        <w:trPr>
          <w:trHeight w:val="300"/>
        </w:trPr>
        <w:tc>
          <w:tcPr>
            <w:tcW w:w="1149" w:type="dxa"/>
            <w:tcBorders>
              <w:top w:val="nil"/>
              <w:left w:val="nil"/>
              <w:bottom w:val="nil"/>
              <w:right w:val="nil"/>
            </w:tcBorders>
            <w:shd w:val="clear" w:color="auto" w:fill="auto"/>
            <w:noWrap/>
            <w:vAlign w:val="bottom"/>
            <w:hideMark/>
          </w:tcPr>
          <w:p w:rsidRPr="00A52ED8" w:rsidR="00A52ED8" w:rsidP="0016573E" w:rsidRDefault="00A52ED8">
            <w:pPr>
              <w:widowControl/>
              <w:suppressAutoHyphens w:val="0"/>
              <w:autoSpaceDN/>
              <w:spacing w:line="240" w:lineRule="auto"/>
              <w:textAlignment w:val="auto"/>
              <w:rPr>
                <w:rFonts w:eastAsia="Times New Roman" w:cs="Times New Roman"/>
                <w:color w:val="000000"/>
                <w:kern w:val="0"/>
                <w:szCs w:val="18"/>
                <w:lang w:eastAsia="nl-NL" w:bidi="ar-SA"/>
              </w:rPr>
            </w:pPr>
            <w:r w:rsidRPr="00A52ED8">
              <w:rPr>
                <w:rFonts w:eastAsia="Times New Roman" w:cs="Times New Roman"/>
                <w:color w:val="000000"/>
                <w:kern w:val="0"/>
                <w:szCs w:val="18"/>
                <w:lang w:eastAsia="nl-NL" w:bidi="ar-SA"/>
              </w:rPr>
              <w:t>CSV</w:t>
            </w:r>
          </w:p>
        </w:tc>
        <w:tc>
          <w:tcPr>
            <w:tcW w:w="7655" w:type="dxa"/>
            <w:tcBorders>
              <w:top w:val="nil"/>
              <w:left w:val="nil"/>
              <w:bottom w:val="nil"/>
              <w:right w:val="nil"/>
            </w:tcBorders>
            <w:shd w:val="clear" w:color="auto" w:fill="auto"/>
            <w:noWrap/>
            <w:vAlign w:val="bottom"/>
            <w:hideMark/>
          </w:tcPr>
          <w:p w:rsidRPr="00A52ED8" w:rsidR="00A52ED8" w:rsidP="0016573E" w:rsidRDefault="00A52ED8">
            <w:pPr>
              <w:widowControl/>
              <w:suppressAutoHyphens w:val="0"/>
              <w:autoSpaceDN/>
              <w:spacing w:line="240" w:lineRule="auto"/>
              <w:textAlignment w:val="auto"/>
              <w:rPr>
                <w:rFonts w:eastAsia="Times New Roman" w:cs="Times New Roman"/>
                <w:color w:val="000000"/>
                <w:kern w:val="0"/>
                <w:szCs w:val="18"/>
                <w:lang w:eastAsia="nl-NL" w:bidi="ar-SA"/>
              </w:rPr>
            </w:pPr>
            <w:r w:rsidRPr="00A52ED8">
              <w:rPr>
                <w:rFonts w:eastAsia="Times New Roman" w:cs="Times New Roman"/>
                <w:color w:val="000000"/>
                <w:kern w:val="0"/>
                <w:szCs w:val="18"/>
                <w:lang w:eastAsia="nl-NL" w:bidi="ar-SA"/>
              </w:rPr>
              <w:t>Centrum School en Veiligheid</w:t>
            </w:r>
          </w:p>
        </w:tc>
      </w:tr>
      <w:tr w:rsidRPr="00A52ED8" w:rsidR="00A52ED8" w:rsidTr="004050EB">
        <w:trPr>
          <w:trHeight w:val="300"/>
        </w:trPr>
        <w:tc>
          <w:tcPr>
            <w:tcW w:w="1149" w:type="dxa"/>
            <w:tcBorders>
              <w:top w:val="nil"/>
              <w:left w:val="nil"/>
              <w:bottom w:val="nil"/>
              <w:right w:val="nil"/>
            </w:tcBorders>
            <w:shd w:val="clear" w:color="auto" w:fill="auto"/>
            <w:noWrap/>
            <w:vAlign w:val="bottom"/>
            <w:hideMark/>
          </w:tcPr>
          <w:p w:rsidRPr="00A52ED8" w:rsidR="00A52ED8" w:rsidP="0016573E" w:rsidRDefault="00A52ED8">
            <w:pPr>
              <w:widowControl/>
              <w:suppressAutoHyphens w:val="0"/>
              <w:autoSpaceDN/>
              <w:spacing w:line="240" w:lineRule="auto"/>
              <w:textAlignment w:val="auto"/>
              <w:rPr>
                <w:rFonts w:eastAsia="Times New Roman" w:cs="Times New Roman"/>
                <w:color w:val="000000"/>
                <w:kern w:val="0"/>
                <w:szCs w:val="18"/>
                <w:lang w:eastAsia="nl-NL" w:bidi="ar-SA"/>
              </w:rPr>
            </w:pPr>
            <w:r w:rsidRPr="00A52ED8">
              <w:rPr>
                <w:rFonts w:eastAsia="Times New Roman" w:cs="Times New Roman"/>
                <w:color w:val="000000"/>
                <w:kern w:val="0"/>
                <w:szCs w:val="18"/>
                <w:lang w:eastAsia="nl-NL" w:bidi="ar-SA"/>
              </w:rPr>
              <w:t>DALY's</w:t>
            </w:r>
          </w:p>
        </w:tc>
        <w:tc>
          <w:tcPr>
            <w:tcW w:w="7655" w:type="dxa"/>
            <w:tcBorders>
              <w:top w:val="nil"/>
              <w:left w:val="nil"/>
              <w:bottom w:val="nil"/>
              <w:right w:val="nil"/>
            </w:tcBorders>
            <w:shd w:val="clear" w:color="auto" w:fill="auto"/>
            <w:noWrap/>
            <w:vAlign w:val="bottom"/>
            <w:hideMark/>
          </w:tcPr>
          <w:p w:rsidRPr="00A52ED8" w:rsidR="00A52ED8" w:rsidP="0016573E" w:rsidRDefault="00A52ED8">
            <w:pPr>
              <w:widowControl/>
              <w:suppressAutoHyphens w:val="0"/>
              <w:autoSpaceDN/>
              <w:spacing w:line="240" w:lineRule="auto"/>
              <w:textAlignment w:val="auto"/>
              <w:rPr>
                <w:rFonts w:eastAsia="Times New Roman" w:cs="Times New Roman"/>
                <w:color w:val="000000"/>
                <w:kern w:val="0"/>
                <w:szCs w:val="18"/>
                <w:lang w:eastAsia="nl-NL" w:bidi="ar-SA"/>
              </w:rPr>
            </w:pPr>
            <w:r w:rsidRPr="00A52ED8">
              <w:rPr>
                <w:rFonts w:eastAsia="Times New Roman" w:cs="Times New Roman"/>
                <w:color w:val="000000"/>
                <w:kern w:val="0"/>
                <w:szCs w:val="18"/>
                <w:lang w:eastAsia="nl-NL" w:bidi="ar-SA"/>
              </w:rPr>
              <w:t>Disability Adjusted Life Years</w:t>
            </w:r>
          </w:p>
        </w:tc>
      </w:tr>
      <w:tr w:rsidRPr="00A52ED8" w:rsidR="00A52ED8" w:rsidTr="004050EB">
        <w:trPr>
          <w:trHeight w:val="300"/>
        </w:trPr>
        <w:tc>
          <w:tcPr>
            <w:tcW w:w="1149" w:type="dxa"/>
            <w:tcBorders>
              <w:top w:val="nil"/>
              <w:left w:val="nil"/>
              <w:bottom w:val="nil"/>
              <w:right w:val="nil"/>
            </w:tcBorders>
            <w:shd w:val="clear" w:color="auto" w:fill="auto"/>
            <w:noWrap/>
            <w:vAlign w:val="bottom"/>
            <w:hideMark/>
          </w:tcPr>
          <w:p w:rsidRPr="00A52ED8" w:rsidR="00A52ED8" w:rsidP="0016573E" w:rsidRDefault="00A52ED8">
            <w:pPr>
              <w:widowControl/>
              <w:suppressAutoHyphens w:val="0"/>
              <w:autoSpaceDN/>
              <w:spacing w:line="240" w:lineRule="auto"/>
              <w:textAlignment w:val="auto"/>
              <w:rPr>
                <w:rFonts w:eastAsia="Times New Roman" w:cs="Times New Roman"/>
                <w:color w:val="000000"/>
                <w:kern w:val="0"/>
                <w:szCs w:val="18"/>
                <w:lang w:eastAsia="nl-NL" w:bidi="ar-SA"/>
              </w:rPr>
            </w:pPr>
            <w:r w:rsidRPr="00A52ED8">
              <w:rPr>
                <w:rFonts w:eastAsia="Times New Roman" w:cs="Times New Roman"/>
                <w:color w:val="000000"/>
                <w:kern w:val="0"/>
                <w:szCs w:val="18"/>
                <w:lang w:eastAsia="nl-NL" w:bidi="ar-SA"/>
              </w:rPr>
              <w:t>DBC</w:t>
            </w:r>
          </w:p>
        </w:tc>
        <w:tc>
          <w:tcPr>
            <w:tcW w:w="7655" w:type="dxa"/>
            <w:tcBorders>
              <w:top w:val="nil"/>
              <w:left w:val="nil"/>
              <w:bottom w:val="nil"/>
              <w:right w:val="nil"/>
            </w:tcBorders>
            <w:shd w:val="clear" w:color="auto" w:fill="auto"/>
            <w:noWrap/>
            <w:vAlign w:val="bottom"/>
            <w:hideMark/>
          </w:tcPr>
          <w:p w:rsidRPr="00A52ED8" w:rsidR="00A52ED8" w:rsidP="0016573E" w:rsidRDefault="00A52ED8">
            <w:pPr>
              <w:widowControl/>
              <w:suppressAutoHyphens w:val="0"/>
              <w:autoSpaceDN/>
              <w:spacing w:line="240" w:lineRule="auto"/>
              <w:textAlignment w:val="auto"/>
              <w:rPr>
                <w:rFonts w:eastAsia="Times New Roman" w:cs="Times New Roman"/>
                <w:color w:val="000000"/>
                <w:kern w:val="0"/>
                <w:szCs w:val="18"/>
                <w:lang w:eastAsia="nl-NL" w:bidi="ar-SA"/>
              </w:rPr>
            </w:pPr>
            <w:r w:rsidRPr="00A52ED8">
              <w:rPr>
                <w:rFonts w:eastAsia="Times New Roman" w:cs="Times New Roman"/>
                <w:color w:val="000000"/>
                <w:kern w:val="0"/>
                <w:szCs w:val="18"/>
                <w:lang w:eastAsia="nl-NL" w:bidi="ar-SA"/>
              </w:rPr>
              <w:t>Diagnose Behandel Combinatie</w:t>
            </w:r>
          </w:p>
        </w:tc>
      </w:tr>
      <w:tr w:rsidRPr="00A52ED8" w:rsidR="00A52ED8" w:rsidTr="004050EB">
        <w:trPr>
          <w:trHeight w:val="300"/>
        </w:trPr>
        <w:tc>
          <w:tcPr>
            <w:tcW w:w="1149" w:type="dxa"/>
            <w:tcBorders>
              <w:top w:val="nil"/>
              <w:left w:val="nil"/>
              <w:bottom w:val="nil"/>
              <w:right w:val="nil"/>
            </w:tcBorders>
            <w:shd w:val="clear" w:color="auto" w:fill="auto"/>
            <w:noWrap/>
            <w:vAlign w:val="bottom"/>
            <w:hideMark/>
          </w:tcPr>
          <w:p w:rsidRPr="00A52ED8" w:rsidR="00A52ED8" w:rsidP="0016573E" w:rsidRDefault="00A52ED8">
            <w:pPr>
              <w:widowControl/>
              <w:suppressAutoHyphens w:val="0"/>
              <w:autoSpaceDN/>
              <w:spacing w:line="240" w:lineRule="auto"/>
              <w:textAlignment w:val="auto"/>
              <w:rPr>
                <w:rFonts w:eastAsia="Times New Roman" w:cs="Times New Roman"/>
                <w:color w:val="000000"/>
                <w:kern w:val="0"/>
                <w:szCs w:val="18"/>
                <w:lang w:eastAsia="nl-NL" w:bidi="ar-SA"/>
              </w:rPr>
            </w:pPr>
            <w:r w:rsidRPr="00A52ED8">
              <w:rPr>
                <w:rFonts w:eastAsia="Times New Roman" w:cs="Times New Roman"/>
                <w:color w:val="000000"/>
                <w:kern w:val="0"/>
                <w:szCs w:val="18"/>
                <w:lang w:eastAsia="nl-NL" w:bidi="ar-SA"/>
              </w:rPr>
              <w:t>EU</w:t>
            </w:r>
          </w:p>
        </w:tc>
        <w:tc>
          <w:tcPr>
            <w:tcW w:w="7655" w:type="dxa"/>
            <w:tcBorders>
              <w:top w:val="nil"/>
              <w:left w:val="nil"/>
              <w:bottom w:val="nil"/>
              <w:right w:val="nil"/>
            </w:tcBorders>
            <w:shd w:val="clear" w:color="auto" w:fill="auto"/>
            <w:noWrap/>
            <w:vAlign w:val="bottom"/>
            <w:hideMark/>
          </w:tcPr>
          <w:p w:rsidRPr="00A52ED8" w:rsidR="00A52ED8" w:rsidP="0016573E" w:rsidRDefault="00A52ED8">
            <w:pPr>
              <w:widowControl/>
              <w:suppressAutoHyphens w:val="0"/>
              <w:autoSpaceDN/>
              <w:spacing w:line="240" w:lineRule="auto"/>
              <w:textAlignment w:val="auto"/>
              <w:rPr>
                <w:rFonts w:eastAsia="Times New Roman" w:cs="Times New Roman"/>
                <w:color w:val="000000"/>
                <w:kern w:val="0"/>
                <w:szCs w:val="18"/>
                <w:lang w:eastAsia="nl-NL" w:bidi="ar-SA"/>
              </w:rPr>
            </w:pPr>
            <w:r w:rsidRPr="00A52ED8">
              <w:rPr>
                <w:rFonts w:eastAsia="Times New Roman" w:cs="Times New Roman"/>
                <w:color w:val="000000"/>
                <w:kern w:val="0"/>
                <w:szCs w:val="18"/>
                <w:lang w:eastAsia="nl-NL" w:bidi="ar-SA"/>
              </w:rPr>
              <w:t>Europese unie</w:t>
            </w:r>
          </w:p>
        </w:tc>
      </w:tr>
      <w:tr w:rsidRPr="00A52ED8" w:rsidR="00A52ED8" w:rsidTr="004050EB">
        <w:trPr>
          <w:trHeight w:val="300"/>
        </w:trPr>
        <w:tc>
          <w:tcPr>
            <w:tcW w:w="1149" w:type="dxa"/>
            <w:tcBorders>
              <w:top w:val="nil"/>
              <w:left w:val="nil"/>
              <w:bottom w:val="nil"/>
              <w:right w:val="nil"/>
            </w:tcBorders>
            <w:shd w:val="clear" w:color="auto" w:fill="auto"/>
            <w:noWrap/>
            <w:vAlign w:val="bottom"/>
            <w:hideMark/>
          </w:tcPr>
          <w:p w:rsidRPr="00A52ED8" w:rsidR="00A52ED8" w:rsidP="0016573E" w:rsidRDefault="00A52ED8">
            <w:pPr>
              <w:widowControl/>
              <w:suppressAutoHyphens w:val="0"/>
              <w:autoSpaceDN/>
              <w:spacing w:line="240" w:lineRule="auto"/>
              <w:textAlignment w:val="auto"/>
              <w:rPr>
                <w:rFonts w:eastAsia="Times New Roman" w:cs="Times New Roman"/>
                <w:color w:val="000000"/>
                <w:kern w:val="0"/>
                <w:szCs w:val="18"/>
                <w:lang w:eastAsia="nl-NL" w:bidi="ar-SA"/>
              </w:rPr>
            </w:pPr>
            <w:r w:rsidRPr="00A52ED8">
              <w:rPr>
                <w:rFonts w:eastAsia="Times New Roman" w:cs="Times New Roman"/>
                <w:color w:val="000000"/>
                <w:kern w:val="0"/>
                <w:szCs w:val="18"/>
                <w:lang w:eastAsia="nl-NL" w:bidi="ar-SA"/>
              </w:rPr>
              <w:t>GGD</w:t>
            </w:r>
          </w:p>
        </w:tc>
        <w:tc>
          <w:tcPr>
            <w:tcW w:w="7655" w:type="dxa"/>
            <w:tcBorders>
              <w:top w:val="nil"/>
              <w:left w:val="nil"/>
              <w:bottom w:val="nil"/>
              <w:right w:val="nil"/>
            </w:tcBorders>
            <w:shd w:val="clear" w:color="auto" w:fill="auto"/>
            <w:noWrap/>
            <w:vAlign w:val="bottom"/>
            <w:hideMark/>
          </w:tcPr>
          <w:p w:rsidRPr="00A52ED8" w:rsidR="00A52ED8" w:rsidP="0016573E" w:rsidRDefault="00A52ED8">
            <w:pPr>
              <w:widowControl/>
              <w:suppressAutoHyphens w:val="0"/>
              <w:autoSpaceDN/>
              <w:spacing w:line="240" w:lineRule="auto"/>
              <w:textAlignment w:val="auto"/>
              <w:rPr>
                <w:rFonts w:eastAsia="Times New Roman" w:cs="Times New Roman"/>
                <w:color w:val="000000"/>
                <w:kern w:val="0"/>
                <w:szCs w:val="18"/>
                <w:lang w:eastAsia="nl-NL" w:bidi="ar-SA"/>
              </w:rPr>
            </w:pPr>
            <w:r w:rsidRPr="00A52ED8">
              <w:rPr>
                <w:rFonts w:eastAsia="Times New Roman" w:cs="Times New Roman"/>
                <w:color w:val="000000"/>
                <w:kern w:val="0"/>
                <w:szCs w:val="18"/>
                <w:lang w:eastAsia="nl-NL" w:bidi="ar-SA"/>
              </w:rPr>
              <w:t>Gemeentelijke gezondheidsdienst</w:t>
            </w:r>
          </w:p>
        </w:tc>
      </w:tr>
      <w:tr w:rsidRPr="00A52ED8" w:rsidR="00A52ED8" w:rsidTr="004050EB">
        <w:trPr>
          <w:trHeight w:val="300"/>
        </w:trPr>
        <w:tc>
          <w:tcPr>
            <w:tcW w:w="1149" w:type="dxa"/>
            <w:tcBorders>
              <w:top w:val="nil"/>
              <w:left w:val="nil"/>
              <w:bottom w:val="nil"/>
              <w:right w:val="nil"/>
            </w:tcBorders>
            <w:shd w:val="clear" w:color="auto" w:fill="auto"/>
            <w:noWrap/>
            <w:vAlign w:val="bottom"/>
            <w:hideMark/>
          </w:tcPr>
          <w:p w:rsidRPr="00A52ED8" w:rsidR="00A52ED8" w:rsidP="0016573E" w:rsidRDefault="00A52ED8">
            <w:pPr>
              <w:widowControl/>
              <w:suppressAutoHyphens w:val="0"/>
              <w:autoSpaceDN/>
              <w:spacing w:line="240" w:lineRule="auto"/>
              <w:textAlignment w:val="auto"/>
              <w:rPr>
                <w:rFonts w:eastAsia="Times New Roman" w:cs="Times New Roman"/>
                <w:color w:val="000000"/>
                <w:kern w:val="0"/>
                <w:szCs w:val="18"/>
                <w:lang w:eastAsia="nl-NL" w:bidi="ar-SA"/>
              </w:rPr>
            </w:pPr>
            <w:r w:rsidRPr="00A52ED8">
              <w:rPr>
                <w:rFonts w:eastAsia="Times New Roman" w:cs="Times New Roman"/>
                <w:color w:val="000000"/>
                <w:kern w:val="0"/>
                <w:szCs w:val="18"/>
                <w:lang w:eastAsia="nl-NL" w:bidi="ar-SA"/>
              </w:rPr>
              <w:t>I&amp;M</w:t>
            </w:r>
          </w:p>
        </w:tc>
        <w:tc>
          <w:tcPr>
            <w:tcW w:w="7655" w:type="dxa"/>
            <w:tcBorders>
              <w:top w:val="nil"/>
              <w:left w:val="nil"/>
              <w:bottom w:val="nil"/>
              <w:right w:val="nil"/>
            </w:tcBorders>
            <w:shd w:val="clear" w:color="auto" w:fill="auto"/>
            <w:noWrap/>
            <w:vAlign w:val="bottom"/>
            <w:hideMark/>
          </w:tcPr>
          <w:p w:rsidRPr="00A52ED8" w:rsidR="00A52ED8" w:rsidP="0016573E" w:rsidRDefault="00A52ED8">
            <w:pPr>
              <w:widowControl/>
              <w:suppressAutoHyphens w:val="0"/>
              <w:autoSpaceDN/>
              <w:spacing w:line="240" w:lineRule="auto"/>
              <w:textAlignment w:val="auto"/>
              <w:rPr>
                <w:rFonts w:eastAsia="Times New Roman" w:cs="Times New Roman"/>
                <w:color w:val="000000"/>
                <w:kern w:val="0"/>
                <w:szCs w:val="18"/>
                <w:lang w:eastAsia="nl-NL" w:bidi="ar-SA"/>
              </w:rPr>
            </w:pPr>
            <w:r w:rsidRPr="00A52ED8">
              <w:rPr>
                <w:rFonts w:eastAsia="Times New Roman" w:cs="Times New Roman"/>
                <w:color w:val="000000"/>
                <w:kern w:val="0"/>
                <w:szCs w:val="18"/>
                <w:lang w:eastAsia="nl-NL" w:bidi="ar-SA"/>
              </w:rPr>
              <w:t>Infrastructuur en Milieu</w:t>
            </w:r>
          </w:p>
        </w:tc>
      </w:tr>
      <w:tr w:rsidRPr="00A52ED8" w:rsidR="00A52ED8" w:rsidTr="004050EB">
        <w:trPr>
          <w:trHeight w:val="300"/>
        </w:trPr>
        <w:tc>
          <w:tcPr>
            <w:tcW w:w="1149" w:type="dxa"/>
            <w:tcBorders>
              <w:top w:val="nil"/>
              <w:left w:val="nil"/>
              <w:bottom w:val="nil"/>
              <w:right w:val="nil"/>
            </w:tcBorders>
            <w:shd w:val="clear" w:color="auto" w:fill="auto"/>
            <w:noWrap/>
            <w:vAlign w:val="bottom"/>
            <w:hideMark/>
          </w:tcPr>
          <w:p w:rsidRPr="00A52ED8" w:rsidR="00A52ED8" w:rsidP="0016573E" w:rsidRDefault="00A52ED8">
            <w:pPr>
              <w:widowControl/>
              <w:suppressAutoHyphens w:val="0"/>
              <w:autoSpaceDN/>
              <w:spacing w:line="240" w:lineRule="auto"/>
              <w:textAlignment w:val="auto"/>
              <w:rPr>
                <w:rFonts w:eastAsia="Times New Roman" w:cs="Times New Roman"/>
                <w:color w:val="000000"/>
                <w:kern w:val="0"/>
                <w:szCs w:val="18"/>
                <w:lang w:eastAsia="nl-NL" w:bidi="ar-SA"/>
              </w:rPr>
            </w:pPr>
            <w:r w:rsidRPr="00A52ED8">
              <w:rPr>
                <w:rFonts w:eastAsia="Times New Roman" w:cs="Times New Roman"/>
                <w:color w:val="000000"/>
                <w:kern w:val="0"/>
                <w:szCs w:val="18"/>
                <w:lang w:eastAsia="nl-NL" w:bidi="ar-SA"/>
              </w:rPr>
              <w:t>IGZ</w:t>
            </w:r>
          </w:p>
        </w:tc>
        <w:tc>
          <w:tcPr>
            <w:tcW w:w="7655" w:type="dxa"/>
            <w:tcBorders>
              <w:top w:val="nil"/>
              <w:left w:val="nil"/>
              <w:bottom w:val="nil"/>
              <w:right w:val="nil"/>
            </w:tcBorders>
            <w:shd w:val="clear" w:color="auto" w:fill="auto"/>
            <w:noWrap/>
            <w:vAlign w:val="bottom"/>
            <w:hideMark/>
          </w:tcPr>
          <w:p w:rsidRPr="00A52ED8" w:rsidR="00A52ED8" w:rsidP="0016573E" w:rsidRDefault="00A52ED8">
            <w:pPr>
              <w:widowControl/>
              <w:suppressAutoHyphens w:val="0"/>
              <w:autoSpaceDN/>
              <w:spacing w:line="240" w:lineRule="auto"/>
              <w:textAlignment w:val="auto"/>
              <w:rPr>
                <w:rFonts w:eastAsia="Times New Roman" w:cs="Times New Roman"/>
                <w:color w:val="000000"/>
                <w:kern w:val="0"/>
                <w:szCs w:val="18"/>
                <w:lang w:eastAsia="nl-NL" w:bidi="ar-SA"/>
              </w:rPr>
            </w:pPr>
            <w:r w:rsidRPr="00A52ED8">
              <w:rPr>
                <w:rFonts w:eastAsia="Times New Roman" w:cs="Times New Roman"/>
                <w:color w:val="000000"/>
                <w:kern w:val="0"/>
                <w:szCs w:val="18"/>
                <w:lang w:eastAsia="nl-NL" w:bidi="ar-SA"/>
              </w:rPr>
              <w:t>Inspectie voor de Gezondheidszorg</w:t>
            </w:r>
          </w:p>
        </w:tc>
      </w:tr>
      <w:tr w:rsidRPr="00A52ED8" w:rsidR="00A52ED8" w:rsidTr="004050EB">
        <w:trPr>
          <w:trHeight w:val="300"/>
        </w:trPr>
        <w:tc>
          <w:tcPr>
            <w:tcW w:w="1149" w:type="dxa"/>
            <w:tcBorders>
              <w:top w:val="nil"/>
              <w:left w:val="nil"/>
              <w:bottom w:val="nil"/>
              <w:right w:val="nil"/>
            </w:tcBorders>
            <w:shd w:val="clear" w:color="auto" w:fill="auto"/>
            <w:noWrap/>
            <w:vAlign w:val="bottom"/>
            <w:hideMark/>
          </w:tcPr>
          <w:p w:rsidRPr="00A52ED8" w:rsidR="00A52ED8" w:rsidP="0016573E" w:rsidRDefault="00A52ED8">
            <w:pPr>
              <w:widowControl/>
              <w:suppressAutoHyphens w:val="0"/>
              <w:autoSpaceDN/>
              <w:spacing w:line="240" w:lineRule="auto"/>
              <w:textAlignment w:val="auto"/>
              <w:rPr>
                <w:rFonts w:eastAsia="Times New Roman" w:cs="Times New Roman"/>
                <w:color w:val="000000"/>
                <w:kern w:val="0"/>
                <w:szCs w:val="18"/>
                <w:lang w:eastAsia="nl-NL" w:bidi="ar-SA"/>
              </w:rPr>
            </w:pPr>
            <w:r w:rsidRPr="00A52ED8">
              <w:rPr>
                <w:rFonts w:eastAsia="Times New Roman" w:cs="Times New Roman"/>
                <w:color w:val="000000"/>
                <w:kern w:val="0"/>
                <w:szCs w:val="18"/>
                <w:lang w:eastAsia="nl-NL" w:bidi="ar-SA"/>
              </w:rPr>
              <w:t>KWZ</w:t>
            </w:r>
          </w:p>
        </w:tc>
        <w:tc>
          <w:tcPr>
            <w:tcW w:w="7655" w:type="dxa"/>
            <w:tcBorders>
              <w:top w:val="nil"/>
              <w:left w:val="nil"/>
              <w:bottom w:val="nil"/>
              <w:right w:val="nil"/>
            </w:tcBorders>
            <w:shd w:val="clear" w:color="auto" w:fill="auto"/>
            <w:noWrap/>
            <w:vAlign w:val="bottom"/>
            <w:hideMark/>
          </w:tcPr>
          <w:p w:rsidRPr="00A52ED8" w:rsidR="00A52ED8" w:rsidP="0016573E" w:rsidRDefault="00A52ED8">
            <w:pPr>
              <w:widowControl/>
              <w:suppressAutoHyphens w:val="0"/>
              <w:autoSpaceDN/>
              <w:spacing w:line="240" w:lineRule="auto"/>
              <w:textAlignment w:val="auto"/>
              <w:rPr>
                <w:rFonts w:eastAsia="Times New Roman" w:cs="Times New Roman"/>
                <w:color w:val="000000"/>
                <w:kern w:val="0"/>
                <w:szCs w:val="18"/>
                <w:lang w:eastAsia="nl-NL" w:bidi="ar-SA"/>
              </w:rPr>
            </w:pPr>
            <w:r w:rsidRPr="00A52ED8">
              <w:rPr>
                <w:rFonts w:eastAsia="Times New Roman" w:cs="Times New Roman"/>
                <w:color w:val="000000"/>
                <w:kern w:val="0"/>
                <w:szCs w:val="18"/>
                <w:lang w:eastAsia="nl-NL" w:bidi="ar-SA"/>
              </w:rPr>
              <w:t>Kwaliteitswet zorginstellingen</w:t>
            </w:r>
          </w:p>
        </w:tc>
      </w:tr>
      <w:tr w:rsidRPr="00A52ED8" w:rsidR="00A52ED8" w:rsidTr="004050EB">
        <w:trPr>
          <w:trHeight w:val="300"/>
        </w:trPr>
        <w:tc>
          <w:tcPr>
            <w:tcW w:w="1149" w:type="dxa"/>
            <w:tcBorders>
              <w:top w:val="nil"/>
              <w:left w:val="nil"/>
              <w:bottom w:val="nil"/>
              <w:right w:val="nil"/>
            </w:tcBorders>
            <w:shd w:val="clear" w:color="auto" w:fill="auto"/>
            <w:noWrap/>
            <w:vAlign w:val="bottom"/>
            <w:hideMark/>
          </w:tcPr>
          <w:p w:rsidRPr="00A52ED8" w:rsidR="00A52ED8" w:rsidP="0016573E" w:rsidRDefault="00A52ED8">
            <w:pPr>
              <w:widowControl/>
              <w:suppressAutoHyphens w:val="0"/>
              <w:autoSpaceDN/>
              <w:spacing w:line="240" w:lineRule="auto"/>
              <w:textAlignment w:val="auto"/>
              <w:rPr>
                <w:rFonts w:eastAsia="Times New Roman" w:cs="Times New Roman"/>
                <w:color w:val="000000"/>
                <w:kern w:val="0"/>
                <w:szCs w:val="18"/>
                <w:lang w:eastAsia="nl-NL" w:bidi="ar-SA"/>
              </w:rPr>
            </w:pPr>
            <w:r w:rsidRPr="00A52ED8">
              <w:rPr>
                <w:rFonts w:eastAsia="Times New Roman" w:cs="Times New Roman"/>
                <w:color w:val="000000"/>
                <w:kern w:val="0"/>
                <w:szCs w:val="18"/>
                <w:lang w:eastAsia="nl-NL" w:bidi="ar-SA"/>
              </w:rPr>
              <w:t>LIS</w:t>
            </w:r>
          </w:p>
        </w:tc>
        <w:tc>
          <w:tcPr>
            <w:tcW w:w="7655" w:type="dxa"/>
            <w:tcBorders>
              <w:top w:val="nil"/>
              <w:left w:val="nil"/>
              <w:bottom w:val="nil"/>
              <w:right w:val="nil"/>
            </w:tcBorders>
            <w:shd w:val="clear" w:color="auto" w:fill="auto"/>
            <w:noWrap/>
            <w:vAlign w:val="bottom"/>
            <w:hideMark/>
          </w:tcPr>
          <w:p w:rsidRPr="00A52ED8" w:rsidR="00A52ED8" w:rsidP="0016573E" w:rsidRDefault="00A52ED8">
            <w:pPr>
              <w:widowControl/>
              <w:suppressAutoHyphens w:val="0"/>
              <w:autoSpaceDN/>
              <w:spacing w:line="240" w:lineRule="auto"/>
              <w:textAlignment w:val="auto"/>
              <w:rPr>
                <w:rFonts w:eastAsia="Times New Roman" w:cs="Times New Roman"/>
                <w:color w:val="000000"/>
                <w:kern w:val="0"/>
                <w:szCs w:val="18"/>
                <w:lang w:eastAsia="nl-NL" w:bidi="ar-SA"/>
              </w:rPr>
            </w:pPr>
            <w:r w:rsidRPr="00A52ED8">
              <w:rPr>
                <w:rFonts w:eastAsia="Times New Roman" w:cs="Times New Roman"/>
                <w:color w:val="000000"/>
                <w:kern w:val="0"/>
                <w:szCs w:val="18"/>
                <w:lang w:eastAsia="nl-NL" w:bidi="ar-SA"/>
              </w:rPr>
              <w:t>Letselinformatiesysteem</w:t>
            </w:r>
          </w:p>
        </w:tc>
      </w:tr>
      <w:tr w:rsidRPr="00A52ED8" w:rsidR="00A52ED8" w:rsidTr="004050EB">
        <w:trPr>
          <w:trHeight w:val="300"/>
        </w:trPr>
        <w:tc>
          <w:tcPr>
            <w:tcW w:w="1149" w:type="dxa"/>
            <w:tcBorders>
              <w:top w:val="nil"/>
              <w:left w:val="nil"/>
              <w:bottom w:val="nil"/>
              <w:right w:val="nil"/>
            </w:tcBorders>
            <w:shd w:val="clear" w:color="auto" w:fill="auto"/>
            <w:noWrap/>
            <w:vAlign w:val="bottom"/>
            <w:hideMark/>
          </w:tcPr>
          <w:p w:rsidRPr="00A52ED8" w:rsidR="00A52ED8" w:rsidP="0016573E" w:rsidRDefault="00A52ED8">
            <w:pPr>
              <w:widowControl/>
              <w:suppressAutoHyphens w:val="0"/>
              <w:autoSpaceDN/>
              <w:spacing w:line="240" w:lineRule="auto"/>
              <w:textAlignment w:val="auto"/>
              <w:rPr>
                <w:rFonts w:eastAsia="Times New Roman" w:cs="Times New Roman"/>
                <w:color w:val="000000"/>
                <w:kern w:val="0"/>
                <w:szCs w:val="18"/>
                <w:lang w:eastAsia="nl-NL" w:bidi="ar-SA"/>
              </w:rPr>
            </w:pPr>
            <w:r w:rsidRPr="00A52ED8">
              <w:rPr>
                <w:rFonts w:eastAsia="Times New Roman" w:cs="Times New Roman"/>
                <w:color w:val="000000"/>
                <w:kern w:val="0"/>
                <w:szCs w:val="18"/>
                <w:lang w:eastAsia="nl-NL" w:bidi="ar-SA"/>
              </w:rPr>
              <w:t>LTR</w:t>
            </w:r>
          </w:p>
        </w:tc>
        <w:tc>
          <w:tcPr>
            <w:tcW w:w="7655" w:type="dxa"/>
            <w:tcBorders>
              <w:top w:val="nil"/>
              <w:left w:val="nil"/>
              <w:bottom w:val="nil"/>
              <w:right w:val="nil"/>
            </w:tcBorders>
            <w:shd w:val="clear" w:color="auto" w:fill="auto"/>
            <w:noWrap/>
            <w:vAlign w:val="bottom"/>
            <w:hideMark/>
          </w:tcPr>
          <w:p w:rsidRPr="00A52ED8" w:rsidR="00A52ED8" w:rsidP="0016573E" w:rsidRDefault="00A52ED8">
            <w:pPr>
              <w:widowControl/>
              <w:suppressAutoHyphens w:val="0"/>
              <w:autoSpaceDN/>
              <w:spacing w:line="240" w:lineRule="auto"/>
              <w:textAlignment w:val="auto"/>
              <w:rPr>
                <w:rFonts w:eastAsia="Times New Roman" w:cs="Times New Roman"/>
                <w:color w:val="000000"/>
                <w:kern w:val="0"/>
                <w:szCs w:val="18"/>
                <w:lang w:eastAsia="nl-NL" w:bidi="ar-SA"/>
              </w:rPr>
            </w:pPr>
            <w:r w:rsidRPr="00A52ED8">
              <w:rPr>
                <w:rFonts w:eastAsia="Times New Roman" w:cs="Times New Roman"/>
                <w:color w:val="000000"/>
                <w:kern w:val="0"/>
                <w:szCs w:val="18"/>
                <w:lang w:eastAsia="nl-NL" w:bidi="ar-SA"/>
              </w:rPr>
              <w:t>Landelijke Traumaregistratie</w:t>
            </w:r>
          </w:p>
        </w:tc>
      </w:tr>
      <w:tr w:rsidRPr="00A52ED8" w:rsidR="00A52ED8" w:rsidTr="004050EB">
        <w:trPr>
          <w:trHeight w:val="300"/>
        </w:trPr>
        <w:tc>
          <w:tcPr>
            <w:tcW w:w="1149" w:type="dxa"/>
            <w:tcBorders>
              <w:top w:val="nil"/>
              <w:left w:val="nil"/>
              <w:bottom w:val="nil"/>
              <w:right w:val="nil"/>
            </w:tcBorders>
            <w:shd w:val="clear" w:color="auto" w:fill="auto"/>
            <w:noWrap/>
            <w:vAlign w:val="bottom"/>
            <w:hideMark/>
          </w:tcPr>
          <w:p w:rsidRPr="00A52ED8" w:rsidR="00A52ED8" w:rsidP="0016573E" w:rsidRDefault="00A52ED8">
            <w:pPr>
              <w:widowControl/>
              <w:suppressAutoHyphens w:val="0"/>
              <w:autoSpaceDN/>
              <w:spacing w:line="240" w:lineRule="auto"/>
              <w:textAlignment w:val="auto"/>
              <w:rPr>
                <w:rFonts w:eastAsia="Times New Roman" w:cs="Times New Roman"/>
                <w:color w:val="000000"/>
                <w:kern w:val="0"/>
                <w:szCs w:val="18"/>
                <w:lang w:eastAsia="nl-NL" w:bidi="ar-SA"/>
              </w:rPr>
            </w:pPr>
            <w:r w:rsidRPr="00A52ED8">
              <w:rPr>
                <w:rFonts w:eastAsia="Times New Roman" w:cs="Times New Roman"/>
                <w:color w:val="000000"/>
                <w:kern w:val="0"/>
                <w:szCs w:val="18"/>
                <w:lang w:eastAsia="nl-NL" w:bidi="ar-SA"/>
              </w:rPr>
              <w:t>NIVEL</w:t>
            </w:r>
          </w:p>
        </w:tc>
        <w:tc>
          <w:tcPr>
            <w:tcW w:w="7655" w:type="dxa"/>
            <w:tcBorders>
              <w:top w:val="nil"/>
              <w:left w:val="nil"/>
              <w:bottom w:val="nil"/>
              <w:right w:val="nil"/>
            </w:tcBorders>
            <w:shd w:val="clear" w:color="auto" w:fill="auto"/>
            <w:noWrap/>
            <w:vAlign w:val="bottom"/>
            <w:hideMark/>
          </w:tcPr>
          <w:p w:rsidRPr="00A52ED8" w:rsidR="00A52ED8" w:rsidP="0016573E" w:rsidRDefault="00A52ED8">
            <w:pPr>
              <w:widowControl/>
              <w:suppressAutoHyphens w:val="0"/>
              <w:autoSpaceDN/>
              <w:spacing w:line="240" w:lineRule="auto"/>
              <w:textAlignment w:val="auto"/>
              <w:rPr>
                <w:rFonts w:eastAsia="Times New Roman" w:cs="Times New Roman"/>
                <w:color w:val="000000"/>
                <w:kern w:val="0"/>
                <w:szCs w:val="18"/>
                <w:lang w:eastAsia="nl-NL" w:bidi="ar-SA"/>
              </w:rPr>
            </w:pPr>
            <w:r w:rsidRPr="00A52ED8">
              <w:rPr>
                <w:rFonts w:eastAsia="Times New Roman" w:cs="Times New Roman"/>
                <w:color w:val="000000"/>
                <w:kern w:val="0"/>
                <w:szCs w:val="18"/>
                <w:lang w:eastAsia="nl-NL" w:bidi="ar-SA"/>
              </w:rPr>
              <w:t>Nederlands Instituut voor onderzoek van de gezondheidszorg</w:t>
            </w:r>
          </w:p>
        </w:tc>
      </w:tr>
      <w:tr w:rsidRPr="00A52ED8" w:rsidR="00A52ED8" w:rsidTr="004050EB">
        <w:trPr>
          <w:trHeight w:val="300"/>
        </w:trPr>
        <w:tc>
          <w:tcPr>
            <w:tcW w:w="1149" w:type="dxa"/>
            <w:tcBorders>
              <w:top w:val="nil"/>
              <w:left w:val="nil"/>
              <w:bottom w:val="nil"/>
              <w:right w:val="nil"/>
            </w:tcBorders>
            <w:shd w:val="clear" w:color="auto" w:fill="auto"/>
            <w:noWrap/>
            <w:vAlign w:val="bottom"/>
            <w:hideMark/>
          </w:tcPr>
          <w:p w:rsidRPr="00A52ED8" w:rsidR="00A52ED8" w:rsidP="0016573E" w:rsidRDefault="00A52ED8">
            <w:pPr>
              <w:widowControl/>
              <w:suppressAutoHyphens w:val="0"/>
              <w:autoSpaceDN/>
              <w:spacing w:line="240" w:lineRule="auto"/>
              <w:textAlignment w:val="auto"/>
              <w:rPr>
                <w:rFonts w:eastAsia="Times New Roman" w:cs="Times New Roman"/>
                <w:color w:val="000000"/>
                <w:kern w:val="0"/>
                <w:szCs w:val="18"/>
                <w:lang w:eastAsia="nl-NL" w:bidi="ar-SA"/>
              </w:rPr>
            </w:pPr>
            <w:r w:rsidRPr="00A52ED8">
              <w:rPr>
                <w:rFonts w:eastAsia="Times New Roman" w:cs="Times New Roman"/>
                <w:color w:val="000000"/>
                <w:kern w:val="0"/>
                <w:szCs w:val="18"/>
                <w:lang w:eastAsia="nl-NL" w:bidi="ar-SA"/>
              </w:rPr>
              <w:t>NOC*NSF</w:t>
            </w:r>
          </w:p>
        </w:tc>
        <w:tc>
          <w:tcPr>
            <w:tcW w:w="7655" w:type="dxa"/>
            <w:tcBorders>
              <w:top w:val="nil"/>
              <w:left w:val="nil"/>
              <w:bottom w:val="nil"/>
              <w:right w:val="nil"/>
            </w:tcBorders>
            <w:shd w:val="clear" w:color="auto" w:fill="auto"/>
            <w:noWrap/>
            <w:vAlign w:val="bottom"/>
            <w:hideMark/>
          </w:tcPr>
          <w:p w:rsidRPr="00A52ED8" w:rsidR="00A52ED8" w:rsidP="0016573E" w:rsidRDefault="00A52ED8">
            <w:pPr>
              <w:widowControl/>
              <w:suppressAutoHyphens w:val="0"/>
              <w:autoSpaceDN/>
              <w:spacing w:line="240" w:lineRule="auto"/>
              <w:textAlignment w:val="auto"/>
              <w:rPr>
                <w:rFonts w:eastAsia="Times New Roman" w:cs="Times New Roman"/>
                <w:color w:val="000000"/>
                <w:kern w:val="0"/>
                <w:szCs w:val="18"/>
                <w:lang w:eastAsia="nl-NL" w:bidi="ar-SA"/>
              </w:rPr>
            </w:pPr>
            <w:r w:rsidRPr="00A52ED8">
              <w:rPr>
                <w:rFonts w:eastAsia="Times New Roman" w:cs="Times New Roman"/>
                <w:color w:val="000000"/>
                <w:kern w:val="0"/>
                <w:szCs w:val="18"/>
                <w:lang w:eastAsia="nl-NL" w:bidi="ar-SA"/>
              </w:rPr>
              <w:t>Nederlands Olympisch Comité*Nederlandse Sport Federatie</w:t>
            </w:r>
          </w:p>
        </w:tc>
      </w:tr>
      <w:tr w:rsidRPr="00A52ED8" w:rsidR="00A52ED8" w:rsidTr="004050EB">
        <w:trPr>
          <w:trHeight w:val="300"/>
        </w:trPr>
        <w:tc>
          <w:tcPr>
            <w:tcW w:w="1149" w:type="dxa"/>
            <w:tcBorders>
              <w:top w:val="nil"/>
              <w:left w:val="nil"/>
              <w:bottom w:val="nil"/>
              <w:right w:val="nil"/>
            </w:tcBorders>
            <w:shd w:val="clear" w:color="auto" w:fill="auto"/>
            <w:noWrap/>
            <w:vAlign w:val="bottom"/>
            <w:hideMark/>
          </w:tcPr>
          <w:p w:rsidRPr="00A52ED8" w:rsidR="00A52ED8" w:rsidP="0016573E" w:rsidRDefault="00A52ED8">
            <w:pPr>
              <w:widowControl/>
              <w:suppressAutoHyphens w:val="0"/>
              <w:autoSpaceDN/>
              <w:spacing w:line="240" w:lineRule="auto"/>
              <w:textAlignment w:val="auto"/>
              <w:rPr>
                <w:rFonts w:eastAsia="Times New Roman" w:cs="Times New Roman"/>
                <w:color w:val="000000"/>
                <w:kern w:val="0"/>
                <w:szCs w:val="18"/>
                <w:lang w:eastAsia="nl-NL" w:bidi="ar-SA"/>
              </w:rPr>
            </w:pPr>
            <w:r w:rsidRPr="00A52ED8">
              <w:rPr>
                <w:rFonts w:eastAsia="Times New Roman" w:cs="Times New Roman"/>
                <w:color w:val="000000"/>
                <w:kern w:val="0"/>
                <w:szCs w:val="18"/>
                <w:lang w:eastAsia="nl-NL" w:bidi="ar-SA"/>
              </w:rPr>
              <w:t xml:space="preserve">ns </w:t>
            </w:r>
          </w:p>
        </w:tc>
        <w:tc>
          <w:tcPr>
            <w:tcW w:w="7655" w:type="dxa"/>
            <w:tcBorders>
              <w:top w:val="nil"/>
              <w:left w:val="nil"/>
              <w:bottom w:val="nil"/>
              <w:right w:val="nil"/>
            </w:tcBorders>
            <w:shd w:val="clear" w:color="auto" w:fill="auto"/>
            <w:noWrap/>
            <w:vAlign w:val="bottom"/>
            <w:hideMark/>
          </w:tcPr>
          <w:p w:rsidRPr="00A52ED8" w:rsidR="00A52ED8" w:rsidP="0016573E" w:rsidRDefault="00A52ED8">
            <w:pPr>
              <w:widowControl/>
              <w:suppressAutoHyphens w:val="0"/>
              <w:autoSpaceDN/>
              <w:spacing w:line="240" w:lineRule="auto"/>
              <w:textAlignment w:val="auto"/>
              <w:rPr>
                <w:rFonts w:eastAsia="Times New Roman" w:cs="Times New Roman"/>
                <w:color w:val="000000"/>
                <w:kern w:val="0"/>
                <w:szCs w:val="18"/>
                <w:lang w:eastAsia="nl-NL" w:bidi="ar-SA"/>
              </w:rPr>
            </w:pPr>
            <w:r w:rsidRPr="00A52ED8">
              <w:rPr>
                <w:rFonts w:eastAsia="Times New Roman" w:cs="Times New Roman"/>
                <w:color w:val="000000"/>
                <w:kern w:val="0"/>
                <w:szCs w:val="18"/>
                <w:lang w:eastAsia="nl-NL" w:bidi="ar-SA"/>
              </w:rPr>
              <w:t>niet statistisch significant</w:t>
            </w:r>
          </w:p>
        </w:tc>
      </w:tr>
      <w:tr w:rsidRPr="00A52ED8" w:rsidR="00A52ED8" w:rsidTr="004050EB">
        <w:trPr>
          <w:trHeight w:val="300"/>
        </w:trPr>
        <w:tc>
          <w:tcPr>
            <w:tcW w:w="1149" w:type="dxa"/>
            <w:tcBorders>
              <w:top w:val="nil"/>
              <w:left w:val="nil"/>
              <w:bottom w:val="nil"/>
              <w:right w:val="nil"/>
            </w:tcBorders>
            <w:shd w:val="clear" w:color="auto" w:fill="auto"/>
            <w:noWrap/>
            <w:vAlign w:val="bottom"/>
            <w:hideMark/>
          </w:tcPr>
          <w:p w:rsidRPr="00A52ED8" w:rsidR="00A52ED8" w:rsidP="0016573E" w:rsidRDefault="00A52ED8">
            <w:pPr>
              <w:widowControl/>
              <w:suppressAutoHyphens w:val="0"/>
              <w:autoSpaceDN/>
              <w:spacing w:line="240" w:lineRule="auto"/>
              <w:textAlignment w:val="auto"/>
              <w:rPr>
                <w:rFonts w:eastAsia="Times New Roman" w:cs="Times New Roman"/>
                <w:color w:val="000000"/>
                <w:kern w:val="0"/>
                <w:szCs w:val="18"/>
                <w:lang w:eastAsia="nl-NL" w:bidi="ar-SA"/>
              </w:rPr>
            </w:pPr>
            <w:r w:rsidRPr="00A52ED8">
              <w:rPr>
                <w:rFonts w:eastAsia="Times New Roman" w:cs="Times New Roman"/>
                <w:color w:val="000000"/>
                <w:kern w:val="0"/>
                <w:szCs w:val="18"/>
                <w:lang w:eastAsia="nl-NL" w:bidi="ar-SA"/>
              </w:rPr>
              <w:t>NVWA</w:t>
            </w:r>
          </w:p>
        </w:tc>
        <w:tc>
          <w:tcPr>
            <w:tcW w:w="7655" w:type="dxa"/>
            <w:tcBorders>
              <w:top w:val="nil"/>
              <w:left w:val="nil"/>
              <w:bottom w:val="nil"/>
              <w:right w:val="nil"/>
            </w:tcBorders>
            <w:shd w:val="clear" w:color="auto" w:fill="auto"/>
            <w:noWrap/>
            <w:vAlign w:val="bottom"/>
            <w:hideMark/>
          </w:tcPr>
          <w:p w:rsidRPr="00A52ED8" w:rsidR="00A52ED8" w:rsidP="0016573E" w:rsidRDefault="00A52ED8">
            <w:pPr>
              <w:widowControl/>
              <w:suppressAutoHyphens w:val="0"/>
              <w:autoSpaceDN/>
              <w:spacing w:line="240" w:lineRule="auto"/>
              <w:textAlignment w:val="auto"/>
              <w:rPr>
                <w:rFonts w:eastAsia="Times New Roman" w:cs="Times New Roman"/>
                <w:color w:val="000000"/>
                <w:kern w:val="0"/>
                <w:szCs w:val="18"/>
                <w:lang w:eastAsia="nl-NL" w:bidi="ar-SA"/>
              </w:rPr>
            </w:pPr>
            <w:r w:rsidRPr="00A52ED8">
              <w:rPr>
                <w:rFonts w:eastAsia="Times New Roman" w:cs="Times New Roman"/>
                <w:color w:val="000000"/>
                <w:kern w:val="0"/>
                <w:szCs w:val="18"/>
                <w:lang w:eastAsia="nl-NL" w:bidi="ar-SA"/>
              </w:rPr>
              <w:t>Nederlandse Voedsel- en Warenautoriteit</w:t>
            </w:r>
          </w:p>
        </w:tc>
      </w:tr>
      <w:tr w:rsidRPr="00A52ED8" w:rsidR="00A52ED8" w:rsidTr="004050EB">
        <w:trPr>
          <w:trHeight w:val="300"/>
        </w:trPr>
        <w:tc>
          <w:tcPr>
            <w:tcW w:w="1149" w:type="dxa"/>
            <w:tcBorders>
              <w:top w:val="nil"/>
              <w:left w:val="nil"/>
              <w:bottom w:val="nil"/>
              <w:right w:val="nil"/>
            </w:tcBorders>
            <w:shd w:val="clear" w:color="auto" w:fill="auto"/>
            <w:noWrap/>
            <w:vAlign w:val="bottom"/>
            <w:hideMark/>
          </w:tcPr>
          <w:p w:rsidRPr="00A52ED8" w:rsidR="00A52ED8" w:rsidP="0016573E" w:rsidRDefault="00A52ED8">
            <w:pPr>
              <w:widowControl/>
              <w:suppressAutoHyphens w:val="0"/>
              <w:autoSpaceDN/>
              <w:spacing w:line="240" w:lineRule="auto"/>
              <w:textAlignment w:val="auto"/>
              <w:rPr>
                <w:rFonts w:eastAsia="Times New Roman" w:cs="Times New Roman"/>
                <w:color w:val="000000"/>
                <w:kern w:val="0"/>
                <w:szCs w:val="18"/>
                <w:lang w:eastAsia="nl-NL" w:bidi="ar-SA"/>
              </w:rPr>
            </w:pPr>
            <w:r w:rsidRPr="00A52ED8">
              <w:rPr>
                <w:rFonts w:eastAsia="Times New Roman" w:cs="Times New Roman"/>
                <w:color w:val="000000"/>
                <w:kern w:val="0"/>
                <w:szCs w:val="18"/>
                <w:lang w:eastAsia="nl-NL" w:bidi="ar-SA"/>
              </w:rPr>
              <w:t>OBiN</w:t>
            </w:r>
          </w:p>
        </w:tc>
        <w:tc>
          <w:tcPr>
            <w:tcW w:w="7655" w:type="dxa"/>
            <w:tcBorders>
              <w:top w:val="nil"/>
              <w:left w:val="nil"/>
              <w:bottom w:val="nil"/>
              <w:right w:val="nil"/>
            </w:tcBorders>
            <w:shd w:val="clear" w:color="auto" w:fill="auto"/>
            <w:noWrap/>
            <w:vAlign w:val="bottom"/>
            <w:hideMark/>
          </w:tcPr>
          <w:p w:rsidRPr="00A52ED8" w:rsidR="00A52ED8" w:rsidP="0016573E" w:rsidRDefault="00A52ED8">
            <w:pPr>
              <w:widowControl/>
              <w:suppressAutoHyphens w:val="0"/>
              <w:autoSpaceDN/>
              <w:spacing w:line="240" w:lineRule="auto"/>
              <w:textAlignment w:val="auto"/>
              <w:rPr>
                <w:rFonts w:eastAsia="Times New Roman" w:cs="Times New Roman"/>
                <w:color w:val="000000"/>
                <w:kern w:val="0"/>
                <w:szCs w:val="18"/>
                <w:lang w:eastAsia="nl-NL" w:bidi="ar-SA"/>
              </w:rPr>
            </w:pPr>
            <w:r w:rsidRPr="00A52ED8">
              <w:rPr>
                <w:rFonts w:eastAsia="Times New Roman" w:cs="Times New Roman"/>
                <w:color w:val="000000"/>
                <w:kern w:val="0"/>
                <w:szCs w:val="18"/>
                <w:lang w:eastAsia="nl-NL" w:bidi="ar-SA"/>
              </w:rPr>
              <w:t>Ongevallen en Beweging in Nederland</w:t>
            </w:r>
          </w:p>
        </w:tc>
      </w:tr>
      <w:tr w:rsidRPr="00A52ED8" w:rsidR="00A52ED8" w:rsidTr="004050EB">
        <w:trPr>
          <w:trHeight w:val="300"/>
        </w:trPr>
        <w:tc>
          <w:tcPr>
            <w:tcW w:w="1149" w:type="dxa"/>
            <w:tcBorders>
              <w:top w:val="nil"/>
              <w:left w:val="nil"/>
              <w:bottom w:val="nil"/>
              <w:right w:val="nil"/>
            </w:tcBorders>
            <w:shd w:val="clear" w:color="auto" w:fill="auto"/>
            <w:noWrap/>
            <w:vAlign w:val="bottom"/>
            <w:hideMark/>
          </w:tcPr>
          <w:p w:rsidRPr="00A52ED8" w:rsidR="00A52ED8" w:rsidP="0016573E" w:rsidRDefault="00A52ED8">
            <w:pPr>
              <w:widowControl/>
              <w:suppressAutoHyphens w:val="0"/>
              <w:autoSpaceDN/>
              <w:spacing w:line="240" w:lineRule="auto"/>
              <w:textAlignment w:val="auto"/>
              <w:rPr>
                <w:rFonts w:eastAsia="Times New Roman" w:cs="Times New Roman"/>
                <w:color w:val="000000"/>
                <w:kern w:val="0"/>
                <w:szCs w:val="18"/>
                <w:lang w:eastAsia="nl-NL" w:bidi="ar-SA"/>
              </w:rPr>
            </w:pPr>
            <w:r w:rsidRPr="00A52ED8">
              <w:rPr>
                <w:rFonts w:eastAsia="Times New Roman" w:cs="Times New Roman"/>
                <w:color w:val="000000"/>
                <w:kern w:val="0"/>
                <w:szCs w:val="18"/>
                <w:lang w:eastAsia="nl-NL" w:bidi="ar-SA"/>
              </w:rPr>
              <w:t>OCW</w:t>
            </w:r>
          </w:p>
        </w:tc>
        <w:tc>
          <w:tcPr>
            <w:tcW w:w="7655" w:type="dxa"/>
            <w:tcBorders>
              <w:top w:val="nil"/>
              <w:left w:val="nil"/>
              <w:bottom w:val="nil"/>
              <w:right w:val="nil"/>
            </w:tcBorders>
            <w:shd w:val="clear" w:color="auto" w:fill="auto"/>
            <w:noWrap/>
            <w:vAlign w:val="bottom"/>
            <w:hideMark/>
          </w:tcPr>
          <w:p w:rsidRPr="00A52ED8" w:rsidR="00A52ED8" w:rsidP="0016573E" w:rsidRDefault="00A52ED8">
            <w:pPr>
              <w:widowControl/>
              <w:suppressAutoHyphens w:val="0"/>
              <w:autoSpaceDN/>
              <w:spacing w:line="240" w:lineRule="auto"/>
              <w:textAlignment w:val="auto"/>
              <w:rPr>
                <w:rFonts w:eastAsia="Times New Roman" w:cs="Times New Roman"/>
                <w:color w:val="000000"/>
                <w:kern w:val="0"/>
                <w:szCs w:val="18"/>
                <w:lang w:eastAsia="nl-NL" w:bidi="ar-SA"/>
              </w:rPr>
            </w:pPr>
            <w:r w:rsidRPr="00A52ED8">
              <w:rPr>
                <w:rFonts w:eastAsia="Times New Roman" w:cs="Times New Roman"/>
                <w:color w:val="000000"/>
                <w:kern w:val="0"/>
                <w:szCs w:val="18"/>
                <w:lang w:eastAsia="nl-NL" w:bidi="ar-SA"/>
              </w:rPr>
              <w:t>Onderwijs, Cultuur en Wetenschap</w:t>
            </w:r>
          </w:p>
        </w:tc>
      </w:tr>
      <w:tr w:rsidRPr="00A52ED8" w:rsidR="00A52ED8" w:rsidTr="004050EB">
        <w:trPr>
          <w:trHeight w:val="300"/>
        </w:trPr>
        <w:tc>
          <w:tcPr>
            <w:tcW w:w="1149" w:type="dxa"/>
            <w:tcBorders>
              <w:top w:val="nil"/>
              <w:left w:val="nil"/>
              <w:bottom w:val="nil"/>
              <w:right w:val="nil"/>
            </w:tcBorders>
            <w:shd w:val="clear" w:color="auto" w:fill="auto"/>
            <w:noWrap/>
            <w:vAlign w:val="bottom"/>
            <w:hideMark/>
          </w:tcPr>
          <w:p w:rsidRPr="00A52ED8" w:rsidR="00A52ED8" w:rsidP="0016573E" w:rsidRDefault="00A52ED8">
            <w:pPr>
              <w:widowControl/>
              <w:suppressAutoHyphens w:val="0"/>
              <w:autoSpaceDN/>
              <w:spacing w:line="240" w:lineRule="auto"/>
              <w:textAlignment w:val="auto"/>
              <w:rPr>
                <w:rFonts w:eastAsia="Times New Roman" w:cs="Times New Roman"/>
                <w:color w:val="000000"/>
                <w:kern w:val="0"/>
                <w:szCs w:val="18"/>
                <w:lang w:eastAsia="nl-NL" w:bidi="ar-SA"/>
              </w:rPr>
            </w:pPr>
            <w:r w:rsidRPr="00A52ED8">
              <w:rPr>
                <w:rFonts w:eastAsia="Times New Roman" w:cs="Times New Roman"/>
                <w:color w:val="000000"/>
                <w:kern w:val="0"/>
                <w:szCs w:val="18"/>
                <w:lang w:eastAsia="nl-NL" w:bidi="ar-SA"/>
              </w:rPr>
              <w:t>PGA</w:t>
            </w:r>
          </w:p>
        </w:tc>
        <w:tc>
          <w:tcPr>
            <w:tcW w:w="7655" w:type="dxa"/>
            <w:tcBorders>
              <w:top w:val="nil"/>
              <w:left w:val="nil"/>
              <w:bottom w:val="nil"/>
              <w:right w:val="nil"/>
            </w:tcBorders>
            <w:shd w:val="clear" w:color="auto" w:fill="auto"/>
            <w:noWrap/>
            <w:vAlign w:val="bottom"/>
            <w:hideMark/>
          </w:tcPr>
          <w:p w:rsidRPr="00A52ED8" w:rsidR="00A52ED8" w:rsidP="0016573E" w:rsidRDefault="00A52ED8">
            <w:pPr>
              <w:widowControl/>
              <w:suppressAutoHyphens w:val="0"/>
              <w:autoSpaceDN/>
              <w:spacing w:line="240" w:lineRule="auto"/>
              <w:textAlignment w:val="auto"/>
              <w:rPr>
                <w:rFonts w:eastAsia="Times New Roman" w:cs="Times New Roman"/>
                <w:color w:val="000000"/>
                <w:kern w:val="0"/>
                <w:szCs w:val="18"/>
                <w:lang w:eastAsia="nl-NL" w:bidi="ar-SA"/>
              </w:rPr>
            </w:pPr>
            <w:r w:rsidRPr="00A52ED8">
              <w:rPr>
                <w:rFonts w:eastAsia="Times New Roman" w:cs="Times New Roman"/>
                <w:color w:val="000000"/>
                <w:kern w:val="0"/>
                <w:szCs w:val="18"/>
                <w:lang w:eastAsia="nl-NL" w:bidi="ar-SA"/>
              </w:rPr>
              <w:t>Persoonsgerichte Aanpak</w:t>
            </w:r>
          </w:p>
        </w:tc>
      </w:tr>
      <w:tr w:rsidRPr="00A52ED8" w:rsidR="00A52ED8" w:rsidTr="004050EB">
        <w:trPr>
          <w:trHeight w:val="300"/>
        </w:trPr>
        <w:tc>
          <w:tcPr>
            <w:tcW w:w="1149" w:type="dxa"/>
            <w:tcBorders>
              <w:top w:val="nil"/>
              <w:left w:val="nil"/>
              <w:bottom w:val="nil"/>
              <w:right w:val="nil"/>
            </w:tcBorders>
            <w:shd w:val="clear" w:color="auto" w:fill="auto"/>
            <w:noWrap/>
            <w:vAlign w:val="bottom"/>
            <w:hideMark/>
          </w:tcPr>
          <w:p w:rsidRPr="00A52ED8" w:rsidR="00A52ED8" w:rsidP="0016573E" w:rsidRDefault="00A52ED8">
            <w:pPr>
              <w:widowControl/>
              <w:suppressAutoHyphens w:val="0"/>
              <w:autoSpaceDN/>
              <w:spacing w:line="240" w:lineRule="auto"/>
              <w:textAlignment w:val="auto"/>
              <w:rPr>
                <w:rFonts w:eastAsia="Times New Roman" w:cs="Times New Roman"/>
                <w:color w:val="000000"/>
                <w:kern w:val="0"/>
                <w:szCs w:val="18"/>
                <w:lang w:eastAsia="nl-NL" w:bidi="ar-SA"/>
              </w:rPr>
            </w:pPr>
            <w:r w:rsidRPr="00A52ED8">
              <w:rPr>
                <w:rFonts w:eastAsia="Times New Roman" w:cs="Times New Roman"/>
                <w:color w:val="000000"/>
                <w:kern w:val="0"/>
                <w:szCs w:val="18"/>
                <w:lang w:eastAsia="nl-NL" w:bidi="ar-SA"/>
              </w:rPr>
              <w:t>POH</w:t>
            </w:r>
          </w:p>
        </w:tc>
        <w:tc>
          <w:tcPr>
            <w:tcW w:w="7655" w:type="dxa"/>
            <w:tcBorders>
              <w:top w:val="nil"/>
              <w:left w:val="nil"/>
              <w:bottom w:val="nil"/>
              <w:right w:val="nil"/>
            </w:tcBorders>
            <w:shd w:val="clear" w:color="auto" w:fill="auto"/>
            <w:noWrap/>
            <w:vAlign w:val="bottom"/>
            <w:hideMark/>
          </w:tcPr>
          <w:p w:rsidRPr="00A52ED8" w:rsidR="00A52ED8" w:rsidP="0016573E" w:rsidRDefault="00A52ED8">
            <w:pPr>
              <w:widowControl/>
              <w:suppressAutoHyphens w:val="0"/>
              <w:autoSpaceDN/>
              <w:spacing w:line="240" w:lineRule="auto"/>
              <w:textAlignment w:val="auto"/>
              <w:rPr>
                <w:rFonts w:eastAsia="Times New Roman" w:cs="Times New Roman"/>
                <w:color w:val="000000"/>
                <w:kern w:val="0"/>
                <w:szCs w:val="18"/>
                <w:lang w:eastAsia="nl-NL" w:bidi="ar-SA"/>
              </w:rPr>
            </w:pPr>
            <w:r w:rsidRPr="00A52ED8">
              <w:rPr>
                <w:rFonts w:eastAsia="Times New Roman" w:cs="Times New Roman"/>
                <w:color w:val="000000"/>
                <w:kern w:val="0"/>
                <w:szCs w:val="18"/>
                <w:lang w:eastAsia="nl-NL" w:bidi="ar-SA"/>
              </w:rPr>
              <w:t>Praktijkondersteuners van huisartsen</w:t>
            </w:r>
          </w:p>
        </w:tc>
      </w:tr>
      <w:tr w:rsidRPr="00A52ED8" w:rsidR="00A52ED8" w:rsidTr="004050EB">
        <w:trPr>
          <w:trHeight w:val="300"/>
        </w:trPr>
        <w:tc>
          <w:tcPr>
            <w:tcW w:w="1149" w:type="dxa"/>
            <w:tcBorders>
              <w:top w:val="nil"/>
              <w:left w:val="nil"/>
              <w:bottom w:val="nil"/>
              <w:right w:val="nil"/>
            </w:tcBorders>
            <w:shd w:val="clear" w:color="auto" w:fill="auto"/>
            <w:noWrap/>
            <w:vAlign w:val="bottom"/>
            <w:hideMark/>
          </w:tcPr>
          <w:p w:rsidRPr="00A52ED8" w:rsidR="00A52ED8" w:rsidP="0016573E" w:rsidRDefault="00A52ED8">
            <w:pPr>
              <w:widowControl/>
              <w:suppressAutoHyphens w:val="0"/>
              <w:autoSpaceDN/>
              <w:spacing w:line="240" w:lineRule="auto"/>
              <w:textAlignment w:val="auto"/>
              <w:rPr>
                <w:rFonts w:eastAsia="Times New Roman" w:cs="Times New Roman"/>
                <w:color w:val="000000"/>
                <w:kern w:val="0"/>
                <w:szCs w:val="18"/>
                <w:lang w:eastAsia="nl-NL" w:bidi="ar-SA"/>
              </w:rPr>
            </w:pPr>
            <w:r w:rsidRPr="00A52ED8">
              <w:rPr>
                <w:rFonts w:eastAsia="Times New Roman" w:cs="Times New Roman"/>
                <w:color w:val="000000"/>
                <w:kern w:val="0"/>
                <w:szCs w:val="18"/>
                <w:lang w:eastAsia="nl-NL" w:bidi="ar-SA"/>
              </w:rPr>
              <w:t>RIVM</w:t>
            </w:r>
          </w:p>
        </w:tc>
        <w:tc>
          <w:tcPr>
            <w:tcW w:w="7655" w:type="dxa"/>
            <w:tcBorders>
              <w:top w:val="nil"/>
              <w:left w:val="nil"/>
              <w:bottom w:val="nil"/>
              <w:right w:val="nil"/>
            </w:tcBorders>
            <w:shd w:val="clear" w:color="auto" w:fill="auto"/>
            <w:noWrap/>
            <w:vAlign w:val="bottom"/>
            <w:hideMark/>
          </w:tcPr>
          <w:p w:rsidRPr="00A52ED8" w:rsidR="00A52ED8" w:rsidP="0016573E" w:rsidRDefault="00A52ED8">
            <w:pPr>
              <w:widowControl/>
              <w:suppressAutoHyphens w:val="0"/>
              <w:autoSpaceDN/>
              <w:spacing w:line="240" w:lineRule="auto"/>
              <w:textAlignment w:val="auto"/>
              <w:rPr>
                <w:rFonts w:eastAsia="Times New Roman" w:cs="Times New Roman"/>
                <w:color w:val="000000"/>
                <w:kern w:val="0"/>
                <w:szCs w:val="18"/>
                <w:lang w:eastAsia="nl-NL" w:bidi="ar-SA"/>
              </w:rPr>
            </w:pPr>
            <w:r w:rsidRPr="00A52ED8">
              <w:rPr>
                <w:rFonts w:eastAsia="Times New Roman" w:cs="Times New Roman"/>
                <w:color w:val="000000"/>
                <w:kern w:val="0"/>
                <w:szCs w:val="18"/>
                <w:lang w:eastAsia="nl-NL" w:bidi="ar-SA"/>
              </w:rPr>
              <w:t>Rijksinstituut voor Volksgezondheid en Milieu</w:t>
            </w:r>
          </w:p>
        </w:tc>
      </w:tr>
      <w:tr w:rsidRPr="00A52ED8" w:rsidR="00A52ED8" w:rsidTr="004050EB">
        <w:trPr>
          <w:trHeight w:val="300"/>
        </w:trPr>
        <w:tc>
          <w:tcPr>
            <w:tcW w:w="1149" w:type="dxa"/>
            <w:tcBorders>
              <w:top w:val="nil"/>
              <w:left w:val="nil"/>
              <w:bottom w:val="nil"/>
              <w:right w:val="nil"/>
            </w:tcBorders>
            <w:shd w:val="clear" w:color="auto" w:fill="auto"/>
            <w:noWrap/>
            <w:vAlign w:val="bottom"/>
            <w:hideMark/>
          </w:tcPr>
          <w:p w:rsidRPr="00A52ED8" w:rsidR="00A52ED8" w:rsidP="0016573E" w:rsidRDefault="00A52ED8">
            <w:pPr>
              <w:widowControl/>
              <w:suppressAutoHyphens w:val="0"/>
              <w:autoSpaceDN/>
              <w:spacing w:line="240" w:lineRule="auto"/>
              <w:textAlignment w:val="auto"/>
              <w:rPr>
                <w:rFonts w:eastAsia="Times New Roman" w:cs="Times New Roman"/>
                <w:color w:val="000000"/>
                <w:kern w:val="0"/>
                <w:szCs w:val="18"/>
                <w:lang w:eastAsia="nl-NL" w:bidi="ar-SA"/>
              </w:rPr>
            </w:pPr>
            <w:r w:rsidRPr="00A52ED8">
              <w:rPr>
                <w:rFonts w:eastAsia="Times New Roman" w:cs="Times New Roman"/>
                <w:color w:val="000000"/>
                <w:kern w:val="0"/>
                <w:szCs w:val="18"/>
                <w:lang w:eastAsia="nl-NL" w:bidi="ar-SA"/>
              </w:rPr>
              <w:t>Rpe</w:t>
            </w:r>
          </w:p>
        </w:tc>
        <w:tc>
          <w:tcPr>
            <w:tcW w:w="7655" w:type="dxa"/>
            <w:tcBorders>
              <w:top w:val="nil"/>
              <w:left w:val="nil"/>
              <w:bottom w:val="nil"/>
              <w:right w:val="nil"/>
            </w:tcBorders>
            <w:shd w:val="clear" w:color="auto" w:fill="auto"/>
            <w:noWrap/>
            <w:vAlign w:val="bottom"/>
            <w:hideMark/>
          </w:tcPr>
          <w:p w:rsidRPr="00A52ED8" w:rsidR="00A52ED8" w:rsidP="0016573E" w:rsidRDefault="00A52ED8">
            <w:pPr>
              <w:widowControl/>
              <w:suppressAutoHyphens w:val="0"/>
              <w:autoSpaceDN/>
              <w:spacing w:line="240" w:lineRule="auto"/>
              <w:textAlignment w:val="auto"/>
              <w:rPr>
                <w:rFonts w:eastAsia="Times New Roman" w:cs="Times New Roman"/>
                <w:color w:val="000000"/>
                <w:kern w:val="0"/>
                <w:szCs w:val="18"/>
                <w:lang w:eastAsia="nl-NL" w:bidi="ar-SA"/>
              </w:rPr>
            </w:pPr>
            <w:r w:rsidRPr="00A52ED8">
              <w:rPr>
                <w:rFonts w:eastAsia="Times New Roman" w:cs="Times New Roman"/>
                <w:color w:val="000000"/>
                <w:kern w:val="0"/>
                <w:szCs w:val="18"/>
                <w:lang w:eastAsia="nl-NL" w:bidi="ar-SA"/>
              </w:rPr>
              <w:t>Regeling Periodik Evaluatieonderzoek</w:t>
            </w:r>
          </w:p>
        </w:tc>
      </w:tr>
      <w:tr w:rsidRPr="00A52ED8" w:rsidR="00A52ED8" w:rsidTr="004050EB">
        <w:trPr>
          <w:trHeight w:val="300"/>
        </w:trPr>
        <w:tc>
          <w:tcPr>
            <w:tcW w:w="1149" w:type="dxa"/>
            <w:tcBorders>
              <w:top w:val="nil"/>
              <w:left w:val="nil"/>
              <w:bottom w:val="nil"/>
              <w:right w:val="nil"/>
            </w:tcBorders>
            <w:shd w:val="clear" w:color="auto" w:fill="auto"/>
            <w:noWrap/>
            <w:vAlign w:val="bottom"/>
            <w:hideMark/>
          </w:tcPr>
          <w:p w:rsidRPr="00A52ED8" w:rsidR="00A52ED8" w:rsidP="0016573E" w:rsidRDefault="00A52ED8">
            <w:pPr>
              <w:widowControl/>
              <w:suppressAutoHyphens w:val="0"/>
              <w:autoSpaceDN/>
              <w:spacing w:line="240" w:lineRule="auto"/>
              <w:textAlignment w:val="auto"/>
              <w:rPr>
                <w:rFonts w:eastAsia="Times New Roman" w:cs="Times New Roman"/>
                <w:color w:val="000000"/>
                <w:kern w:val="0"/>
                <w:szCs w:val="18"/>
                <w:lang w:eastAsia="nl-NL" w:bidi="ar-SA"/>
              </w:rPr>
            </w:pPr>
            <w:r w:rsidRPr="00A52ED8">
              <w:rPr>
                <w:rFonts w:eastAsia="Times New Roman" w:cs="Times New Roman"/>
                <w:color w:val="000000"/>
                <w:kern w:val="0"/>
                <w:szCs w:val="18"/>
                <w:lang w:eastAsia="nl-NL" w:bidi="ar-SA"/>
              </w:rPr>
              <w:t>SEH</w:t>
            </w:r>
          </w:p>
        </w:tc>
        <w:tc>
          <w:tcPr>
            <w:tcW w:w="7655" w:type="dxa"/>
            <w:tcBorders>
              <w:top w:val="nil"/>
              <w:left w:val="nil"/>
              <w:bottom w:val="nil"/>
              <w:right w:val="nil"/>
            </w:tcBorders>
            <w:shd w:val="clear" w:color="auto" w:fill="auto"/>
            <w:noWrap/>
            <w:vAlign w:val="bottom"/>
            <w:hideMark/>
          </w:tcPr>
          <w:p w:rsidRPr="00A52ED8" w:rsidR="00A52ED8" w:rsidP="0016573E" w:rsidRDefault="00A52ED8">
            <w:pPr>
              <w:widowControl/>
              <w:suppressAutoHyphens w:val="0"/>
              <w:autoSpaceDN/>
              <w:spacing w:line="240" w:lineRule="auto"/>
              <w:textAlignment w:val="auto"/>
              <w:rPr>
                <w:rFonts w:eastAsia="Times New Roman" w:cs="Times New Roman"/>
                <w:color w:val="000000"/>
                <w:kern w:val="0"/>
                <w:szCs w:val="18"/>
                <w:lang w:eastAsia="nl-NL" w:bidi="ar-SA"/>
              </w:rPr>
            </w:pPr>
            <w:r w:rsidRPr="00A52ED8">
              <w:rPr>
                <w:rFonts w:eastAsia="Times New Roman" w:cs="Times New Roman"/>
                <w:color w:val="000000"/>
                <w:kern w:val="0"/>
                <w:szCs w:val="18"/>
                <w:lang w:eastAsia="nl-NL" w:bidi="ar-SA"/>
              </w:rPr>
              <w:t>Spoedeisende hulp</w:t>
            </w:r>
          </w:p>
        </w:tc>
      </w:tr>
      <w:tr w:rsidRPr="00A52ED8" w:rsidR="00A52ED8" w:rsidTr="004050EB">
        <w:trPr>
          <w:trHeight w:val="300"/>
        </w:trPr>
        <w:tc>
          <w:tcPr>
            <w:tcW w:w="1149" w:type="dxa"/>
            <w:tcBorders>
              <w:top w:val="nil"/>
              <w:left w:val="nil"/>
              <w:bottom w:val="nil"/>
              <w:right w:val="nil"/>
            </w:tcBorders>
            <w:shd w:val="clear" w:color="auto" w:fill="auto"/>
            <w:noWrap/>
            <w:vAlign w:val="bottom"/>
            <w:hideMark/>
          </w:tcPr>
          <w:p w:rsidRPr="00A52ED8" w:rsidR="00A52ED8" w:rsidP="0016573E" w:rsidRDefault="00A52ED8">
            <w:pPr>
              <w:widowControl/>
              <w:suppressAutoHyphens w:val="0"/>
              <w:autoSpaceDN/>
              <w:spacing w:line="240" w:lineRule="auto"/>
              <w:textAlignment w:val="auto"/>
              <w:rPr>
                <w:rFonts w:eastAsia="Times New Roman" w:cs="Times New Roman"/>
                <w:color w:val="000000"/>
                <w:kern w:val="0"/>
                <w:szCs w:val="18"/>
                <w:lang w:eastAsia="nl-NL" w:bidi="ar-SA"/>
              </w:rPr>
            </w:pPr>
            <w:r w:rsidRPr="00A52ED8">
              <w:rPr>
                <w:rFonts w:eastAsia="Times New Roman" w:cs="Times New Roman"/>
                <w:color w:val="000000"/>
                <w:kern w:val="0"/>
                <w:szCs w:val="18"/>
                <w:lang w:eastAsia="nl-NL" w:bidi="ar-SA"/>
              </w:rPr>
              <w:t>SWOV</w:t>
            </w:r>
          </w:p>
        </w:tc>
        <w:tc>
          <w:tcPr>
            <w:tcW w:w="7655" w:type="dxa"/>
            <w:tcBorders>
              <w:top w:val="nil"/>
              <w:left w:val="nil"/>
              <w:bottom w:val="nil"/>
              <w:right w:val="nil"/>
            </w:tcBorders>
            <w:shd w:val="clear" w:color="auto" w:fill="auto"/>
            <w:noWrap/>
            <w:vAlign w:val="bottom"/>
            <w:hideMark/>
          </w:tcPr>
          <w:p w:rsidRPr="00A52ED8" w:rsidR="00A52ED8" w:rsidP="0016573E" w:rsidRDefault="00A52ED8">
            <w:pPr>
              <w:widowControl/>
              <w:suppressAutoHyphens w:val="0"/>
              <w:autoSpaceDN/>
              <w:spacing w:line="240" w:lineRule="auto"/>
              <w:textAlignment w:val="auto"/>
              <w:rPr>
                <w:rFonts w:eastAsia="Times New Roman" w:cs="Times New Roman"/>
                <w:color w:val="000000"/>
                <w:kern w:val="0"/>
                <w:szCs w:val="18"/>
                <w:lang w:eastAsia="nl-NL" w:bidi="ar-SA"/>
              </w:rPr>
            </w:pPr>
            <w:r w:rsidRPr="00A52ED8">
              <w:rPr>
                <w:rFonts w:eastAsia="Times New Roman" w:cs="Times New Roman"/>
                <w:color w:val="000000"/>
                <w:kern w:val="0"/>
                <w:szCs w:val="18"/>
                <w:lang w:eastAsia="nl-NL" w:bidi="ar-SA"/>
              </w:rPr>
              <w:t>Stichting Wetenschappelijk Onderzoek Verkeersveiligheid</w:t>
            </w:r>
          </w:p>
        </w:tc>
      </w:tr>
      <w:tr w:rsidRPr="00A52ED8" w:rsidR="00A52ED8" w:rsidTr="004050EB">
        <w:trPr>
          <w:trHeight w:val="300"/>
        </w:trPr>
        <w:tc>
          <w:tcPr>
            <w:tcW w:w="1149" w:type="dxa"/>
            <w:tcBorders>
              <w:top w:val="nil"/>
              <w:left w:val="nil"/>
              <w:bottom w:val="nil"/>
              <w:right w:val="nil"/>
            </w:tcBorders>
            <w:shd w:val="clear" w:color="auto" w:fill="auto"/>
            <w:noWrap/>
            <w:vAlign w:val="bottom"/>
            <w:hideMark/>
          </w:tcPr>
          <w:p w:rsidRPr="00A52ED8" w:rsidR="00A52ED8" w:rsidP="0016573E" w:rsidRDefault="00A52ED8">
            <w:pPr>
              <w:widowControl/>
              <w:suppressAutoHyphens w:val="0"/>
              <w:autoSpaceDN/>
              <w:spacing w:line="240" w:lineRule="auto"/>
              <w:textAlignment w:val="auto"/>
              <w:rPr>
                <w:rFonts w:eastAsia="Times New Roman" w:cs="Times New Roman"/>
                <w:color w:val="000000"/>
                <w:kern w:val="0"/>
                <w:szCs w:val="18"/>
                <w:lang w:eastAsia="nl-NL" w:bidi="ar-SA"/>
              </w:rPr>
            </w:pPr>
            <w:r w:rsidRPr="00A52ED8">
              <w:rPr>
                <w:rFonts w:eastAsia="Times New Roman" w:cs="Times New Roman"/>
                <w:color w:val="000000"/>
                <w:kern w:val="0"/>
                <w:szCs w:val="18"/>
                <w:lang w:eastAsia="nl-NL" w:bidi="ar-SA"/>
              </w:rPr>
              <w:t>SZW</w:t>
            </w:r>
          </w:p>
        </w:tc>
        <w:tc>
          <w:tcPr>
            <w:tcW w:w="7655" w:type="dxa"/>
            <w:tcBorders>
              <w:top w:val="nil"/>
              <w:left w:val="nil"/>
              <w:bottom w:val="nil"/>
              <w:right w:val="nil"/>
            </w:tcBorders>
            <w:shd w:val="clear" w:color="auto" w:fill="auto"/>
            <w:noWrap/>
            <w:vAlign w:val="bottom"/>
            <w:hideMark/>
          </w:tcPr>
          <w:p w:rsidRPr="00A52ED8" w:rsidR="00A52ED8" w:rsidP="0016573E" w:rsidRDefault="00A52ED8">
            <w:pPr>
              <w:widowControl/>
              <w:suppressAutoHyphens w:val="0"/>
              <w:autoSpaceDN/>
              <w:spacing w:line="240" w:lineRule="auto"/>
              <w:textAlignment w:val="auto"/>
              <w:rPr>
                <w:rFonts w:eastAsia="Times New Roman" w:cs="Times New Roman"/>
                <w:color w:val="000000"/>
                <w:kern w:val="0"/>
                <w:szCs w:val="18"/>
                <w:lang w:eastAsia="nl-NL" w:bidi="ar-SA"/>
              </w:rPr>
            </w:pPr>
            <w:r w:rsidRPr="00A52ED8">
              <w:rPr>
                <w:rFonts w:eastAsia="Times New Roman" w:cs="Times New Roman"/>
                <w:color w:val="000000"/>
                <w:kern w:val="0"/>
                <w:szCs w:val="18"/>
                <w:lang w:eastAsia="nl-NL" w:bidi="ar-SA"/>
              </w:rPr>
              <w:t>Sociale zaken en werkgelegenheid</w:t>
            </w:r>
          </w:p>
        </w:tc>
      </w:tr>
      <w:tr w:rsidRPr="00A52ED8" w:rsidR="004050EB" w:rsidTr="004050EB">
        <w:trPr>
          <w:trHeight w:val="300"/>
        </w:trPr>
        <w:tc>
          <w:tcPr>
            <w:tcW w:w="1149" w:type="dxa"/>
            <w:tcBorders>
              <w:top w:val="nil"/>
              <w:left w:val="nil"/>
              <w:bottom w:val="nil"/>
              <w:right w:val="nil"/>
            </w:tcBorders>
            <w:shd w:val="clear" w:color="auto" w:fill="auto"/>
            <w:noWrap/>
            <w:vAlign w:val="bottom"/>
            <w:hideMark/>
          </w:tcPr>
          <w:p w:rsidRPr="00A52ED8" w:rsidR="004050EB" w:rsidP="0016573E" w:rsidRDefault="004050EB">
            <w:pPr>
              <w:widowControl/>
              <w:suppressAutoHyphens w:val="0"/>
              <w:autoSpaceDN/>
              <w:spacing w:line="240" w:lineRule="auto"/>
              <w:textAlignment w:val="auto"/>
              <w:rPr>
                <w:rFonts w:eastAsia="Times New Roman" w:cs="Times New Roman"/>
                <w:color w:val="000000"/>
                <w:kern w:val="0"/>
                <w:szCs w:val="18"/>
                <w:lang w:eastAsia="nl-NL" w:bidi="ar-SA"/>
              </w:rPr>
            </w:pPr>
            <w:r>
              <w:rPr>
                <w:rFonts w:eastAsia="Times New Roman" w:cs="Times New Roman"/>
                <w:color w:val="000000"/>
                <w:kern w:val="0"/>
                <w:szCs w:val="18"/>
                <w:lang w:eastAsia="nl-NL" w:bidi="ar-SA"/>
              </w:rPr>
              <w:t>TNO</w:t>
            </w:r>
          </w:p>
        </w:tc>
        <w:tc>
          <w:tcPr>
            <w:tcW w:w="7655" w:type="dxa"/>
            <w:tcBorders>
              <w:top w:val="nil"/>
              <w:left w:val="nil"/>
              <w:bottom w:val="nil"/>
              <w:right w:val="nil"/>
            </w:tcBorders>
            <w:shd w:val="clear" w:color="auto" w:fill="auto"/>
            <w:noWrap/>
            <w:vAlign w:val="bottom"/>
            <w:hideMark/>
          </w:tcPr>
          <w:p w:rsidRPr="00A52ED8" w:rsidR="004050EB" w:rsidP="0016573E" w:rsidRDefault="004050EB">
            <w:pPr>
              <w:widowControl/>
              <w:suppressAutoHyphens w:val="0"/>
              <w:autoSpaceDN/>
              <w:spacing w:line="240" w:lineRule="auto"/>
              <w:textAlignment w:val="auto"/>
              <w:rPr>
                <w:rFonts w:eastAsia="Times New Roman" w:cs="Times New Roman"/>
                <w:color w:val="000000"/>
                <w:kern w:val="0"/>
                <w:szCs w:val="18"/>
                <w:lang w:eastAsia="nl-NL" w:bidi="ar-SA"/>
              </w:rPr>
            </w:pPr>
            <w:r>
              <w:t>Nederlandse Organisatie voor toegepast-natuurwetenschappelijk onderzoek</w:t>
            </w:r>
          </w:p>
        </w:tc>
      </w:tr>
      <w:tr w:rsidRPr="00A52ED8" w:rsidR="00A52ED8" w:rsidTr="004050EB">
        <w:trPr>
          <w:trHeight w:val="300"/>
        </w:trPr>
        <w:tc>
          <w:tcPr>
            <w:tcW w:w="1149" w:type="dxa"/>
            <w:tcBorders>
              <w:top w:val="nil"/>
              <w:left w:val="nil"/>
              <w:bottom w:val="nil"/>
              <w:right w:val="nil"/>
            </w:tcBorders>
            <w:shd w:val="clear" w:color="auto" w:fill="auto"/>
            <w:noWrap/>
            <w:vAlign w:val="bottom"/>
            <w:hideMark/>
          </w:tcPr>
          <w:p w:rsidRPr="00A52ED8" w:rsidR="00A52ED8" w:rsidP="0016573E" w:rsidRDefault="00A52ED8">
            <w:pPr>
              <w:widowControl/>
              <w:suppressAutoHyphens w:val="0"/>
              <w:autoSpaceDN/>
              <w:spacing w:line="240" w:lineRule="auto"/>
              <w:textAlignment w:val="auto"/>
              <w:rPr>
                <w:rFonts w:eastAsia="Times New Roman" w:cs="Times New Roman"/>
                <w:color w:val="000000"/>
                <w:kern w:val="0"/>
                <w:szCs w:val="18"/>
                <w:lang w:eastAsia="nl-NL" w:bidi="ar-SA"/>
              </w:rPr>
            </w:pPr>
            <w:r w:rsidRPr="00A52ED8">
              <w:rPr>
                <w:rFonts w:eastAsia="Times New Roman" w:cs="Times New Roman"/>
                <w:color w:val="000000"/>
                <w:kern w:val="0"/>
                <w:szCs w:val="18"/>
                <w:lang w:eastAsia="nl-NL" w:bidi="ar-SA"/>
              </w:rPr>
              <w:t>V&amp;J</w:t>
            </w:r>
          </w:p>
        </w:tc>
        <w:tc>
          <w:tcPr>
            <w:tcW w:w="7655" w:type="dxa"/>
            <w:tcBorders>
              <w:top w:val="nil"/>
              <w:left w:val="nil"/>
              <w:bottom w:val="nil"/>
              <w:right w:val="nil"/>
            </w:tcBorders>
            <w:shd w:val="clear" w:color="auto" w:fill="auto"/>
            <w:noWrap/>
            <w:vAlign w:val="bottom"/>
            <w:hideMark/>
          </w:tcPr>
          <w:p w:rsidRPr="00A52ED8" w:rsidR="00A52ED8" w:rsidP="0016573E" w:rsidRDefault="00A52ED8">
            <w:pPr>
              <w:widowControl/>
              <w:suppressAutoHyphens w:val="0"/>
              <w:autoSpaceDN/>
              <w:spacing w:line="240" w:lineRule="auto"/>
              <w:textAlignment w:val="auto"/>
              <w:rPr>
                <w:rFonts w:eastAsia="Times New Roman" w:cs="Times New Roman"/>
                <w:color w:val="000000"/>
                <w:kern w:val="0"/>
                <w:szCs w:val="18"/>
                <w:lang w:eastAsia="nl-NL" w:bidi="ar-SA"/>
              </w:rPr>
            </w:pPr>
            <w:r w:rsidRPr="00A52ED8">
              <w:rPr>
                <w:rFonts w:eastAsia="Times New Roman" w:cs="Times New Roman"/>
                <w:color w:val="000000"/>
                <w:kern w:val="0"/>
                <w:szCs w:val="18"/>
                <w:lang w:eastAsia="nl-NL" w:bidi="ar-SA"/>
              </w:rPr>
              <w:t>Veiligheid en Justitie</w:t>
            </w:r>
          </w:p>
        </w:tc>
      </w:tr>
      <w:tr w:rsidRPr="00A52ED8" w:rsidR="00A52ED8" w:rsidTr="004050EB">
        <w:trPr>
          <w:trHeight w:val="300"/>
        </w:trPr>
        <w:tc>
          <w:tcPr>
            <w:tcW w:w="1149" w:type="dxa"/>
            <w:tcBorders>
              <w:top w:val="nil"/>
              <w:left w:val="nil"/>
              <w:bottom w:val="nil"/>
              <w:right w:val="nil"/>
            </w:tcBorders>
            <w:shd w:val="clear" w:color="auto" w:fill="auto"/>
            <w:noWrap/>
            <w:vAlign w:val="bottom"/>
            <w:hideMark/>
          </w:tcPr>
          <w:p w:rsidRPr="00A52ED8" w:rsidR="00A52ED8" w:rsidP="0016573E" w:rsidRDefault="00A52ED8">
            <w:pPr>
              <w:widowControl/>
              <w:suppressAutoHyphens w:val="0"/>
              <w:autoSpaceDN/>
              <w:spacing w:line="240" w:lineRule="auto"/>
              <w:textAlignment w:val="auto"/>
              <w:rPr>
                <w:rFonts w:eastAsia="Times New Roman" w:cs="Times New Roman"/>
                <w:color w:val="000000"/>
                <w:kern w:val="0"/>
                <w:szCs w:val="18"/>
                <w:lang w:eastAsia="nl-NL" w:bidi="ar-SA"/>
              </w:rPr>
            </w:pPr>
            <w:r w:rsidRPr="00A52ED8">
              <w:rPr>
                <w:rFonts w:eastAsia="Times New Roman" w:cs="Times New Roman"/>
                <w:color w:val="000000"/>
                <w:kern w:val="0"/>
                <w:szCs w:val="18"/>
                <w:lang w:eastAsia="nl-NL" w:bidi="ar-SA"/>
              </w:rPr>
              <w:t>VNG</w:t>
            </w:r>
          </w:p>
        </w:tc>
        <w:tc>
          <w:tcPr>
            <w:tcW w:w="7655" w:type="dxa"/>
            <w:tcBorders>
              <w:top w:val="nil"/>
              <w:left w:val="nil"/>
              <w:bottom w:val="nil"/>
              <w:right w:val="nil"/>
            </w:tcBorders>
            <w:shd w:val="clear" w:color="auto" w:fill="auto"/>
            <w:noWrap/>
            <w:vAlign w:val="bottom"/>
            <w:hideMark/>
          </w:tcPr>
          <w:p w:rsidRPr="00A52ED8" w:rsidR="00A52ED8" w:rsidP="0016573E" w:rsidRDefault="00A52ED8">
            <w:pPr>
              <w:widowControl/>
              <w:suppressAutoHyphens w:val="0"/>
              <w:autoSpaceDN/>
              <w:spacing w:line="240" w:lineRule="auto"/>
              <w:textAlignment w:val="auto"/>
              <w:rPr>
                <w:rFonts w:eastAsia="Times New Roman" w:cs="Times New Roman"/>
                <w:color w:val="000000"/>
                <w:kern w:val="0"/>
                <w:szCs w:val="18"/>
                <w:lang w:eastAsia="nl-NL" w:bidi="ar-SA"/>
              </w:rPr>
            </w:pPr>
            <w:r w:rsidRPr="00A52ED8">
              <w:rPr>
                <w:rFonts w:eastAsia="Times New Roman" w:cs="Times New Roman"/>
                <w:color w:val="000000"/>
                <w:kern w:val="0"/>
                <w:szCs w:val="18"/>
                <w:lang w:eastAsia="nl-NL" w:bidi="ar-SA"/>
              </w:rPr>
              <w:t>Vereniging van Nederlandse Gemeenten</w:t>
            </w:r>
          </w:p>
        </w:tc>
      </w:tr>
      <w:tr w:rsidRPr="00A52ED8" w:rsidR="00A52ED8" w:rsidTr="004050EB">
        <w:trPr>
          <w:trHeight w:val="300"/>
        </w:trPr>
        <w:tc>
          <w:tcPr>
            <w:tcW w:w="1149" w:type="dxa"/>
            <w:tcBorders>
              <w:top w:val="nil"/>
              <w:left w:val="nil"/>
              <w:bottom w:val="nil"/>
              <w:right w:val="nil"/>
            </w:tcBorders>
            <w:shd w:val="clear" w:color="auto" w:fill="auto"/>
            <w:noWrap/>
            <w:vAlign w:val="bottom"/>
            <w:hideMark/>
          </w:tcPr>
          <w:p w:rsidRPr="00A52ED8" w:rsidR="00A52ED8" w:rsidP="0016573E" w:rsidRDefault="00A52ED8">
            <w:pPr>
              <w:widowControl/>
              <w:suppressAutoHyphens w:val="0"/>
              <w:autoSpaceDN/>
              <w:spacing w:line="240" w:lineRule="auto"/>
              <w:textAlignment w:val="auto"/>
              <w:rPr>
                <w:rFonts w:eastAsia="Times New Roman" w:cs="Times New Roman"/>
                <w:color w:val="000000"/>
                <w:kern w:val="0"/>
                <w:szCs w:val="18"/>
                <w:lang w:eastAsia="nl-NL" w:bidi="ar-SA"/>
              </w:rPr>
            </w:pPr>
            <w:r w:rsidRPr="00A52ED8">
              <w:rPr>
                <w:rFonts w:eastAsia="Times New Roman" w:cs="Times New Roman"/>
                <w:color w:val="000000"/>
                <w:kern w:val="0"/>
                <w:szCs w:val="18"/>
                <w:lang w:eastAsia="nl-NL" w:bidi="ar-SA"/>
              </w:rPr>
              <w:t>VWS</w:t>
            </w:r>
          </w:p>
        </w:tc>
        <w:tc>
          <w:tcPr>
            <w:tcW w:w="7655" w:type="dxa"/>
            <w:tcBorders>
              <w:top w:val="nil"/>
              <w:left w:val="nil"/>
              <w:bottom w:val="nil"/>
              <w:right w:val="nil"/>
            </w:tcBorders>
            <w:shd w:val="clear" w:color="auto" w:fill="auto"/>
            <w:noWrap/>
            <w:vAlign w:val="bottom"/>
            <w:hideMark/>
          </w:tcPr>
          <w:p w:rsidRPr="00A52ED8" w:rsidR="00A52ED8" w:rsidP="0016573E" w:rsidRDefault="00A52ED8">
            <w:pPr>
              <w:widowControl/>
              <w:suppressAutoHyphens w:val="0"/>
              <w:autoSpaceDN/>
              <w:spacing w:line="240" w:lineRule="auto"/>
              <w:textAlignment w:val="auto"/>
              <w:rPr>
                <w:rFonts w:eastAsia="Times New Roman" w:cs="Times New Roman"/>
                <w:color w:val="000000"/>
                <w:kern w:val="0"/>
                <w:szCs w:val="18"/>
                <w:lang w:eastAsia="nl-NL" w:bidi="ar-SA"/>
              </w:rPr>
            </w:pPr>
            <w:r w:rsidRPr="00A52ED8">
              <w:rPr>
                <w:rFonts w:eastAsia="Times New Roman" w:cs="Times New Roman"/>
                <w:color w:val="000000"/>
                <w:kern w:val="0"/>
                <w:szCs w:val="18"/>
                <w:lang w:eastAsia="nl-NL" w:bidi="ar-SA"/>
              </w:rPr>
              <w:t>Volksgezondheid, Welzijn en Sport</w:t>
            </w:r>
          </w:p>
        </w:tc>
      </w:tr>
      <w:tr w:rsidRPr="00A52ED8" w:rsidR="00A52ED8" w:rsidTr="004050EB">
        <w:trPr>
          <w:trHeight w:val="300"/>
        </w:trPr>
        <w:tc>
          <w:tcPr>
            <w:tcW w:w="1149" w:type="dxa"/>
            <w:tcBorders>
              <w:top w:val="nil"/>
              <w:left w:val="nil"/>
              <w:bottom w:val="nil"/>
              <w:right w:val="nil"/>
            </w:tcBorders>
            <w:shd w:val="clear" w:color="auto" w:fill="auto"/>
            <w:noWrap/>
            <w:vAlign w:val="bottom"/>
            <w:hideMark/>
          </w:tcPr>
          <w:p w:rsidRPr="00A52ED8" w:rsidR="00A52ED8" w:rsidP="0016573E" w:rsidRDefault="00A52ED8">
            <w:pPr>
              <w:widowControl/>
              <w:suppressAutoHyphens w:val="0"/>
              <w:autoSpaceDN/>
              <w:spacing w:line="240" w:lineRule="auto"/>
              <w:textAlignment w:val="auto"/>
              <w:rPr>
                <w:rFonts w:eastAsia="Times New Roman" w:cs="Times New Roman"/>
                <w:color w:val="000000"/>
                <w:kern w:val="0"/>
                <w:szCs w:val="18"/>
                <w:lang w:eastAsia="nl-NL" w:bidi="ar-SA"/>
              </w:rPr>
            </w:pPr>
            <w:r w:rsidRPr="00A52ED8">
              <w:rPr>
                <w:rFonts w:eastAsia="Times New Roman" w:cs="Times New Roman"/>
                <w:color w:val="000000"/>
                <w:kern w:val="0"/>
                <w:szCs w:val="18"/>
                <w:lang w:eastAsia="nl-NL" w:bidi="ar-SA"/>
              </w:rPr>
              <w:t>WHO</w:t>
            </w:r>
          </w:p>
        </w:tc>
        <w:tc>
          <w:tcPr>
            <w:tcW w:w="7655" w:type="dxa"/>
            <w:tcBorders>
              <w:top w:val="nil"/>
              <w:left w:val="nil"/>
              <w:bottom w:val="nil"/>
              <w:right w:val="nil"/>
            </w:tcBorders>
            <w:shd w:val="clear" w:color="auto" w:fill="auto"/>
            <w:noWrap/>
            <w:vAlign w:val="bottom"/>
            <w:hideMark/>
          </w:tcPr>
          <w:p w:rsidRPr="00A52ED8" w:rsidR="00A52ED8" w:rsidP="0016573E" w:rsidRDefault="00A52ED8">
            <w:pPr>
              <w:widowControl/>
              <w:suppressAutoHyphens w:val="0"/>
              <w:autoSpaceDN/>
              <w:spacing w:line="240" w:lineRule="auto"/>
              <w:textAlignment w:val="auto"/>
              <w:rPr>
                <w:rFonts w:eastAsia="Times New Roman" w:cs="Times New Roman"/>
                <w:color w:val="000000"/>
                <w:kern w:val="0"/>
                <w:szCs w:val="18"/>
                <w:lang w:eastAsia="nl-NL" w:bidi="ar-SA"/>
              </w:rPr>
            </w:pPr>
            <w:r w:rsidRPr="00A52ED8">
              <w:rPr>
                <w:rFonts w:eastAsia="Times New Roman" w:cs="Times New Roman"/>
                <w:color w:val="000000"/>
                <w:kern w:val="0"/>
                <w:szCs w:val="18"/>
                <w:lang w:eastAsia="nl-NL" w:bidi="ar-SA"/>
              </w:rPr>
              <w:t>Wereldgezondheidsorganisatie</w:t>
            </w:r>
          </w:p>
        </w:tc>
      </w:tr>
      <w:tr w:rsidRPr="00A52ED8" w:rsidR="00A52ED8" w:rsidTr="004050EB">
        <w:trPr>
          <w:trHeight w:val="300"/>
        </w:trPr>
        <w:tc>
          <w:tcPr>
            <w:tcW w:w="1149" w:type="dxa"/>
            <w:tcBorders>
              <w:top w:val="nil"/>
              <w:left w:val="nil"/>
              <w:bottom w:val="nil"/>
              <w:right w:val="nil"/>
            </w:tcBorders>
            <w:shd w:val="clear" w:color="auto" w:fill="auto"/>
            <w:noWrap/>
            <w:vAlign w:val="bottom"/>
            <w:hideMark/>
          </w:tcPr>
          <w:p w:rsidRPr="00A52ED8" w:rsidR="00A52ED8" w:rsidP="0016573E" w:rsidRDefault="00A52ED8">
            <w:pPr>
              <w:widowControl/>
              <w:suppressAutoHyphens w:val="0"/>
              <w:autoSpaceDN/>
              <w:spacing w:line="240" w:lineRule="auto"/>
              <w:textAlignment w:val="auto"/>
              <w:rPr>
                <w:rFonts w:eastAsia="Times New Roman" w:cs="Times New Roman"/>
                <w:color w:val="000000"/>
                <w:kern w:val="0"/>
                <w:szCs w:val="18"/>
                <w:lang w:eastAsia="nl-NL" w:bidi="ar-SA"/>
              </w:rPr>
            </w:pPr>
            <w:r w:rsidRPr="00A52ED8">
              <w:rPr>
                <w:rFonts w:eastAsia="Times New Roman" w:cs="Times New Roman"/>
                <w:color w:val="000000"/>
                <w:kern w:val="0"/>
                <w:szCs w:val="18"/>
                <w:lang w:eastAsia="nl-NL" w:bidi="ar-SA"/>
              </w:rPr>
              <w:t>Wpg</w:t>
            </w:r>
          </w:p>
        </w:tc>
        <w:tc>
          <w:tcPr>
            <w:tcW w:w="7655" w:type="dxa"/>
            <w:tcBorders>
              <w:top w:val="nil"/>
              <w:left w:val="nil"/>
              <w:bottom w:val="nil"/>
              <w:right w:val="nil"/>
            </w:tcBorders>
            <w:shd w:val="clear" w:color="auto" w:fill="auto"/>
            <w:noWrap/>
            <w:vAlign w:val="bottom"/>
            <w:hideMark/>
          </w:tcPr>
          <w:p w:rsidRPr="00A52ED8" w:rsidR="00A52ED8" w:rsidP="0016573E" w:rsidRDefault="00A52ED8">
            <w:pPr>
              <w:widowControl/>
              <w:suppressAutoHyphens w:val="0"/>
              <w:autoSpaceDN/>
              <w:spacing w:line="240" w:lineRule="auto"/>
              <w:textAlignment w:val="auto"/>
              <w:rPr>
                <w:rFonts w:eastAsia="Times New Roman" w:cs="Times New Roman"/>
                <w:color w:val="000000"/>
                <w:kern w:val="0"/>
                <w:szCs w:val="18"/>
                <w:lang w:eastAsia="nl-NL" w:bidi="ar-SA"/>
              </w:rPr>
            </w:pPr>
            <w:r w:rsidRPr="00A52ED8">
              <w:rPr>
                <w:rFonts w:eastAsia="Times New Roman" w:cs="Times New Roman"/>
                <w:color w:val="000000"/>
                <w:kern w:val="0"/>
                <w:szCs w:val="18"/>
                <w:lang w:eastAsia="nl-NL" w:bidi="ar-SA"/>
              </w:rPr>
              <w:t>Wet publieke gezondheid</w:t>
            </w:r>
          </w:p>
        </w:tc>
      </w:tr>
    </w:tbl>
    <w:p w:rsidR="003A2B18" w:rsidP="0016573E" w:rsidRDefault="003A2B18">
      <w:pPr>
        <w:pStyle w:val="Huisstijl-Kop1"/>
        <w:numPr>
          <w:ilvl w:val="0"/>
          <w:numId w:val="0"/>
        </w:numPr>
      </w:pPr>
      <w:bookmarkStart w:name="_Toc351626686" w:id="37"/>
    </w:p>
    <w:p w:rsidRPr="00E01C41" w:rsidR="00331443" w:rsidP="0016573E" w:rsidRDefault="00331443">
      <w:pPr>
        <w:pStyle w:val="Huisstijl-Kop1"/>
        <w:numPr>
          <w:ilvl w:val="0"/>
          <w:numId w:val="0"/>
        </w:numPr>
      </w:pPr>
      <w:r w:rsidRPr="00804DFF">
        <w:t>Referenties</w:t>
      </w:r>
      <w:bookmarkEnd w:id="37"/>
    </w:p>
    <w:p w:rsidRPr="004102B2" w:rsidR="00331443" w:rsidP="0016573E" w:rsidRDefault="004102B2">
      <w:pPr>
        <w:rPr>
          <w:b/>
        </w:rPr>
      </w:pPr>
      <w:r>
        <w:rPr>
          <w:b/>
        </w:rPr>
        <w:t>Rapporten</w:t>
      </w:r>
      <w:r w:rsidR="00A52ED8">
        <w:rPr>
          <w:b/>
        </w:rPr>
        <w:t xml:space="preserve"> en artikelen</w:t>
      </w:r>
    </w:p>
    <w:p w:rsidR="00331443" w:rsidP="0016573E" w:rsidRDefault="00331443">
      <w:pPr>
        <w:widowControl/>
        <w:suppressAutoHyphens w:val="0"/>
        <w:autoSpaceDN/>
        <w:textAlignment w:val="auto"/>
      </w:pPr>
      <w:r w:rsidRPr="00F019BD">
        <w:t>Consument en Veiligheid. Trend in letsels. Successen van preventie. Amsterdam, Consument en Veiligheid, 2011.</w:t>
      </w:r>
    </w:p>
    <w:p w:rsidR="00331443" w:rsidP="0016573E" w:rsidRDefault="00331443">
      <w:pPr>
        <w:widowControl/>
        <w:suppressAutoHyphens w:val="0"/>
        <w:autoSpaceDN/>
        <w:textAlignment w:val="auto"/>
      </w:pPr>
    </w:p>
    <w:p w:rsidRPr="00F019BD" w:rsidR="00331443" w:rsidP="0016573E" w:rsidRDefault="00331443">
      <w:pPr>
        <w:widowControl/>
        <w:suppressAutoHyphens w:val="0"/>
        <w:autoSpaceDN/>
        <w:textAlignment w:val="auto"/>
      </w:pPr>
      <w:r w:rsidRPr="00F019BD">
        <w:t>Consument en Veiligheid. Preventie van sportblessures in Nederland 2008-2011: inzicht in activiteiten en resultaten. Amsterdam, Consument en Veiligheid, 2012.</w:t>
      </w:r>
    </w:p>
    <w:p w:rsidR="00331443" w:rsidP="0016573E" w:rsidRDefault="00331443">
      <w:pPr>
        <w:widowControl/>
        <w:suppressAutoHyphens w:val="0"/>
        <w:autoSpaceDN/>
        <w:textAlignment w:val="auto"/>
      </w:pPr>
    </w:p>
    <w:p w:rsidR="00331443" w:rsidP="0016573E" w:rsidRDefault="00331443">
      <w:pPr>
        <w:widowControl/>
        <w:suppressAutoHyphens w:val="0"/>
        <w:autoSpaceDN/>
        <w:textAlignment w:val="auto"/>
        <w:rPr>
          <w:lang w:val="en-US"/>
        </w:rPr>
      </w:pPr>
      <w:r w:rsidRPr="00B53F27">
        <w:t xml:space="preserve">De Putter CE, van Beeck EF, Looman CWN, Toet H, Hovius SE, Selles RW. </w:t>
      </w:r>
      <w:r w:rsidRPr="00F019BD">
        <w:rPr>
          <w:lang w:val="en-US"/>
        </w:rPr>
        <w:t>Trends in wrist fractures in children and adolescents, 1997-2009 J Hand Surg Am 2011;36(11):1810-1815</w:t>
      </w:r>
    </w:p>
    <w:p w:rsidR="00331443" w:rsidP="0016573E" w:rsidRDefault="00331443">
      <w:pPr>
        <w:widowControl/>
        <w:suppressAutoHyphens w:val="0"/>
        <w:autoSpaceDN/>
        <w:textAlignment w:val="auto"/>
        <w:rPr>
          <w:lang w:val="en-US"/>
        </w:rPr>
      </w:pPr>
    </w:p>
    <w:p w:rsidRPr="00857D9A" w:rsidR="00331443" w:rsidP="0016573E" w:rsidRDefault="00331443">
      <w:pPr>
        <w:widowControl/>
        <w:suppressAutoHyphens w:val="0"/>
        <w:autoSpaceDN/>
        <w:textAlignment w:val="auto"/>
        <w:rPr>
          <w:lang w:val="en-GB"/>
        </w:rPr>
      </w:pPr>
      <w:r w:rsidRPr="00F019BD">
        <w:rPr>
          <w:lang w:val="en-US"/>
        </w:rPr>
        <w:t xml:space="preserve">Haagsma JA. Disability Adjusted Life Years and Acute Onset Disorders, improving estimates of the non-fatal burden of injuries and infectious intestinal disease. </w:t>
      </w:r>
      <w:r w:rsidRPr="00857D9A">
        <w:rPr>
          <w:lang w:val="en-GB"/>
        </w:rPr>
        <w:t>PHd Thesis, Rotterdam, 2010</w:t>
      </w:r>
    </w:p>
    <w:p w:rsidRPr="00F019BD" w:rsidR="00331443" w:rsidP="0016573E" w:rsidRDefault="00331443">
      <w:pPr>
        <w:widowControl/>
        <w:suppressAutoHyphens w:val="0"/>
        <w:autoSpaceDN/>
        <w:textAlignment w:val="auto"/>
        <w:rPr>
          <w:lang w:val="en-US"/>
        </w:rPr>
      </w:pPr>
    </w:p>
    <w:p w:rsidR="00331443" w:rsidP="0016573E" w:rsidRDefault="00331443">
      <w:pPr>
        <w:rPr>
          <w:lang w:val="en-US"/>
        </w:rPr>
      </w:pPr>
      <w:r w:rsidRPr="00F019BD">
        <w:rPr>
          <w:lang w:val="en-US"/>
        </w:rPr>
        <w:t xml:space="preserve">Hartholt K. </w:t>
      </w:r>
      <w:r w:rsidRPr="00D24531">
        <w:rPr>
          <w:lang w:val="en-GB"/>
        </w:rPr>
        <w:t>Falls and Drugs in the Older Population: Medical and Societal Consequences</w:t>
      </w:r>
      <w:r w:rsidRPr="00F019BD">
        <w:rPr>
          <w:lang w:val="en-US"/>
        </w:rPr>
        <w:t xml:space="preserve">. </w:t>
      </w:r>
      <w:r w:rsidRPr="008E106E">
        <w:rPr>
          <w:lang w:val="en-US"/>
        </w:rPr>
        <w:t>PHd Thesis, Rotterdam, 2012</w:t>
      </w:r>
    </w:p>
    <w:p w:rsidRPr="008704AB" w:rsidR="00331443" w:rsidP="0016573E" w:rsidRDefault="00331443">
      <w:pPr>
        <w:pStyle w:val="Huisstijl-Referentiegegevens"/>
        <w:spacing w:line="240" w:lineRule="exact"/>
        <w:rPr>
          <w:sz w:val="18"/>
          <w:szCs w:val="18"/>
          <w:lang w:val="en-GB"/>
        </w:rPr>
      </w:pPr>
    </w:p>
    <w:p w:rsidRPr="008800A9" w:rsidR="00331443" w:rsidP="0016573E" w:rsidRDefault="00331443">
      <w:pPr>
        <w:widowControl/>
        <w:suppressAutoHyphens w:val="0"/>
        <w:autoSpaceDN/>
        <w:textAlignment w:val="auto"/>
      </w:pPr>
      <w:r w:rsidRPr="00F019BD">
        <w:rPr>
          <w:lang w:val="en-US"/>
        </w:rPr>
        <w:t>Janssens L. Population study and long-term outcome in pediatric tr</w:t>
      </w:r>
      <w:r>
        <w:rPr>
          <w:lang w:val="en-US"/>
        </w:rPr>
        <w:t xml:space="preserve">auma. </w:t>
      </w:r>
      <w:r w:rsidRPr="008800A9">
        <w:t>PHd Thesis, Utrecht, 2012</w:t>
      </w:r>
    </w:p>
    <w:p w:rsidRPr="008800A9" w:rsidR="00331443" w:rsidP="0016573E" w:rsidRDefault="00331443">
      <w:pPr>
        <w:rPr>
          <w:szCs w:val="18"/>
        </w:rPr>
      </w:pPr>
    </w:p>
    <w:p w:rsidR="00331443" w:rsidP="0016573E" w:rsidRDefault="00331443">
      <w:r>
        <w:t>Lucht F van der, Polder JJ. Van gezond naar beter. Kernrapport van de Volksgezondheid Toekomst Verkenning 2010, RIVM, 2010.</w:t>
      </w:r>
    </w:p>
    <w:p w:rsidR="00331443" w:rsidP="0016573E" w:rsidRDefault="00331443">
      <w:pPr>
        <w:rPr>
          <w:szCs w:val="18"/>
        </w:rPr>
      </w:pPr>
    </w:p>
    <w:p w:rsidR="00657745" w:rsidP="0016573E" w:rsidRDefault="00657745">
      <w:pPr>
        <w:rPr>
          <w:szCs w:val="18"/>
        </w:rPr>
      </w:pPr>
      <w:r>
        <w:rPr>
          <w:szCs w:val="18"/>
        </w:rPr>
        <w:t>Lanting LC, Hoeymans N (eindredactie). Let op letsels. Preventie van ongevallen, geweld en suïcide, RIVM, 2008.</w:t>
      </w:r>
    </w:p>
    <w:p w:rsidRPr="00CD68DD" w:rsidR="00657745" w:rsidP="0016573E" w:rsidRDefault="00657745">
      <w:pPr>
        <w:rPr>
          <w:szCs w:val="18"/>
        </w:rPr>
      </w:pPr>
    </w:p>
    <w:p w:rsidRPr="00E01C41" w:rsidR="00331443" w:rsidP="0016573E" w:rsidRDefault="00331443">
      <w:pPr>
        <w:pStyle w:val="Huisstijl-Referentiegegevens"/>
        <w:spacing w:line="240" w:lineRule="exact"/>
        <w:rPr>
          <w:sz w:val="18"/>
          <w:szCs w:val="18"/>
        </w:rPr>
      </w:pPr>
      <w:r w:rsidRPr="00DD752B">
        <w:rPr>
          <w:sz w:val="18"/>
          <w:szCs w:val="18"/>
        </w:rPr>
        <w:t xml:space="preserve">Lyons RA, Polinder S et al. </w:t>
      </w:r>
      <w:r w:rsidRPr="008704AB">
        <w:rPr>
          <w:sz w:val="18"/>
          <w:szCs w:val="18"/>
          <w:lang w:val="en-US"/>
        </w:rPr>
        <w:t xml:space="preserve">Methodological issues in comparing injury incidence across countries. </w:t>
      </w:r>
      <w:r w:rsidRPr="00804DFF">
        <w:rPr>
          <w:sz w:val="18"/>
          <w:szCs w:val="18"/>
        </w:rPr>
        <w:t>Inj. Control Saf. Promot. 2006;13(2):63–70</w:t>
      </w:r>
    </w:p>
    <w:p w:rsidRPr="00E01C41" w:rsidR="00331443" w:rsidP="0016573E" w:rsidRDefault="00331443">
      <w:pPr>
        <w:pStyle w:val="Voetnoottekst"/>
        <w:spacing w:line="240" w:lineRule="exact"/>
      </w:pPr>
    </w:p>
    <w:p w:rsidRPr="008528E0" w:rsidR="00331443" w:rsidP="0016573E" w:rsidRDefault="00331443">
      <w:pPr>
        <w:pStyle w:val="Voetnoottekst"/>
        <w:rPr>
          <w:sz w:val="18"/>
        </w:rPr>
      </w:pPr>
      <w:r w:rsidRPr="008528E0">
        <w:rPr>
          <w:sz w:val="18"/>
        </w:rPr>
        <w:t>Staat van de Gezondheidszorg 2012. Preventie in de curatieve en langdurige zorg: noodzaak voor kwetsbare groepen. Inspectie voor de Gezondheidszorg. Utrecht, november 2012.</w:t>
      </w:r>
    </w:p>
    <w:p w:rsidRPr="001A074D" w:rsidR="00331443" w:rsidP="0016573E" w:rsidRDefault="00331443">
      <w:pPr>
        <w:pStyle w:val="Voetnoottekst"/>
        <w:spacing w:line="240" w:lineRule="exact"/>
      </w:pPr>
    </w:p>
    <w:p w:rsidR="00331443" w:rsidP="0016573E" w:rsidRDefault="00331443">
      <w:pPr>
        <w:pStyle w:val="Huisstijl-Referentiegegevens"/>
        <w:spacing w:line="240" w:lineRule="exact"/>
        <w:rPr>
          <w:sz w:val="18"/>
        </w:rPr>
      </w:pPr>
      <w:r>
        <w:rPr>
          <w:sz w:val="18"/>
        </w:rPr>
        <w:t xml:space="preserve">Trimbos instituut. </w:t>
      </w:r>
      <w:r w:rsidRPr="007D5454">
        <w:rPr>
          <w:sz w:val="18"/>
        </w:rPr>
        <w:t>Quick scan, Onderzoek naar suïcide in Nederland 2009 – 2012, Trimbos instituut, december 2010.</w:t>
      </w:r>
    </w:p>
    <w:p w:rsidR="00331443" w:rsidP="0016573E" w:rsidRDefault="00331443">
      <w:pPr>
        <w:pStyle w:val="Huisstijl-Referentiegegevens"/>
        <w:spacing w:line="240" w:lineRule="exact"/>
        <w:rPr>
          <w:sz w:val="18"/>
        </w:rPr>
      </w:pPr>
    </w:p>
    <w:p w:rsidRPr="008704AB" w:rsidR="00331443" w:rsidP="0016573E" w:rsidRDefault="00331443">
      <w:pPr>
        <w:pStyle w:val="Huisstijl-Referentiegegevens"/>
        <w:spacing w:line="240" w:lineRule="exact"/>
        <w:rPr>
          <w:sz w:val="18"/>
          <w:szCs w:val="18"/>
        </w:rPr>
      </w:pPr>
      <w:r w:rsidRPr="008704AB">
        <w:rPr>
          <w:sz w:val="18"/>
          <w:szCs w:val="18"/>
        </w:rPr>
        <w:t>Van Beek et al. Kinderveiligheid: Nederland is nog niet klaar</w:t>
      </w:r>
      <w:r>
        <w:rPr>
          <w:sz w:val="18"/>
          <w:szCs w:val="18"/>
        </w:rPr>
        <w:t>, 2012</w:t>
      </w:r>
      <w:r w:rsidRPr="008704AB">
        <w:rPr>
          <w:sz w:val="18"/>
          <w:szCs w:val="18"/>
        </w:rPr>
        <w:t>.</w:t>
      </w:r>
    </w:p>
    <w:p w:rsidRPr="008704AB" w:rsidR="00331443" w:rsidP="0016573E" w:rsidRDefault="00331443">
      <w:pPr>
        <w:pStyle w:val="Huisstijl-Referentiegegevens"/>
        <w:spacing w:line="240" w:lineRule="exact"/>
        <w:rPr>
          <w:sz w:val="18"/>
          <w:szCs w:val="18"/>
        </w:rPr>
      </w:pPr>
    </w:p>
    <w:p w:rsidR="007F1A3F" w:rsidP="0016573E" w:rsidRDefault="007F1A3F">
      <w:r>
        <w:rPr>
          <w:lang w:val="en-GB"/>
        </w:rPr>
        <w:t>V</w:t>
      </w:r>
      <w:r w:rsidRPr="007F1A3F">
        <w:rPr>
          <w:lang w:val="en-GB"/>
        </w:rPr>
        <w:t xml:space="preserve">an Beelen MEJ, Beirens TMJ, den Hertog P, van Beeck EF, Raat H (2013) First-Time Parents Are Not Well Enough Prepared for the Safety of Their Infant. </w:t>
      </w:r>
      <w:r>
        <w:t>PLoS ONE 8(3): e58062. doi:10.1371/journal.pone.0058062</w:t>
      </w:r>
    </w:p>
    <w:p w:rsidR="007F1A3F" w:rsidP="0016573E" w:rsidRDefault="007F1A3F"/>
    <w:p w:rsidR="00331443" w:rsidP="0016573E" w:rsidRDefault="00331443">
      <w:r w:rsidRPr="006329B4">
        <w:t>VeiligheidNL, Quickscan letselpreventie in gemeentelijk beleid. Factsheet 26. Amsterdam, maart 2012.</w:t>
      </w:r>
    </w:p>
    <w:p w:rsidR="004102B2" w:rsidP="0016573E" w:rsidRDefault="004102B2"/>
    <w:p w:rsidR="003A2B18" w:rsidP="0016573E" w:rsidRDefault="003A2B18">
      <w:pPr>
        <w:rPr>
          <w:b/>
        </w:rPr>
      </w:pPr>
    </w:p>
    <w:p w:rsidR="004102B2" w:rsidP="0016573E" w:rsidRDefault="004102B2">
      <w:pPr>
        <w:rPr>
          <w:b/>
        </w:rPr>
      </w:pPr>
      <w:r>
        <w:rPr>
          <w:b/>
        </w:rPr>
        <w:t>Beleidsdocumenten</w:t>
      </w:r>
    </w:p>
    <w:p w:rsidRPr="00BC7FDF" w:rsidR="00A52ED8" w:rsidP="0016573E" w:rsidRDefault="00A52ED8">
      <w:pPr>
        <w:rPr>
          <w:sz w:val="20"/>
          <w:szCs w:val="20"/>
        </w:rPr>
      </w:pPr>
      <w:r w:rsidRPr="00BC7FDF">
        <w:rPr>
          <w:sz w:val="20"/>
          <w:szCs w:val="20"/>
        </w:rPr>
        <w:t>Regeling Periodiek Evaluatieonderzoek, Staatscourant, nr. 18352, september 2012</w:t>
      </w:r>
      <w:r>
        <w:rPr>
          <w:sz w:val="20"/>
          <w:szCs w:val="20"/>
        </w:rPr>
        <w:t>.</w:t>
      </w:r>
    </w:p>
    <w:p w:rsidR="00A52ED8" w:rsidP="0016573E" w:rsidRDefault="00A52ED8">
      <w:pPr>
        <w:rPr>
          <w:sz w:val="20"/>
          <w:szCs w:val="20"/>
        </w:rPr>
      </w:pPr>
    </w:p>
    <w:p w:rsidR="00A52ED8" w:rsidP="0016573E" w:rsidRDefault="00A52ED8">
      <w:pPr>
        <w:rPr>
          <w:sz w:val="20"/>
          <w:szCs w:val="20"/>
        </w:rPr>
      </w:pPr>
      <w:r>
        <w:rPr>
          <w:sz w:val="20"/>
          <w:szCs w:val="20"/>
        </w:rPr>
        <w:t xml:space="preserve">VWS, Veiligheid in de privésfeer, </w:t>
      </w:r>
      <w:r w:rsidR="00657745">
        <w:rPr>
          <w:sz w:val="20"/>
          <w:szCs w:val="20"/>
        </w:rPr>
        <w:t>k</w:t>
      </w:r>
      <w:r>
        <w:rPr>
          <w:sz w:val="20"/>
          <w:szCs w:val="20"/>
        </w:rPr>
        <w:t>amerstuk 18453, nummer 2, vergaderjaar 1983-1984.</w:t>
      </w:r>
    </w:p>
    <w:p w:rsidR="00A52ED8" w:rsidP="0016573E" w:rsidRDefault="00A52ED8">
      <w:pPr>
        <w:rPr>
          <w:sz w:val="20"/>
          <w:szCs w:val="20"/>
        </w:rPr>
      </w:pPr>
    </w:p>
    <w:p w:rsidR="00A52ED8" w:rsidP="0016573E" w:rsidRDefault="00A52ED8">
      <w:pPr>
        <w:rPr>
          <w:sz w:val="20"/>
          <w:szCs w:val="20"/>
        </w:rPr>
      </w:pPr>
      <w:r>
        <w:rPr>
          <w:sz w:val="20"/>
          <w:szCs w:val="20"/>
        </w:rPr>
        <w:t xml:space="preserve">VWS, Nota Veilig Thuis – Preventiebeleid Privéongevallen, </w:t>
      </w:r>
      <w:r w:rsidR="00657745">
        <w:rPr>
          <w:sz w:val="20"/>
          <w:szCs w:val="20"/>
        </w:rPr>
        <w:t>k</w:t>
      </w:r>
      <w:r>
        <w:rPr>
          <w:sz w:val="20"/>
          <w:szCs w:val="20"/>
        </w:rPr>
        <w:t>amerstuk 25825, nummers 1-2, vergaderjaar 1997-1998.</w:t>
      </w:r>
    </w:p>
    <w:p w:rsidR="00A52ED8" w:rsidP="0016573E" w:rsidRDefault="00A52ED8">
      <w:pPr>
        <w:rPr>
          <w:sz w:val="20"/>
          <w:szCs w:val="20"/>
        </w:rPr>
      </w:pPr>
    </w:p>
    <w:p w:rsidR="00657745" w:rsidP="0016573E" w:rsidRDefault="00657745">
      <w:pPr>
        <w:rPr>
          <w:sz w:val="20"/>
          <w:szCs w:val="20"/>
        </w:rPr>
      </w:pPr>
      <w:r>
        <w:rPr>
          <w:sz w:val="20"/>
          <w:szCs w:val="20"/>
        </w:rPr>
        <w:t>VWS, Beleidsbrief letselpreventie 2008-2012, kamerstuk 22894, nummer 211, vergaderjaar 2008-2009.</w:t>
      </w:r>
    </w:p>
    <w:p w:rsidR="00657745" w:rsidP="0016573E" w:rsidRDefault="00657745">
      <w:pPr>
        <w:rPr>
          <w:sz w:val="20"/>
          <w:szCs w:val="20"/>
        </w:rPr>
      </w:pPr>
    </w:p>
    <w:p w:rsidR="00BC7FDF" w:rsidP="0016573E" w:rsidRDefault="00BC7FDF">
      <w:pPr>
        <w:rPr>
          <w:sz w:val="20"/>
          <w:szCs w:val="20"/>
        </w:rPr>
      </w:pPr>
      <w:r>
        <w:rPr>
          <w:sz w:val="20"/>
          <w:szCs w:val="20"/>
        </w:rPr>
        <w:t>VWS, Begroting 2009, kamerstuk 119613, vergaderjaar 2008-2008.</w:t>
      </w:r>
    </w:p>
    <w:p w:rsidR="00A52ED8" w:rsidP="0016573E" w:rsidRDefault="00A52ED8">
      <w:pPr>
        <w:rPr>
          <w:sz w:val="20"/>
          <w:szCs w:val="20"/>
        </w:rPr>
      </w:pPr>
    </w:p>
    <w:p w:rsidR="00BC7FDF" w:rsidP="0016573E" w:rsidRDefault="00BC7FDF">
      <w:pPr>
        <w:rPr>
          <w:sz w:val="20"/>
          <w:szCs w:val="20"/>
        </w:rPr>
      </w:pPr>
      <w:r>
        <w:rPr>
          <w:sz w:val="20"/>
          <w:szCs w:val="20"/>
        </w:rPr>
        <w:t>VWS, Begroting 2011, kamerstuk 148633, vergaderjaar 2010-2011.</w:t>
      </w:r>
    </w:p>
    <w:p w:rsidR="00657745" w:rsidP="0016573E" w:rsidRDefault="00657745">
      <w:pPr>
        <w:rPr>
          <w:sz w:val="20"/>
          <w:szCs w:val="20"/>
        </w:rPr>
      </w:pPr>
    </w:p>
    <w:p w:rsidRPr="00657745" w:rsidR="00657745" w:rsidP="0016573E" w:rsidRDefault="00657745">
      <w:pPr>
        <w:rPr>
          <w:sz w:val="20"/>
          <w:szCs w:val="20"/>
        </w:rPr>
      </w:pPr>
      <w:r>
        <w:rPr>
          <w:sz w:val="20"/>
          <w:szCs w:val="20"/>
        </w:rPr>
        <w:t>VWS, Jaarrapportage Vermindering Suïcidaliteit, kamerstuk 22894, nummer 251, vergaderjaar 2009-2010.</w:t>
      </w:r>
      <w:r w:rsidR="002513EB">
        <w:rPr>
          <w:sz w:val="20"/>
          <w:szCs w:val="20"/>
        </w:rPr>
        <w:t xml:space="preserve"> </w:t>
      </w:r>
      <w:r>
        <w:rPr>
          <w:sz w:val="20"/>
          <w:szCs w:val="20"/>
        </w:rPr>
        <w:t xml:space="preserve"> </w:t>
      </w:r>
    </w:p>
    <w:p w:rsidR="00657745" w:rsidP="0016573E" w:rsidRDefault="00657745">
      <w:pPr>
        <w:spacing w:line="240" w:lineRule="auto"/>
      </w:pPr>
    </w:p>
    <w:p w:rsidRPr="00657745" w:rsidR="00657745" w:rsidP="0016573E" w:rsidRDefault="00657745">
      <w:pPr>
        <w:rPr>
          <w:sz w:val="20"/>
          <w:szCs w:val="20"/>
        </w:rPr>
      </w:pPr>
      <w:r>
        <w:rPr>
          <w:sz w:val="20"/>
          <w:szCs w:val="20"/>
        </w:rPr>
        <w:t>VWS, Jaarrapportage Vermindering Suïcidaliteit, kamerstuk 22894, nummer 296, vergaderjaar 2010-2011.</w:t>
      </w:r>
      <w:r w:rsidR="002513EB">
        <w:rPr>
          <w:sz w:val="20"/>
          <w:szCs w:val="20"/>
        </w:rPr>
        <w:t xml:space="preserve"> </w:t>
      </w:r>
      <w:r>
        <w:rPr>
          <w:sz w:val="20"/>
          <w:szCs w:val="20"/>
        </w:rPr>
        <w:t xml:space="preserve"> </w:t>
      </w:r>
    </w:p>
    <w:p w:rsidR="00657745" w:rsidP="0016573E" w:rsidRDefault="00657745">
      <w:pPr>
        <w:spacing w:line="240" w:lineRule="auto"/>
      </w:pPr>
    </w:p>
    <w:p w:rsidRPr="00657745" w:rsidR="00657745" w:rsidP="0016573E" w:rsidRDefault="00657745">
      <w:pPr>
        <w:rPr>
          <w:sz w:val="20"/>
          <w:szCs w:val="20"/>
        </w:rPr>
      </w:pPr>
      <w:r>
        <w:rPr>
          <w:sz w:val="20"/>
          <w:szCs w:val="20"/>
        </w:rPr>
        <w:t>VWS, Jaarrapportage Vermindering Suïcidaliteit, kamerstuk 22894, nummer 309, vergaderjaar 2011-2012.</w:t>
      </w:r>
      <w:r w:rsidR="002513EB">
        <w:rPr>
          <w:sz w:val="20"/>
          <w:szCs w:val="20"/>
        </w:rPr>
        <w:t xml:space="preserve"> </w:t>
      </w:r>
      <w:r>
        <w:rPr>
          <w:sz w:val="20"/>
          <w:szCs w:val="20"/>
        </w:rPr>
        <w:t xml:space="preserve"> </w:t>
      </w:r>
    </w:p>
    <w:p w:rsidR="00657745" w:rsidP="0016573E" w:rsidRDefault="00657745">
      <w:pPr>
        <w:spacing w:line="240" w:lineRule="auto"/>
      </w:pPr>
    </w:p>
    <w:p w:rsidR="000F01BB" w:rsidP="0016573E" w:rsidRDefault="00657745">
      <w:pPr>
        <w:spacing w:line="240" w:lineRule="auto"/>
      </w:pPr>
      <w:r>
        <w:t>VWS, Beleidsadvies Verminderen van suïcidaliteit, kamerstuk 22894, nummer 172, vergaderjaar 2007-2008.</w:t>
      </w:r>
    </w:p>
    <w:p w:rsidR="000F01BB" w:rsidP="0016573E" w:rsidRDefault="000F01BB">
      <w:pPr>
        <w:spacing w:line="240" w:lineRule="auto"/>
      </w:pPr>
    </w:p>
    <w:p w:rsidR="0011771D" w:rsidP="0016573E" w:rsidRDefault="00692422">
      <w:pPr>
        <w:spacing w:line="240" w:lineRule="auto"/>
      </w:pPr>
      <w:r>
        <w:t xml:space="preserve">I&amp;M, </w:t>
      </w:r>
      <w:r w:rsidR="0011771D">
        <w:t>Beleidsimpuls Verkeersveiligheid, kamerstuk 29 398, nummer 340, vergaderjaar 2012-2013.</w:t>
      </w:r>
    </w:p>
    <w:p w:rsidR="0011771D" w:rsidP="0016573E" w:rsidRDefault="0011771D">
      <w:pPr>
        <w:spacing w:line="240" w:lineRule="auto"/>
      </w:pPr>
    </w:p>
    <w:p w:rsidR="0011771D" w:rsidP="0016573E" w:rsidRDefault="0011771D">
      <w:pPr>
        <w:spacing w:line="240" w:lineRule="auto"/>
      </w:pPr>
      <w:r>
        <w:t>I&amp;M, Strategisch Plan Verkeersveiligheid 2008-2020, kamerstuk 29 398, nummer 120, vergaderjaar 2007-2008.</w:t>
      </w:r>
    </w:p>
    <w:p w:rsidR="00DF4021" w:rsidP="0016573E" w:rsidRDefault="00DF4021">
      <w:pPr>
        <w:spacing w:line="240" w:lineRule="auto"/>
      </w:pPr>
    </w:p>
    <w:p w:rsidR="00DF4021" w:rsidP="0016573E" w:rsidRDefault="00DF4021">
      <w:pPr>
        <w:spacing w:line="240" w:lineRule="auto"/>
      </w:pPr>
      <w:r>
        <w:t>I&amp;M, Actieprogramma Verkeersveiligheid 2009-2010, kamerstuk 29 398, nummer 153, vergaderjaar 2008-2009.</w:t>
      </w:r>
    </w:p>
    <w:p w:rsidR="00DF4021" w:rsidP="0016573E" w:rsidRDefault="00DF4021">
      <w:pPr>
        <w:spacing w:line="240" w:lineRule="auto"/>
      </w:pPr>
    </w:p>
    <w:p w:rsidR="008D3670" w:rsidP="0016573E" w:rsidRDefault="00DF4021">
      <w:pPr>
        <w:spacing w:line="240" w:lineRule="auto"/>
      </w:pPr>
      <w:r>
        <w:t>I&amp;M, Actieprogramma Verkeersveiligheid 2011-2012, kamerstuk</w:t>
      </w:r>
      <w:r w:rsidR="002513EB">
        <w:t xml:space="preserve"> </w:t>
      </w:r>
      <w:r>
        <w:t>29 398, nummer 275, vergaderjaar 2010-2011.</w:t>
      </w:r>
      <w:r w:rsidR="008D3670">
        <w:br w:type="page"/>
      </w:r>
    </w:p>
    <w:p w:rsidRPr="003D4369" w:rsidR="00D918E9" w:rsidP="0016573E" w:rsidRDefault="00D918E9">
      <w:pPr>
        <w:pStyle w:val="Huisstijl-Kop1"/>
        <w:numPr>
          <w:ilvl w:val="0"/>
          <w:numId w:val="0"/>
        </w:numPr>
      </w:pPr>
      <w:bookmarkStart w:name="_Toc351626687" w:id="38"/>
      <w:r>
        <w:t>Bijlage 1: Samenstelling klankbordgroep en begeleidingsgroep</w:t>
      </w:r>
      <w:bookmarkEnd w:id="38"/>
    </w:p>
    <w:p w:rsidRPr="001A065D" w:rsidR="001A065D" w:rsidP="0016573E" w:rsidRDefault="001A065D">
      <w:pPr>
        <w:spacing w:line="240" w:lineRule="auto"/>
        <w:rPr>
          <w:b/>
        </w:rPr>
      </w:pPr>
      <w:r w:rsidRPr="001A065D">
        <w:rPr>
          <w:b/>
        </w:rPr>
        <w:t>Klankbordgroep</w:t>
      </w:r>
    </w:p>
    <w:p w:rsidR="001A065D" w:rsidP="0016573E" w:rsidRDefault="001A065D">
      <w:pPr>
        <w:spacing w:line="240" w:lineRule="auto"/>
      </w:pPr>
    </w:p>
    <w:p w:rsidRPr="0076510D" w:rsidR="001A065D" w:rsidP="0016573E" w:rsidRDefault="001A065D">
      <w:pPr>
        <w:rPr>
          <w:i/>
          <w:szCs w:val="18"/>
        </w:rPr>
      </w:pPr>
      <w:r w:rsidRPr="0076510D">
        <w:rPr>
          <w:i/>
          <w:szCs w:val="18"/>
        </w:rPr>
        <w:t>Voorzitter:</w:t>
      </w:r>
      <w:r>
        <w:rPr>
          <w:i/>
          <w:szCs w:val="18"/>
        </w:rPr>
        <w:t xml:space="preserve"> </w:t>
      </w:r>
      <w:r w:rsidR="009424A2">
        <w:rPr>
          <w:i/>
          <w:szCs w:val="18"/>
        </w:rPr>
        <w:t xml:space="preserve">Drs. </w:t>
      </w:r>
      <w:r>
        <w:rPr>
          <w:i/>
          <w:szCs w:val="18"/>
        </w:rPr>
        <w:t>Cees</w:t>
      </w:r>
      <w:r w:rsidR="009424A2">
        <w:rPr>
          <w:i/>
          <w:szCs w:val="18"/>
        </w:rPr>
        <w:t xml:space="preserve"> (C.J.M.) </w:t>
      </w:r>
      <w:r>
        <w:rPr>
          <w:i/>
          <w:szCs w:val="18"/>
        </w:rPr>
        <w:t>van Eijk (zelfstandig</w:t>
      </w:r>
      <w:r w:rsidR="00422312">
        <w:rPr>
          <w:i/>
          <w:szCs w:val="18"/>
        </w:rPr>
        <w:t xml:space="preserve"> ondernemer</w:t>
      </w:r>
      <w:r>
        <w:rPr>
          <w:i/>
          <w:szCs w:val="18"/>
        </w:rPr>
        <w:t>, voormalig wethouder Utrecht)</w:t>
      </w:r>
    </w:p>
    <w:p w:rsidR="001A065D" w:rsidP="00497B4A" w:rsidRDefault="00B67E0E">
      <w:pPr>
        <w:pStyle w:val="Lijstalinea"/>
        <w:numPr>
          <w:ilvl w:val="0"/>
          <w:numId w:val="26"/>
        </w:numPr>
        <w:ind w:left="284" w:hanging="284"/>
        <w:rPr>
          <w:rFonts w:ascii="Verdana" w:hAnsi="Verdana"/>
          <w:sz w:val="18"/>
          <w:szCs w:val="18"/>
        </w:rPr>
      </w:pPr>
      <w:r>
        <w:rPr>
          <w:rFonts w:ascii="Verdana" w:hAnsi="Verdana"/>
          <w:sz w:val="18"/>
          <w:szCs w:val="18"/>
        </w:rPr>
        <w:t xml:space="preserve">Prof. Dr. </w:t>
      </w:r>
      <w:r w:rsidR="001A065D">
        <w:rPr>
          <w:rFonts w:ascii="Verdana" w:hAnsi="Verdana"/>
          <w:sz w:val="18"/>
          <w:szCs w:val="18"/>
        </w:rPr>
        <w:t>Hans</w:t>
      </w:r>
      <w:r>
        <w:rPr>
          <w:rFonts w:ascii="Verdana" w:hAnsi="Verdana"/>
          <w:sz w:val="18"/>
          <w:szCs w:val="18"/>
        </w:rPr>
        <w:t xml:space="preserve"> (J.A.M.) </w:t>
      </w:r>
      <w:r w:rsidR="001A065D">
        <w:rPr>
          <w:rFonts w:ascii="Verdana" w:hAnsi="Verdana"/>
          <w:sz w:val="18"/>
          <w:szCs w:val="18"/>
        </w:rPr>
        <w:t>van Oers (RIVM, Transzo)</w:t>
      </w:r>
    </w:p>
    <w:p w:rsidRPr="00C34272" w:rsidR="001A065D" w:rsidP="00497B4A" w:rsidRDefault="004E7874">
      <w:pPr>
        <w:pStyle w:val="Lijstalinea"/>
        <w:numPr>
          <w:ilvl w:val="0"/>
          <w:numId w:val="26"/>
        </w:numPr>
        <w:ind w:left="284" w:hanging="284"/>
        <w:rPr>
          <w:rFonts w:ascii="Verdana" w:hAnsi="Verdana"/>
          <w:sz w:val="18"/>
          <w:szCs w:val="18"/>
        </w:rPr>
      </w:pPr>
      <w:r>
        <w:rPr>
          <w:rFonts w:ascii="Verdana" w:hAnsi="Verdana"/>
          <w:sz w:val="18"/>
          <w:szCs w:val="18"/>
        </w:rPr>
        <w:t xml:space="preserve">Dr. </w:t>
      </w:r>
      <w:r w:rsidR="001A065D">
        <w:rPr>
          <w:rFonts w:ascii="Verdana" w:hAnsi="Verdana"/>
          <w:sz w:val="18"/>
          <w:szCs w:val="18"/>
        </w:rPr>
        <w:t>Ed</w:t>
      </w:r>
      <w:r>
        <w:rPr>
          <w:rFonts w:ascii="Verdana" w:hAnsi="Verdana"/>
          <w:sz w:val="18"/>
          <w:szCs w:val="18"/>
        </w:rPr>
        <w:t xml:space="preserve"> (E.F.)</w:t>
      </w:r>
      <w:r w:rsidR="001A065D">
        <w:rPr>
          <w:rFonts w:ascii="Verdana" w:hAnsi="Verdana"/>
          <w:sz w:val="18"/>
          <w:szCs w:val="18"/>
        </w:rPr>
        <w:t xml:space="preserve"> van Beeck (ErasmusMC)</w:t>
      </w:r>
    </w:p>
    <w:p w:rsidRPr="00CA1F74" w:rsidR="001A065D" w:rsidP="00497B4A" w:rsidRDefault="004E7874">
      <w:pPr>
        <w:pStyle w:val="Lijstalinea"/>
        <w:numPr>
          <w:ilvl w:val="0"/>
          <w:numId w:val="26"/>
        </w:numPr>
        <w:ind w:left="284" w:hanging="284"/>
        <w:rPr>
          <w:rFonts w:ascii="Verdana" w:hAnsi="Verdana"/>
          <w:sz w:val="18"/>
          <w:szCs w:val="18"/>
          <w:lang w:val="es-ES_tradnl"/>
        </w:rPr>
      </w:pPr>
      <w:r w:rsidRPr="000C3369">
        <w:rPr>
          <w:rFonts w:ascii="Verdana" w:hAnsi="Verdana"/>
          <w:sz w:val="18"/>
          <w:szCs w:val="18"/>
        </w:rPr>
        <w:t xml:space="preserve">Dr. </w:t>
      </w:r>
      <w:r w:rsidRPr="000C3369" w:rsidR="001A065D">
        <w:rPr>
          <w:rFonts w:ascii="Verdana" w:hAnsi="Verdana"/>
          <w:sz w:val="18"/>
          <w:szCs w:val="18"/>
        </w:rPr>
        <w:t>Paul</w:t>
      </w:r>
      <w:r w:rsidRPr="000C3369">
        <w:rPr>
          <w:rFonts w:ascii="Verdana" w:hAnsi="Verdana"/>
          <w:sz w:val="18"/>
          <w:szCs w:val="18"/>
        </w:rPr>
        <w:t xml:space="preserve"> (P.HJ.J.)</w:t>
      </w:r>
      <w:r w:rsidRPr="000C3369" w:rsidR="001A065D">
        <w:rPr>
          <w:rFonts w:ascii="Verdana" w:hAnsi="Verdana"/>
          <w:sz w:val="18"/>
          <w:szCs w:val="18"/>
        </w:rPr>
        <w:t xml:space="preserve"> </w:t>
      </w:r>
      <w:r w:rsidRPr="00CA1F74" w:rsidR="001A065D">
        <w:rPr>
          <w:rFonts w:ascii="Verdana" w:hAnsi="Verdana"/>
          <w:sz w:val="18"/>
          <w:szCs w:val="18"/>
          <w:lang w:val="es-ES_tradnl"/>
        </w:rPr>
        <w:t>Swuste (TU Delft/NVVK)</w:t>
      </w:r>
    </w:p>
    <w:p w:rsidRPr="00484C98" w:rsidR="001A065D" w:rsidP="00497B4A" w:rsidRDefault="00C059AE">
      <w:pPr>
        <w:pStyle w:val="Lijstalinea"/>
        <w:numPr>
          <w:ilvl w:val="0"/>
          <w:numId w:val="26"/>
        </w:numPr>
        <w:ind w:left="284" w:hanging="284"/>
        <w:rPr>
          <w:rFonts w:ascii="Verdana" w:hAnsi="Verdana"/>
          <w:sz w:val="18"/>
          <w:szCs w:val="18"/>
          <w:lang w:val="en-US"/>
        </w:rPr>
      </w:pPr>
      <w:r w:rsidRPr="00484C98">
        <w:rPr>
          <w:rFonts w:ascii="Verdana" w:hAnsi="Verdana"/>
          <w:sz w:val="18"/>
          <w:szCs w:val="18"/>
          <w:lang w:val="en-US"/>
        </w:rPr>
        <w:t xml:space="preserve">Drs. </w:t>
      </w:r>
      <w:r w:rsidRPr="00484C98" w:rsidR="001A065D">
        <w:rPr>
          <w:rFonts w:ascii="Verdana" w:hAnsi="Verdana"/>
          <w:sz w:val="18"/>
          <w:szCs w:val="18"/>
          <w:lang w:val="en-US"/>
        </w:rPr>
        <w:t>Rob</w:t>
      </w:r>
      <w:r w:rsidRPr="00484C98">
        <w:rPr>
          <w:rFonts w:ascii="Verdana" w:hAnsi="Verdana"/>
          <w:sz w:val="18"/>
          <w:szCs w:val="18"/>
          <w:lang w:val="en-US"/>
        </w:rPr>
        <w:t xml:space="preserve"> (R.)</w:t>
      </w:r>
      <w:r w:rsidRPr="00484C98" w:rsidR="001A065D">
        <w:rPr>
          <w:rFonts w:ascii="Verdana" w:hAnsi="Verdana"/>
          <w:sz w:val="18"/>
          <w:szCs w:val="18"/>
          <w:lang w:val="en-US"/>
        </w:rPr>
        <w:t xml:space="preserve"> Methorst (DVS)</w:t>
      </w:r>
    </w:p>
    <w:p w:rsidR="001A065D" w:rsidP="00497B4A" w:rsidRDefault="00397D73">
      <w:pPr>
        <w:pStyle w:val="Lijstalinea"/>
        <w:numPr>
          <w:ilvl w:val="0"/>
          <w:numId w:val="26"/>
        </w:numPr>
        <w:ind w:left="284" w:hanging="284"/>
        <w:rPr>
          <w:rFonts w:ascii="Verdana" w:hAnsi="Verdana"/>
          <w:sz w:val="18"/>
          <w:szCs w:val="18"/>
        </w:rPr>
      </w:pPr>
      <w:r>
        <w:rPr>
          <w:rFonts w:ascii="Verdana" w:hAnsi="Verdana"/>
          <w:sz w:val="18"/>
          <w:szCs w:val="18"/>
        </w:rPr>
        <w:t xml:space="preserve">Drs. </w:t>
      </w:r>
      <w:r w:rsidR="001A065D">
        <w:rPr>
          <w:rFonts w:ascii="Verdana" w:hAnsi="Verdana"/>
          <w:sz w:val="18"/>
          <w:szCs w:val="18"/>
        </w:rPr>
        <w:t xml:space="preserve">Erik </w:t>
      </w:r>
      <w:r w:rsidR="00C059AE">
        <w:rPr>
          <w:rFonts w:ascii="Verdana" w:hAnsi="Verdana"/>
          <w:sz w:val="18"/>
          <w:szCs w:val="18"/>
        </w:rPr>
        <w:t xml:space="preserve">(H.E.J.) </w:t>
      </w:r>
      <w:r w:rsidR="001A065D">
        <w:rPr>
          <w:rFonts w:ascii="Verdana" w:hAnsi="Verdana"/>
          <w:sz w:val="18"/>
          <w:szCs w:val="18"/>
        </w:rPr>
        <w:t>Theunissen (Landelijke programmaleider Aanpak Geweld)</w:t>
      </w:r>
    </w:p>
    <w:p w:rsidRPr="00484C98" w:rsidR="002654E6" w:rsidP="00497B4A" w:rsidRDefault="001A065D">
      <w:pPr>
        <w:pStyle w:val="Lijstalinea"/>
        <w:numPr>
          <w:ilvl w:val="0"/>
          <w:numId w:val="26"/>
        </w:numPr>
        <w:ind w:left="284" w:hanging="284"/>
        <w:rPr>
          <w:rFonts w:ascii="Verdana" w:hAnsi="Verdana"/>
          <w:sz w:val="18"/>
          <w:szCs w:val="18"/>
          <w:lang w:val="en-US"/>
        </w:rPr>
      </w:pPr>
      <w:r w:rsidRPr="00484C98">
        <w:rPr>
          <w:rFonts w:ascii="Verdana" w:hAnsi="Verdana"/>
          <w:sz w:val="18"/>
          <w:szCs w:val="18"/>
          <w:lang w:val="en-US"/>
        </w:rPr>
        <w:t>Johan</w:t>
      </w:r>
      <w:r w:rsidRPr="00484C98" w:rsidR="004E7874">
        <w:rPr>
          <w:rFonts w:ascii="Verdana" w:hAnsi="Verdana"/>
          <w:sz w:val="18"/>
          <w:szCs w:val="18"/>
          <w:lang w:val="en-US"/>
        </w:rPr>
        <w:t xml:space="preserve"> (J.) </w:t>
      </w:r>
      <w:r w:rsidRPr="00484C98">
        <w:rPr>
          <w:rFonts w:ascii="Verdana" w:hAnsi="Verdana"/>
          <w:sz w:val="18"/>
          <w:szCs w:val="18"/>
          <w:lang w:val="en-US"/>
        </w:rPr>
        <w:t>Gort</w:t>
      </w:r>
      <w:r w:rsidRPr="00484C98" w:rsidR="004E7874">
        <w:rPr>
          <w:rFonts w:ascii="Verdana" w:hAnsi="Verdana"/>
          <w:sz w:val="18"/>
          <w:szCs w:val="18"/>
          <w:lang w:val="en-US"/>
        </w:rPr>
        <w:t>, MSc, MSHE</w:t>
      </w:r>
      <w:r w:rsidRPr="00484C98">
        <w:rPr>
          <w:rFonts w:ascii="Verdana" w:hAnsi="Verdana"/>
          <w:sz w:val="18"/>
          <w:szCs w:val="18"/>
          <w:lang w:val="en-US"/>
        </w:rPr>
        <w:t xml:space="preserve"> (TNO)</w:t>
      </w:r>
      <w:r w:rsidRPr="00484C98" w:rsidR="002654E6">
        <w:rPr>
          <w:rFonts w:ascii="Verdana" w:hAnsi="Verdana"/>
          <w:sz w:val="18"/>
          <w:szCs w:val="18"/>
          <w:lang w:val="en-US"/>
        </w:rPr>
        <w:t xml:space="preserve"> </w:t>
      </w:r>
    </w:p>
    <w:p w:rsidR="002654E6" w:rsidP="00497B4A" w:rsidRDefault="00C059AE">
      <w:pPr>
        <w:pStyle w:val="Lijstalinea"/>
        <w:numPr>
          <w:ilvl w:val="0"/>
          <w:numId w:val="26"/>
        </w:numPr>
        <w:ind w:left="284" w:hanging="284"/>
        <w:rPr>
          <w:rFonts w:ascii="Verdana" w:hAnsi="Verdana"/>
          <w:sz w:val="18"/>
          <w:szCs w:val="18"/>
        </w:rPr>
      </w:pPr>
      <w:r>
        <w:rPr>
          <w:rFonts w:ascii="Verdana" w:hAnsi="Verdana"/>
          <w:sz w:val="18"/>
          <w:szCs w:val="18"/>
        </w:rPr>
        <w:t xml:space="preserve">Dr. </w:t>
      </w:r>
      <w:r w:rsidR="002654E6">
        <w:rPr>
          <w:rFonts w:ascii="Verdana" w:hAnsi="Verdana"/>
          <w:sz w:val="18"/>
          <w:szCs w:val="18"/>
        </w:rPr>
        <w:t>Wieke</w:t>
      </w:r>
      <w:r>
        <w:rPr>
          <w:rFonts w:ascii="Verdana" w:hAnsi="Verdana"/>
          <w:sz w:val="18"/>
          <w:szCs w:val="18"/>
        </w:rPr>
        <w:t xml:space="preserve"> (J.W.) </w:t>
      </w:r>
      <w:r w:rsidR="002654E6">
        <w:rPr>
          <w:rFonts w:ascii="Verdana" w:hAnsi="Verdana"/>
          <w:sz w:val="18"/>
          <w:szCs w:val="18"/>
        </w:rPr>
        <w:t>Tas (VWS)</w:t>
      </w:r>
    </w:p>
    <w:p w:rsidRPr="002654E6" w:rsidR="001A065D" w:rsidP="0016573E" w:rsidRDefault="001A065D">
      <w:pPr>
        <w:rPr>
          <w:szCs w:val="18"/>
        </w:rPr>
      </w:pPr>
    </w:p>
    <w:p w:rsidR="001A065D" w:rsidP="0016573E" w:rsidRDefault="001A065D">
      <w:pPr>
        <w:spacing w:line="240" w:lineRule="auto"/>
      </w:pPr>
    </w:p>
    <w:p w:rsidRPr="001A065D" w:rsidR="001A065D" w:rsidP="0016573E" w:rsidRDefault="001A065D">
      <w:pPr>
        <w:spacing w:line="276" w:lineRule="auto"/>
        <w:rPr>
          <w:b/>
        </w:rPr>
      </w:pPr>
      <w:r w:rsidRPr="001A065D">
        <w:rPr>
          <w:b/>
        </w:rPr>
        <w:t>Begeleidingsgroep</w:t>
      </w:r>
    </w:p>
    <w:p w:rsidR="00C65374" w:rsidP="0016573E" w:rsidRDefault="00C65374">
      <w:pPr>
        <w:spacing w:line="276" w:lineRule="auto"/>
        <w:rPr>
          <w:i/>
        </w:rPr>
      </w:pPr>
    </w:p>
    <w:p w:rsidRPr="00C059AE" w:rsidR="001A065D" w:rsidP="0016573E" w:rsidRDefault="00C65374">
      <w:pPr>
        <w:spacing w:line="276" w:lineRule="auto"/>
        <w:rPr>
          <w:i/>
          <w:szCs w:val="18"/>
        </w:rPr>
      </w:pPr>
      <w:r w:rsidRPr="00C059AE">
        <w:rPr>
          <w:i/>
          <w:szCs w:val="18"/>
        </w:rPr>
        <w:t xml:space="preserve">Voorzitter: </w:t>
      </w:r>
      <w:r w:rsidR="00C059AE">
        <w:rPr>
          <w:i/>
          <w:szCs w:val="18"/>
        </w:rPr>
        <w:t xml:space="preserve">Ir. </w:t>
      </w:r>
      <w:r w:rsidRPr="00C059AE">
        <w:rPr>
          <w:i/>
          <w:szCs w:val="18"/>
        </w:rPr>
        <w:t>Margreet</w:t>
      </w:r>
      <w:r w:rsidR="00C059AE">
        <w:rPr>
          <w:i/>
          <w:szCs w:val="18"/>
        </w:rPr>
        <w:t xml:space="preserve"> (A.M.) </w:t>
      </w:r>
      <w:r w:rsidRPr="00C059AE">
        <w:rPr>
          <w:i/>
          <w:szCs w:val="18"/>
        </w:rPr>
        <w:t>Hofstede (VWS)</w:t>
      </w:r>
    </w:p>
    <w:p w:rsidRPr="00C059AE" w:rsidR="005D40A9" w:rsidP="00497B4A" w:rsidRDefault="00C059AE">
      <w:pPr>
        <w:pStyle w:val="Lijstalinea"/>
        <w:numPr>
          <w:ilvl w:val="0"/>
          <w:numId w:val="26"/>
        </w:numPr>
        <w:spacing w:after="0"/>
        <w:ind w:left="284" w:hanging="284"/>
        <w:rPr>
          <w:rFonts w:ascii="Verdana" w:hAnsi="Verdana"/>
          <w:sz w:val="18"/>
          <w:szCs w:val="18"/>
        </w:rPr>
      </w:pPr>
      <w:r>
        <w:rPr>
          <w:rFonts w:ascii="Verdana" w:hAnsi="Verdana"/>
          <w:sz w:val="18"/>
          <w:szCs w:val="18"/>
        </w:rPr>
        <w:t xml:space="preserve">Drs. </w:t>
      </w:r>
      <w:r w:rsidRPr="00C059AE" w:rsidR="005D40A9">
        <w:rPr>
          <w:rFonts w:ascii="Verdana" w:hAnsi="Verdana"/>
          <w:sz w:val="18"/>
          <w:szCs w:val="18"/>
        </w:rPr>
        <w:t>Ivoline</w:t>
      </w:r>
      <w:r>
        <w:rPr>
          <w:rFonts w:ascii="Verdana" w:hAnsi="Verdana"/>
          <w:sz w:val="18"/>
          <w:szCs w:val="18"/>
        </w:rPr>
        <w:t xml:space="preserve"> (I.L.) </w:t>
      </w:r>
      <w:r w:rsidRPr="00C059AE" w:rsidR="005D40A9">
        <w:rPr>
          <w:rFonts w:ascii="Verdana" w:hAnsi="Verdana"/>
          <w:sz w:val="18"/>
          <w:szCs w:val="18"/>
        </w:rPr>
        <w:t>van Erpecum (V&amp;J)</w:t>
      </w:r>
    </w:p>
    <w:p w:rsidRPr="00C059AE" w:rsidR="005D40A9" w:rsidP="00497B4A" w:rsidRDefault="00C059AE">
      <w:pPr>
        <w:pStyle w:val="Lijstalinea"/>
        <w:numPr>
          <w:ilvl w:val="0"/>
          <w:numId w:val="26"/>
        </w:numPr>
        <w:spacing w:after="0"/>
        <w:ind w:left="284" w:hanging="284"/>
        <w:rPr>
          <w:rFonts w:ascii="Verdana" w:hAnsi="Verdana"/>
          <w:sz w:val="18"/>
          <w:szCs w:val="18"/>
        </w:rPr>
      </w:pPr>
      <w:r>
        <w:rPr>
          <w:rFonts w:ascii="Verdana" w:hAnsi="Verdana"/>
          <w:sz w:val="18"/>
          <w:szCs w:val="18"/>
        </w:rPr>
        <w:t xml:space="preserve">Ir. </w:t>
      </w:r>
      <w:r w:rsidRPr="00C059AE" w:rsidR="005D40A9">
        <w:rPr>
          <w:rFonts w:ascii="Verdana" w:hAnsi="Verdana"/>
          <w:sz w:val="18"/>
          <w:szCs w:val="18"/>
        </w:rPr>
        <w:t>Kate</w:t>
      </w:r>
      <w:r>
        <w:rPr>
          <w:rFonts w:ascii="Verdana" w:hAnsi="Verdana"/>
          <w:sz w:val="18"/>
          <w:szCs w:val="18"/>
        </w:rPr>
        <w:t xml:space="preserve"> (K.)</w:t>
      </w:r>
      <w:r w:rsidRPr="00C059AE" w:rsidR="005D40A9">
        <w:rPr>
          <w:rFonts w:ascii="Verdana" w:hAnsi="Verdana"/>
          <w:sz w:val="18"/>
          <w:szCs w:val="18"/>
        </w:rPr>
        <w:t xml:space="preserve"> de Jager (I&amp;M)</w:t>
      </w:r>
    </w:p>
    <w:p w:rsidRPr="00484C98" w:rsidR="005D40A9" w:rsidP="00497B4A" w:rsidRDefault="00C059AE">
      <w:pPr>
        <w:pStyle w:val="Lijstalinea"/>
        <w:numPr>
          <w:ilvl w:val="0"/>
          <w:numId w:val="26"/>
        </w:numPr>
        <w:spacing w:after="0"/>
        <w:ind w:left="284" w:hanging="284"/>
        <w:rPr>
          <w:rFonts w:ascii="Verdana" w:hAnsi="Verdana"/>
          <w:sz w:val="18"/>
          <w:szCs w:val="18"/>
          <w:lang w:val="en-US"/>
        </w:rPr>
      </w:pPr>
      <w:r w:rsidRPr="00484C98">
        <w:rPr>
          <w:rFonts w:ascii="Verdana" w:hAnsi="Verdana"/>
          <w:sz w:val="18"/>
          <w:szCs w:val="18"/>
          <w:lang w:val="en-US"/>
        </w:rPr>
        <w:t xml:space="preserve">Drs. </w:t>
      </w:r>
      <w:r w:rsidRPr="00484C98" w:rsidR="005D40A9">
        <w:rPr>
          <w:rFonts w:ascii="Verdana" w:hAnsi="Verdana"/>
          <w:sz w:val="18"/>
          <w:szCs w:val="18"/>
          <w:lang w:val="en-US"/>
        </w:rPr>
        <w:t>Tony</w:t>
      </w:r>
      <w:r w:rsidRPr="00484C98">
        <w:rPr>
          <w:rFonts w:ascii="Verdana" w:hAnsi="Verdana"/>
          <w:sz w:val="18"/>
          <w:szCs w:val="18"/>
          <w:lang w:val="en-US"/>
        </w:rPr>
        <w:t xml:space="preserve"> (F.A.)</w:t>
      </w:r>
      <w:r w:rsidRPr="00484C98" w:rsidR="005D40A9">
        <w:rPr>
          <w:rFonts w:ascii="Verdana" w:hAnsi="Verdana"/>
          <w:sz w:val="18"/>
          <w:szCs w:val="18"/>
          <w:lang w:val="en-US"/>
        </w:rPr>
        <w:t xml:space="preserve"> Thoeng (SZW)</w:t>
      </w:r>
    </w:p>
    <w:p w:rsidRPr="00C059AE" w:rsidR="005D40A9" w:rsidP="00497B4A" w:rsidRDefault="005D40A9">
      <w:pPr>
        <w:pStyle w:val="Lijstalinea"/>
        <w:numPr>
          <w:ilvl w:val="0"/>
          <w:numId w:val="26"/>
        </w:numPr>
        <w:spacing w:after="0"/>
        <w:ind w:left="284" w:hanging="284"/>
        <w:rPr>
          <w:rFonts w:ascii="Verdana" w:hAnsi="Verdana"/>
          <w:sz w:val="18"/>
          <w:szCs w:val="18"/>
        </w:rPr>
      </w:pPr>
      <w:r w:rsidRPr="00C059AE">
        <w:rPr>
          <w:rFonts w:ascii="Verdana" w:hAnsi="Verdana"/>
          <w:sz w:val="18"/>
          <w:szCs w:val="18"/>
        </w:rPr>
        <w:t>Jan Wouter</w:t>
      </w:r>
      <w:r w:rsidR="00C059AE">
        <w:rPr>
          <w:rFonts w:ascii="Verdana" w:hAnsi="Verdana"/>
          <w:sz w:val="18"/>
          <w:szCs w:val="18"/>
        </w:rPr>
        <w:t xml:space="preserve"> (J.W.)</w:t>
      </w:r>
      <w:r w:rsidRPr="00C059AE">
        <w:rPr>
          <w:rFonts w:ascii="Verdana" w:hAnsi="Verdana"/>
          <w:sz w:val="18"/>
          <w:szCs w:val="18"/>
        </w:rPr>
        <w:t xml:space="preserve"> Damen (OC&amp;W)</w:t>
      </w:r>
    </w:p>
    <w:p w:rsidRPr="00C059AE" w:rsidR="005D40A9" w:rsidP="00497B4A" w:rsidRDefault="00C059AE">
      <w:pPr>
        <w:pStyle w:val="Lijstalinea"/>
        <w:numPr>
          <w:ilvl w:val="0"/>
          <w:numId w:val="26"/>
        </w:numPr>
        <w:spacing w:after="0"/>
        <w:ind w:left="284" w:hanging="284"/>
        <w:rPr>
          <w:rFonts w:ascii="Verdana" w:hAnsi="Verdana"/>
          <w:sz w:val="18"/>
          <w:szCs w:val="18"/>
        </w:rPr>
      </w:pPr>
      <w:r>
        <w:rPr>
          <w:rFonts w:ascii="Verdana" w:hAnsi="Verdana"/>
          <w:sz w:val="18"/>
          <w:szCs w:val="18"/>
        </w:rPr>
        <w:t xml:space="preserve">Drs. </w:t>
      </w:r>
      <w:r w:rsidRPr="00C059AE" w:rsidR="005D40A9">
        <w:rPr>
          <w:rFonts w:ascii="Verdana" w:hAnsi="Verdana"/>
          <w:sz w:val="18"/>
          <w:szCs w:val="18"/>
        </w:rPr>
        <w:t>Maarten</w:t>
      </w:r>
      <w:r>
        <w:rPr>
          <w:rFonts w:ascii="Verdana" w:hAnsi="Verdana"/>
          <w:sz w:val="18"/>
          <w:szCs w:val="18"/>
        </w:rPr>
        <w:t xml:space="preserve"> (M.)</w:t>
      </w:r>
      <w:r w:rsidRPr="00C059AE" w:rsidR="005D40A9">
        <w:rPr>
          <w:rFonts w:ascii="Verdana" w:hAnsi="Verdana"/>
          <w:sz w:val="18"/>
          <w:szCs w:val="18"/>
        </w:rPr>
        <w:t xml:space="preserve"> Koornneef (VWS) </w:t>
      </w:r>
    </w:p>
    <w:p w:rsidRPr="00C059AE" w:rsidR="005D40A9" w:rsidP="00497B4A" w:rsidRDefault="005D40A9">
      <w:pPr>
        <w:pStyle w:val="Lijstalinea"/>
        <w:numPr>
          <w:ilvl w:val="0"/>
          <w:numId w:val="26"/>
        </w:numPr>
        <w:spacing w:after="0"/>
        <w:ind w:left="284" w:hanging="284"/>
        <w:rPr>
          <w:rFonts w:ascii="Verdana" w:hAnsi="Verdana"/>
          <w:sz w:val="18"/>
          <w:szCs w:val="18"/>
        </w:rPr>
      </w:pPr>
      <w:r w:rsidRPr="00C059AE">
        <w:rPr>
          <w:rFonts w:ascii="Verdana" w:hAnsi="Verdana"/>
          <w:sz w:val="18"/>
          <w:szCs w:val="18"/>
        </w:rPr>
        <w:t>André</w:t>
      </w:r>
      <w:r w:rsidR="002513EB">
        <w:rPr>
          <w:rFonts w:ascii="Verdana" w:hAnsi="Verdana"/>
          <w:sz w:val="18"/>
          <w:szCs w:val="18"/>
        </w:rPr>
        <w:t xml:space="preserve"> </w:t>
      </w:r>
      <w:r w:rsidRPr="00C059AE" w:rsidR="00C059AE">
        <w:rPr>
          <w:rFonts w:ascii="Verdana" w:hAnsi="Verdana"/>
          <w:sz w:val="18"/>
          <w:szCs w:val="18"/>
        </w:rPr>
        <w:t xml:space="preserve">(A.R.) </w:t>
      </w:r>
      <w:r w:rsidRPr="00C059AE">
        <w:rPr>
          <w:rFonts w:ascii="Verdana" w:hAnsi="Verdana"/>
          <w:sz w:val="18"/>
          <w:szCs w:val="18"/>
        </w:rPr>
        <w:t>van den Berg (VWS)</w:t>
      </w:r>
    </w:p>
    <w:p w:rsidR="005D40A9" w:rsidP="0016573E" w:rsidRDefault="005D40A9">
      <w:pPr>
        <w:spacing w:line="276" w:lineRule="auto"/>
        <w:rPr>
          <w:sz w:val="24"/>
        </w:rPr>
      </w:pPr>
      <w:r>
        <w:br w:type="page"/>
      </w:r>
    </w:p>
    <w:p w:rsidRPr="003D4369" w:rsidR="00D918E9" w:rsidP="0016573E" w:rsidRDefault="00D918E9">
      <w:pPr>
        <w:pStyle w:val="Huisstijl-Kop1"/>
        <w:numPr>
          <w:ilvl w:val="0"/>
          <w:numId w:val="0"/>
        </w:numPr>
      </w:pPr>
      <w:bookmarkStart w:name="_Toc351626688" w:id="39"/>
      <w:r>
        <w:t>Bijlage 2: Lijst geïnterviewden</w:t>
      </w:r>
      <w:bookmarkEnd w:id="39"/>
    </w:p>
    <w:p w:rsidR="001A065D" w:rsidP="00DF453C" w:rsidRDefault="00AE0E8E">
      <w:pPr>
        <w:pStyle w:val="Lijstalinea"/>
        <w:numPr>
          <w:ilvl w:val="0"/>
          <w:numId w:val="27"/>
        </w:numPr>
        <w:ind w:left="284" w:hanging="284"/>
        <w:rPr>
          <w:rFonts w:ascii="Verdana" w:hAnsi="Verdana"/>
          <w:sz w:val="18"/>
          <w:szCs w:val="18"/>
        </w:rPr>
      </w:pPr>
      <w:r w:rsidRPr="000C3369">
        <w:rPr>
          <w:rFonts w:ascii="Verdana" w:hAnsi="Verdana"/>
          <w:sz w:val="18"/>
          <w:szCs w:val="18"/>
          <w:lang w:val="es-ES_tradnl"/>
        </w:rPr>
        <w:t xml:space="preserve">Dr. Ir. </w:t>
      </w:r>
      <w:r w:rsidRPr="000C3369" w:rsidR="001A065D">
        <w:rPr>
          <w:rFonts w:ascii="Verdana" w:hAnsi="Verdana"/>
          <w:sz w:val="18"/>
          <w:szCs w:val="18"/>
          <w:lang w:val="es-ES_tradnl"/>
        </w:rPr>
        <w:t>Marco</w:t>
      </w:r>
      <w:r w:rsidRPr="000C3369">
        <w:rPr>
          <w:rFonts w:ascii="Verdana" w:hAnsi="Verdana"/>
          <w:sz w:val="18"/>
          <w:szCs w:val="18"/>
          <w:lang w:val="es-ES_tradnl"/>
        </w:rPr>
        <w:t xml:space="preserve"> (M.J.P.) </w:t>
      </w:r>
      <w:r w:rsidR="001A065D">
        <w:rPr>
          <w:rFonts w:ascii="Verdana" w:hAnsi="Verdana"/>
          <w:sz w:val="18"/>
          <w:szCs w:val="18"/>
        </w:rPr>
        <w:t>Brugmans, VeiligheidNL</w:t>
      </w:r>
    </w:p>
    <w:p w:rsidR="001A065D" w:rsidP="00DF453C" w:rsidRDefault="00A22479">
      <w:pPr>
        <w:pStyle w:val="Lijstalinea"/>
        <w:numPr>
          <w:ilvl w:val="0"/>
          <w:numId w:val="27"/>
        </w:numPr>
        <w:ind w:left="284" w:hanging="284"/>
        <w:rPr>
          <w:rFonts w:ascii="Verdana" w:hAnsi="Verdana"/>
          <w:sz w:val="18"/>
          <w:szCs w:val="18"/>
        </w:rPr>
      </w:pPr>
      <w:r>
        <w:rPr>
          <w:rFonts w:ascii="Verdana" w:hAnsi="Verdana"/>
          <w:sz w:val="18"/>
          <w:szCs w:val="18"/>
        </w:rPr>
        <w:t xml:space="preserve">Dr. </w:t>
      </w:r>
      <w:r w:rsidR="001A065D">
        <w:rPr>
          <w:rFonts w:ascii="Verdana" w:hAnsi="Verdana"/>
          <w:sz w:val="18"/>
          <w:szCs w:val="18"/>
        </w:rPr>
        <w:t>Nancy</w:t>
      </w:r>
      <w:r>
        <w:rPr>
          <w:rFonts w:ascii="Verdana" w:hAnsi="Verdana"/>
          <w:sz w:val="18"/>
          <w:szCs w:val="18"/>
        </w:rPr>
        <w:t xml:space="preserve"> (N.)</w:t>
      </w:r>
      <w:r w:rsidR="001A065D">
        <w:rPr>
          <w:rFonts w:ascii="Verdana" w:hAnsi="Verdana"/>
          <w:sz w:val="18"/>
          <w:szCs w:val="18"/>
        </w:rPr>
        <w:t xml:space="preserve"> Hoeymans, RIVM, Centrum voor Volksgezondheid Toekomst Verkenningen</w:t>
      </w:r>
    </w:p>
    <w:p w:rsidR="001A065D" w:rsidP="00DF453C" w:rsidRDefault="00A22479">
      <w:pPr>
        <w:pStyle w:val="Lijstalinea"/>
        <w:numPr>
          <w:ilvl w:val="0"/>
          <w:numId w:val="27"/>
        </w:numPr>
        <w:ind w:left="284" w:hanging="284"/>
        <w:rPr>
          <w:rFonts w:ascii="Verdana" w:hAnsi="Verdana"/>
          <w:sz w:val="18"/>
          <w:szCs w:val="18"/>
        </w:rPr>
      </w:pPr>
      <w:r>
        <w:rPr>
          <w:rFonts w:ascii="Verdana" w:hAnsi="Verdana"/>
          <w:sz w:val="18"/>
          <w:szCs w:val="18"/>
        </w:rPr>
        <w:t xml:space="preserve">Dr. </w:t>
      </w:r>
      <w:r w:rsidR="001A065D">
        <w:rPr>
          <w:rFonts w:ascii="Verdana" w:hAnsi="Verdana"/>
          <w:sz w:val="18"/>
          <w:szCs w:val="18"/>
        </w:rPr>
        <w:t>Loes</w:t>
      </w:r>
      <w:r>
        <w:rPr>
          <w:rFonts w:ascii="Verdana" w:hAnsi="Verdana"/>
          <w:sz w:val="18"/>
          <w:szCs w:val="18"/>
        </w:rPr>
        <w:t xml:space="preserve"> (L.C.)</w:t>
      </w:r>
      <w:r w:rsidR="001A065D">
        <w:rPr>
          <w:rFonts w:ascii="Verdana" w:hAnsi="Verdana"/>
          <w:sz w:val="18"/>
          <w:szCs w:val="18"/>
        </w:rPr>
        <w:t xml:space="preserve"> Lanting en </w:t>
      </w:r>
      <w:r w:rsidR="001F5584">
        <w:rPr>
          <w:rFonts w:ascii="Verdana" w:hAnsi="Verdana"/>
          <w:sz w:val="18"/>
          <w:szCs w:val="18"/>
        </w:rPr>
        <w:t xml:space="preserve">Drs. </w:t>
      </w:r>
      <w:r w:rsidR="001A065D">
        <w:rPr>
          <w:rFonts w:ascii="Verdana" w:hAnsi="Verdana"/>
          <w:sz w:val="18"/>
          <w:szCs w:val="18"/>
        </w:rPr>
        <w:t>Marian</w:t>
      </w:r>
      <w:r w:rsidR="0023664B">
        <w:rPr>
          <w:rFonts w:ascii="Verdana" w:hAnsi="Verdana"/>
          <w:sz w:val="18"/>
          <w:szCs w:val="18"/>
        </w:rPr>
        <w:t xml:space="preserve"> (M.J.T.)</w:t>
      </w:r>
      <w:r w:rsidR="001A065D">
        <w:rPr>
          <w:rFonts w:ascii="Verdana" w:hAnsi="Verdana"/>
          <w:sz w:val="18"/>
          <w:szCs w:val="18"/>
        </w:rPr>
        <w:t xml:space="preserve"> Sturkenboom, RIVM, Centrum Gezond Leven</w:t>
      </w:r>
    </w:p>
    <w:p w:rsidR="001A065D" w:rsidP="00DF453C" w:rsidRDefault="00A22479">
      <w:pPr>
        <w:pStyle w:val="Lijstalinea"/>
        <w:numPr>
          <w:ilvl w:val="0"/>
          <w:numId w:val="27"/>
        </w:numPr>
        <w:ind w:left="284" w:hanging="284"/>
        <w:rPr>
          <w:rFonts w:ascii="Verdana" w:hAnsi="Verdana"/>
          <w:sz w:val="18"/>
          <w:szCs w:val="18"/>
        </w:rPr>
      </w:pPr>
      <w:r>
        <w:rPr>
          <w:rFonts w:ascii="Verdana" w:hAnsi="Verdana"/>
          <w:sz w:val="18"/>
          <w:szCs w:val="18"/>
        </w:rPr>
        <w:t xml:space="preserve">Dr. </w:t>
      </w:r>
      <w:r w:rsidR="001A065D">
        <w:rPr>
          <w:rFonts w:ascii="Verdana" w:hAnsi="Verdana"/>
          <w:sz w:val="18"/>
          <w:szCs w:val="18"/>
        </w:rPr>
        <w:t>Jeanet</w:t>
      </w:r>
      <w:r w:rsidR="004E7874">
        <w:rPr>
          <w:rFonts w:ascii="Verdana" w:hAnsi="Verdana"/>
          <w:sz w:val="18"/>
          <w:szCs w:val="18"/>
        </w:rPr>
        <w:t xml:space="preserve"> (J.)</w:t>
      </w:r>
      <w:r w:rsidR="001A065D">
        <w:rPr>
          <w:rFonts w:ascii="Verdana" w:hAnsi="Verdana"/>
          <w:sz w:val="18"/>
          <w:szCs w:val="18"/>
        </w:rPr>
        <w:t xml:space="preserve"> Bruil en </w:t>
      </w:r>
      <w:r w:rsidR="00BF45E6">
        <w:rPr>
          <w:rFonts w:ascii="Verdana" w:hAnsi="Verdana"/>
          <w:sz w:val="18"/>
          <w:szCs w:val="18"/>
        </w:rPr>
        <w:t xml:space="preserve">Drs. </w:t>
      </w:r>
      <w:r w:rsidR="001A065D">
        <w:rPr>
          <w:rFonts w:ascii="Verdana" w:hAnsi="Verdana"/>
          <w:sz w:val="18"/>
          <w:szCs w:val="18"/>
        </w:rPr>
        <w:t>Jan</w:t>
      </w:r>
      <w:r w:rsidR="004E7874">
        <w:rPr>
          <w:rFonts w:ascii="Verdana" w:hAnsi="Verdana"/>
          <w:sz w:val="18"/>
          <w:szCs w:val="18"/>
        </w:rPr>
        <w:t xml:space="preserve"> (J.G.M.) </w:t>
      </w:r>
      <w:r w:rsidR="001A065D">
        <w:rPr>
          <w:rFonts w:ascii="Verdana" w:hAnsi="Verdana"/>
          <w:sz w:val="18"/>
          <w:szCs w:val="18"/>
        </w:rPr>
        <w:t>Bouwens, ZonMW</w:t>
      </w:r>
    </w:p>
    <w:p w:rsidR="001A065D" w:rsidP="00DF453C" w:rsidRDefault="005F2C83">
      <w:pPr>
        <w:pStyle w:val="Lijstalinea"/>
        <w:numPr>
          <w:ilvl w:val="0"/>
          <w:numId w:val="27"/>
        </w:numPr>
        <w:ind w:left="284" w:hanging="284"/>
        <w:rPr>
          <w:rFonts w:ascii="Verdana" w:hAnsi="Verdana"/>
          <w:sz w:val="18"/>
          <w:szCs w:val="18"/>
        </w:rPr>
      </w:pPr>
      <w:r>
        <w:rPr>
          <w:rFonts w:ascii="Verdana" w:hAnsi="Verdana"/>
          <w:sz w:val="18"/>
          <w:szCs w:val="18"/>
        </w:rPr>
        <w:t xml:space="preserve">Mr. </w:t>
      </w:r>
      <w:r w:rsidR="001A065D">
        <w:rPr>
          <w:rFonts w:ascii="Verdana" w:hAnsi="Verdana"/>
          <w:sz w:val="18"/>
          <w:szCs w:val="18"/>
        </w:rPr>
        <w:t>Mady</w:t>
      </w:r>
      <w:r>
        <w:rPr>
          <w:rFonts w:ascii="Verdana" w:hAnsi="Verdana"/>
          <w:sz w:val="18"/>
          <w:szCs w:val="18"/>
        </w:rPr>
        <w:t xml:space="preserve"> (M.O.)</w:t>
      </w:r>
      <w:r w:rsidR="001A065D">
        <w:rPr>
          <w:rFonts w:ascii="Verdana" w:hAnsi="Verdana"/>
          <w:sz w:val="18"/>
          <w:szCs w:val="18"/>
        </w:rPr>
        <w:t xml:space="preserve"> Samuels, ministerie VWS, directie Curatieve Zorg</w:t>
      </w:r>
    </w:p>
    <w:p w:rsidR="001A065D" w:rsidP="00DF453C" w:rsidRDefault="005F2C83">
      <w:pPr>
        <w:pStyle w:val="Lijstalinea"/>
        <w:numPr>
          <w:ilvl w:val="0"/>
          <w:numId w:val="27"/>
        </w:numPr>
        <w:ind w:left="284" w:hanging="284"/>
        <w:rPr>
          <w:rFonts w:ascii="Verdana" w:hAnsi="Verdana"/>
          <w:sz w:val="18"/>
          <w:szCs w:val="18"/>
        </w:rPr>
      </w:pPr>
      <w:r>
        <w:rPr>
          <w:rFonts w:ascii="Verdana" w:hAnsi="Verdana"/>
          <w:sz w:val="18"/>
          <w:szCs w:val="18"/>
        </w:rPr>
        <w:t xml:space="preserve">Drs. </w:t>
      </w:r>
      <w:r w:rsidR="001A065D">
        <w:rPr>
          <w:rFonts w:ascii="Verdana" w:hAnsi="Verdana"/>
          <w:sz w:val="18"/>
          <w:szCs w:val="18"/>
        </w:rPr>
        <w:t>Inge</w:t>
      </w:r>
      <w:r>
        <w:rPr>
          <w:rFonts w:ascii="Verdana" w:hAnsi="Verdana"/>
          <w:sz w:val="18"/>
          <w:szCs w:val="18"/>
        </w:rPr>
        <w:t xml:space="preserve"> (I.A.) </w:t>
      </w:r>
      <w:r w:rsidR="001A065D">
        <w:rPr>
          <w:rFonts w:ascii="Verdana" w:hAnsi="Verdana"/>
          <w:sz w:val="18"/>
          <w:szCs w:val="18"/>
        </w:rPr>
        <w:t>Rasser, ministerie VWS, directie Langdurige Zorg</w:t>
      </w:r>
    </w:p>
    <w:p w:rsidR="001A065D" w:rsidP="00DF453C" w:rsidRDefault="005F2C83">
      <w:pPr>
        <w:pStyle w:val="Lijstalinea"/>
        <w:numPr>
          <w:ilvl w:val="0"/>
          <w:numId w:val="27"/>
        </w:numPr>
        <w:ind w:left="284" w:hanging="284"/>
        <w:rPr>
          <w:rFonts w:ascii="Verdana" w:hAnsi="Verdana"/>
          <w:sz w:val="18"/>
          <w:szCs w:val="18"/>
        </w:rPr>
      </w:pPr>
      <w:r>
        <w:rPr>
          <w:rFonts w:ascii="Verdana" w:hAnsi="Verdana"/>
          <w:sz w:val="18"/>
          <w:szCs w:val="18"/>
        </w:rPr>
        <w:t xml:space="preserve">Drs. </w:t>
      </w:r>
      <w:r w:rsidR="001A065D">
        <w:rPr>
          <w:rFonts w:ascii="Verdana" w:hAnsi="Verdana"/>
          <w:sz w:val="18"/>
          <w:szCs w:val="18"/>
        </w:rPr>
        <w:t>Maarten</w:t>
      </w:r>
      <w:r>
        <w:rPr>
          <w:rFonts w:ascii="Verdana" w:hAnsi="Verdana"/>
          <w:sz w:val="18"/>
          <w:szCs w:val="18"/>
        </w:rPr>
        <w:t xml:space="preserve"> (M.)</w:t>
      </w:r>
      <w:r w:rsidR="001A065D">
        <w:rPr>
          <w:rFonts w:ascii="Verdana" w:hAnsi="Verdana"/>
          <w:sz w:val="18"/>
          <w:szCs w:val="18"/>
        </w:rPr>
        <w:t xml:space="preserve"> Koornneef, ministerie VWS, directie Sport</w:t>
      </w:r>
    </w:p>
    <w:p w:rsidR="001A065D" w:rsidP="00DF453C" w:rsidRDefault="005F2C83">
      <w:pPr>
        <w:pStyle w:val="Lijstalinea"/>
        <w:numPr>
          <w:ilvl w:val="0"/>
          <w:numId w:val="27"/>
        </w:numPr>
        <w:ind w:left="284" w:hanging="284"/>
        <w:rPr>
          <w:rFonts w:ascii="Verdana" w:hAnsi="Verdana"/>
          <w:sz w:val="18"/>
          <w:szCs w:val="18"/>
        </w:rPr>
      </w:pPr>
      <w:r>
        <w:rPr>
          <w:rFonts w:ascii="Verdana" w:hAnsi="Verdana"/>
          <w:sz w:val="18"/>
          <w:szCs w:val="18"/>
        </w:rPr>
        <w:t xml:space="preserve">Drs. </w:t>
      </w:r>
      <w:r w:rsidR="001A065D">
        <w:rPr>
          <w:rFonts w:ascii="Verdana" w:hAnsi="Verdana"/>
          <w:sz w:val="18"/>
          <w:szCs w:val="18"/>
        </w:rPr>
        <w:t>Aaf</w:t>
      </w:r>
      <w:r>
        <w:rPr>
          <w:rFonts w:ascii="Verdana" w:hAnsi="Verdana"/>
          <w:sz w:val="18"/>
          <w:szCs w:val="18"/>
        </w:rPr>
        <w:t xml:space="preserve"> (A.)</w:t>
      </w:r>
      <w:r w:rsidR="001A065D">
        <w:rPr>
          <w:rFonts w:ascii="Verdana" w:hAnsi="Verdana"/>
          <w:sz w:val="18"/>
          <w:szCs w:val="18"/>
        </w:rPr>
        <w:t xml:space="preserve"> Tiems, ministerie VWS, directie Maatschappelijke Ondersteuning</w:t>
      </w:r>
    </w:p>
    <w:p w:rsidR="001A065D" w:rsidP="00DF453C" w:rsidRDefault="005119FC">
      <w:pPr>
        <w:pStyle w:val="Lijstalinea"/>
        <w:numPr>
          <w:ilvl w:val="0"/>
          <w:numId w:val="27"/>
        </w:numPr>
        <w:ind w:left="284" w:hanging="284"/>
        <w:rPr>
          <w:rFonts w:ascii="Verdana" w:hAnsi="Verdana"/>
          <w:sz w:val="18"/>
          <w:szCs w:val="18"/>
        </w:rPr>
      </w:pPr>
      <w:r>
        <w:rPr>
          <w:rFonts w:ascii="Verdana" w:hAnsi="Verdana"/>
          <w:sz w:val="18"/>
          <w:szCs w:val="18"/>
        </w:rPr>
        <w:t xml:space="preserve">Ir. </w:t>
      </w:r>
      <w:r w:rsidR="001A065D">
        <w:rPr>
          <w:rFonts w:ascii="Verdana" w:hAnsi="Verdana"/>
          <w:sz w:val="18"/>
          <w:szCs w:val="18"/>
        </w:rPr>
        <w:t>Kate</w:t>
      </w:r>
      <w:r>
        <w:rPr>
          <w:rFonts w:ascii="Verdana" w:hAnsi="Verdana"/>
          <w:sz w:val="18"/>
          <w:szCs w:val="18"/>
        </w:rPr>
        <w:t xml:space="preserve"> (K.) </w:t>
      </w:r>
      <w:r w:rsidR="001A065D">
        <w:rPr>
          <w:rFonts w:ascii="Verdana" w:hAnsi="Verdana"/>
          <w:sz w:val="18"/>
          <w:szCs w:val="18"/>
        </w:rPr>
        <w:t>de Jager, ministerie I&amp;M</w:t>
      </w:r>
    </w:p>
    <w:p w:rsidR="001A065D" w:rsidP="00DF453C" w:rsidRDefault="005119FC">
      <w:pPr>
        <w:pStyle w:val="Lijstalinea"/>
        <w:numPr>
          <w:ilvl w:val="0"/>
          <w:numId w:val="27"/>
        </w:numPr>
        <w:ind w:left="284" w:hanging="284"/>
        <w:rPr>
          <w:rFonts w:ascii="Verdana" w:hAnsi="Verdana"/>
          <w:sz w:val="18"/>
          <w:szCs w:val="18"/>
        </w:rPr>
      </w:pPr>
      <w:r>
        <w:rPr>
          <w:rFonts w:ascii="Verdana" w:hAnsi="Verdana"/>
          <w:sz w:val="18"/>
          <w:szCs w:val="18"/>
        </w:rPr>
        <w:t xml:space="preserve">Drs. </w:t>
      </w:r>
      <w:r w:rsidR="001A065D">
        <w:rPr>
          <w:rFonts w:ascii="Verdana" w:hAnsi="Verdana"/>
          <w:sz w:val="18"/>
          <w:szCs w:val="18"/>
        </w:rPr>
        <w:t>Ivoline</w:t>
      </w:r>
      <w:r>
        <w:rPr>
          <w:rFonts w:ascii="Verdana" w:hAnsi="Verdana"/>
          <w:sz w:val="18"/>
          <w:szCs w:val="18"/>
        </w:rPr>
        <w:t xml:space="preserve"> (I.L.) </w:t>
      </w:r>
      <w:r w:rsidR="001A065D">
        <w:rPr>
          <w:rFonts w:ascii="Verdana" w:hAnsi="Verdana"/>
          <w:sz w:val="18"/>
          <w:szCs w:val="18"/>
        </w:rPr>
        <w:t>van Erpecum, ministerie V&amp;J</w:t>
      </w:r>
    </w:p>
    <w:p w:rsidR="001A065D" w:rsidP="00DF453C" w:rsidRDefault="005119FC">
      <w:pPr>
        <w:pStyle w:val="Lijstalinea"/>
        <w:numPr>
          <w:ilvl w:val="0"/>
          <w:numId w:val="27"/>
        </w:numPr>
        <w:ind w:left="284" w:hanging="284"/>
        <w:rPr>
          <w:rFonts w:ascii="Verdana" w:hAnsi="Verdana"/>
          <w:sz w:val="18"/>
          <w:szCs w:val="18"/>
        </w:rPr>
      </w:pPr>
      <w:r>
        <w:rPr>
          <w:rFonts w:ascii="Verdana" w:hAnsi="Verdana"/>
          <w:sz w:val="18"/>
          <w:szCs w:val="18"/>
        </w:rPr>
        <w:t xml:space="preserve">Drs. </w:t>
      </w:r>
      <w:r w:rsidR="001A065D">
        <w:rPr>
          <w:rFonts w:ascii="Verdana" w:hAnsi="Verdana"/>
          <w:sz w:val="18"/>
          <w:szCs w:val="18"/>
        </w:rPr>
        <w:t>Tony</w:t>
      </w:r>
      <w:r>
        <w:rPr>
          <w:rFonts w:ascii="Verdana" w:hAnsi="Verdana"/>
          <w:sz w:val="18"/>
          <w:szCs w:val="18"/>
        </w:rPr>
        <w:t xml:space="preserve"> (F.A.)</w:t>
      </w:r>
      <w:r w:rsidR="001A065D">
        <w:rPr>
          <w:rFonts w:ascii="Verdana" w:hAnsi="Verdana"/>
          <w:sz w:val="18"/>
          <w:szCs w:val="18"/>
        </w:rPr>
        <w:t xml:space="preserve"> Thoeng, ministerie SZW</w:t>
      </w:r>
    </w:p>
    <w:p w:rsidR="001A065D" w:rsidP="00DF453C" w:rsidRDefault="005119FC">
      <w:pPr>
        <w:pStyle w:val="Lijstalinea"/>
        <w:numPr>
          <w:ilvl w:val="0"/>
          <w:numId w:val="27"/>
        </w:numPr>
        <w:ind w:left="284" w:hanging="284"/>
        <w:rPr>
          <w:rFonts w:ascii="Verdana" w:hAnsi="Verdana"/>
          <w:sz w:val="18"/>
          <w:szCs w:val="18"/>
        </w:rPr>
      </w:pPr>
      <w:r>
        <w:rPr>
          <w:rFonts w:ascii="Verdana" w:hAnsi="Verdana"/>
          <w:sz w:val="18"/>
          <w:szCs w:val="18"/>
        </w:rPr>
        <w:t xml:space="preserve">Ir. </w:t>
      </w:r>
      <w:r w:rsidR="001A065D">
        <w:rPr>
          <w:rFonts w:ascii="Verdana" w:hAnsi="Verdana"/>
          <w:sz w:val="18"/>
          <w:szCs w:val="18"/>
        </w:rPr>
        <w:t>Loek</w:t>
      </w:r>
      <w:r>
        <w:rPr>
          <w:rFonts w:ascii="Verdana" w:hAnsi="Verdana"/>
          <w:sz w:val="18"/>
          <w:szCs w:val="18"/>
        </w:rPr>
        <w:t xml:space="preserve"> (L.J.W.)</w:t>
      </w:r>
      <w:r w:rsidR="001A065D">
        <w:rPr>
          <w:rFonts w:ascii="Verdana" w:hAnsi="Verdana"/>
          <w:sz w:val="18"/>
          <w:szCs w:val="18"/>
        </w:rPr>
        <w:t xml:space="preserve"> Hesemans, ministerie VWS</w:t>
      </w:r>
    </w:p>
    <w:p w:rsidR="001A065D" w:rsidP="00DF453C" w:rsidRDefault="0023664B">
      <w:pPr>
        <w:pStyle w:val="Lijstalinea"/>
        <w:numPr>
          <w:ilvl w:val="0"/>
          <w:numId w:val="27"/>
        </w:numPr>
        <w:ind w:left="284" w:hanging="284"/>
        <w:rPr>
          <w:rFonts w:ascii="Verdana" w:hAnsi="Verdana"/>
          <w:sz w:val="18"/>
          <w:szCs w:val="18"/>
        </w:rPr>
      </w:pPr>
      <w:r>
        <w:rPr>
          <w:rFonts w:ascii="Verdana" w:hAnsi="Verdana"/>
          <w:sz w:val="18"/>
          <w:szCs w:val="18"/>
        </w:rPr>
        <w:t xml:space="preserve">Drs. </w:t>
      </w:r>
      <w:r w:rsidR="001A065D">
        <w:rPr>
          <w:rFonts w:ascii="Verdana" w:hAnsi="Verdana"/>
          <w:sz w:val="18"/>
          <w:szCs w:val="18"/>
        </w:rPr>
        <w:t>Marjolijn</w:t>
      </w:r>
      <w:r>
        <w:rPr>
          <w:rFonts w:ascii="Verdana" w:hAnsi="Verdana"/>
          <w:sz w:val="18"/>
          <w:szCs w:val="18"/>
        </w:rPr>
        <w:t xml:space="preserve"> (M.M.)</w:t>
      </w:r>
      <w:r w:rsidR="001A065D">
        <w:rPr>
          <w:rFonts w:ascii="Verdana" w:hAnsi="Verdana"/>
          <w:sz w:val="18"/>
          <w:szCs w:val="18"/>
        </w:rPr>
        <w:t xml:space="preserve"> van Hest, Centrum voor Criminaliteitspreventie en Veiligheid</w:t>
      </w:r>
    </w:p>
    <w:p w:rsidR="001A065D" w:rsidP="00DF453C" w:rsidRDefault="005119FC">
      <w:pPr>
        <w:pStyle w:val="Lijstalinea"/>
        <w:numPr>
          <w:ilvl w:val="0"/>
          <w:numId w:val="27"/>
        </w:numPr>
        <w:ind w:left="284" w:hanging="284"/>
        <w:rPr>
          <w:rFonts w:ascii="Verdana" w:hAnsi="Verdana"/>
          <w:sz w:val="18"/>
          <w:szCs w:val="18"/>
        </w:rPr>
      </w:pPr>
      <w:r>
        <w:rPr>
          <w:rFonts w:ascii="Verdana" w:hAnsi="Verdana"/>
          <w:sz w:val="18"/>
          <w:szCs w:val="18"/>
        </w:rPr>
        <w:t xml:space="preserve">Dr. </w:t>
      </w:r>
      <w:r w:rsidR="001A065D">
        <w:rPr>
          <w:rFonts w:ascii="Verdana" w:hAnsi="Verdana"/>
          <w:sz w:val="18"/>
          <w:szCs w:val="18"/>
        </w:rPr>
        <w:t>Leontien</w:t>
      </w:r>
      <w:r w:rsidR="0023664B">
        <w:rPr>
          <w:rFonts w:ascii="Verdana" w:hAnsi="Verdana"/>
          <w:sz w:val="18"/>
          <w:szCs w:val="18"/>
        </w:rPr>
        <w:t xml:space="preserve"> (L</w:t>
      </w:r>
      <w:r w:rsidR="004E7874">
        <w:rPr>
          <w:rFonts w:ascii="Verdana" w:hAnsi="Verdana"/>
          <w:sz w:val="18"/>
          <w:szCs w:val="18"/>
        </w:rPr>
        <w:t>.</w:t>
      </w:r>
      <w:r w:rsidR="0023664B">
        <w:rPr>
          <w:rFonts w:ascii="Verdana" w:hAnsi="Verdana"/>
          <w:sz w:val="18"/>
          <w:szCs w:val="18"/>
        </w:rPr>
        <w:t>M</w:t>
      </w:r>
      <w:r w:rsidR="004E7874">
        <w:rPr>
          <w:rFonts w:ascii="Verdana" w:hAnsi="Verdana"/>
          <w:sz w:val="18"/>
          <w:szCs w:val="18"/>
        </w:rPr>
        <w:t>.</w:t>
      </w:r>
      <w:r w:rsidR="0023664B">
        <w:rPr>
          <w:rFonts w:ascii="Verdana" w:hAnsi="Verdana"/>
          <w:sz w:val="18"/>
          <w:szCs w:val="18"/>
        </w:rPr>
        <w:t>)</w:t>
      </w:r>
      <w:r w:rsidR="001A065D">
        <w:rPr>
          <w:rFonts w:ascii="Verdana" w:hAnsi="Verdana"/>
          <w:sz w:val="18"/>
          <w:szCs w:val="18"/>
        </w:rPr>
        <w:t xml:space="preserve"> Sturms, Landelijk Netwerk Acute Zorg</w:t>
      </w:r>
    </w:p>
    <w:p w:rsidRPr="00D51117" w:rsidR="001A065D" w:rsidP="00DF453C" w:rsidRDefault="005119FC">
      <w:pPr>
        <w:pStyle w:val="Lijstalinea"/>
        <w:numPr>
          <w:ilvl w:val="0"/>
          <w:numId w:val="27"/>
        </w:numPr>
        <w:ind w:left="284" w:hanging="284"/>
        <w:rPr>
          <w:rFonts w:ascii="Verdana" w:hAnsi="Verdana"/>
          <w:sz w:val="18"/>
          <w:szCs w:val="18"/>
        </w:rPr>
      </w:pPr>
      <w:r>
        <w:rPr>
          <w:rFonts w:ascii="Verdana" w:hAnsi="Verdana"/>
          <w:sz w:val="18"/>
          <w:szCs w:val="18"/>
        </w:rPr>
        <w:t xml:space="preserve">Drs. </w:t>
      </w:r>
      <w:r w:rsidR="001A065D">
        <w:rPr>
          <w:rFonts w:ascii="Verdana" w:hAnsi="Verdana"/>
          <w:sz w:val="18"/>
          <w:szCs w:val="18"/>
        </w:rPr>
        <w:t>Tineke</w:t>
      </w:r>
      <w:r>
        <w:rPr>
          <w:rFonts w:ascii="Verdana" w:hAnsi="Verdana"/>
          <w:sz w:val="18"/>
          <w:szCs w:val="18"/>
        </w:rPr>
        <w:t xml:space="preserve"> (C.)</w:t>
      </w:r>
      <w:r w:rsidR="001A065D">
        <w:rPr>
          <w:rFonts w:ascii="Verdana" w:hAnsi="Verdana"/>
          <w:sz w:val="18"/>
          <w:szCs w:val="18"/>
        </w:rPr>
        <w:t xml:space="preserve"> van Sprundel, Actiz</w:t>
      </w:r>
    </w:p>
    <w:p w:rsidR="000B5892" w:rsidP="00DF453C" w:rsidRDefault="005119FC">
      <w:pPr>
        <w:pStyle w:val="Lijstalinea"/>
        <w:numPr>
          <w:ilvl w:val="0"/>
          <w:numId w:val="27"/>
        </w:numPr>
        <w:ind w:left="284" w:hanging="284"/>
        <w:rPr>
          <w:rFonts w:ascii="Verdana" w:hAnsi="Verdana"/>
          <w:sz w:val="18"/>
          <w:szCs w:val="18"/>
        </w:rPr>
      </w:pPr>
      <w:r w:rsidRPr="002247D4">
        <w:rPr>
          <w:rFonts w:ascii="Verdana" w:hAnsi="Verdana"/>
          <w:sz w:val="18"/>
          <w:szCs w:val="18"/>
          <w:lang w:val="en-GB"/>
        </w:rPr>
        <w:t xml:space="preserve">Drs. </w:t>
      </w:r>
      <w:r w:rsidRPr="002247D4" w:rsidR="000B5892">
        <w:rPr>
          <w:rFonts w:ascii="Verdana" w:hAnsi="Verdana"/>
          <w:sz w:val="18"/>
          <w:szCs w:val="18"/>
          <w:lang w:val="en-GB"/>
        </w:rPr>
        <w:t>Mirjam</w:t>
      </w:r>
      <w:r w:rsidRPr="002247D4">
        <w:rPr>
          <w:rFonts w:ascii="Verdana" w:hAnsi="Verdana"/>
          <w:sz w:val="18"/>
          <w:szCs w:val="18"/>
          <w:lang w:val="en-GB"/>
        </w:rPr>
        <w:t xml:space="preserve"> (M.W.J.)</w:t>
      </w:r>
      <w:r w:rsidRPr="002247D4" w:rsidR="000B5892">
        <w:rPr>
          <w:rFonts w:ascii="Verdana" w:hAnsi="Verdana"/>
          <w:sz w:val="18"/>
          <w:szCs w:val="18"/>
          <w:lang w:val="en-GB"/>
        </w:rPr>
        <w:t xml:space="preserve"> </w:t>
      </w:r>
      <w:r w:rsidR="000B5892">
        <w:rPr>
          <w:rFonts w:ascii="Verdana" w:hAnsi="Verdana"/>
          <w:sz w:val="18"/>
          <w:szCs w:val="18"/>
        </w:rPr>
        <w:t>Maasdam, Zor</w:t>
      </w:r>
      <w:r w:rsidR="00A22479">
        <w:rPr>
          <w:rFonts w:ascii="Verdana" w:hAnsi="Verdana"/>
          <w:sz w:val="18"/>
          <w:szCs w:val="18"/>
        </w:rPr>
        <w:t>g</w:t>
      </w:r>
      <w:r w:rsidR="000B5892">
        <w:rPr>
          <w:rFonts w:ascii="Verdana" w:hAnsi="Verdana"/>
          <w:sz w:val="18"/>
          <w:szCs w:val="18"/>
        </w:rPr>
        <w:t>verzekeraars Nederland</w:t>
      </w:r>
    </w:p>
    <w:p w:rsidR="000B5892" w:rsidP="00DF453C" w:rsidRDefault="005119FC">
      <w:pPr>
        <w:pStyle w:val="Lijstalinea"/>
        <w:numPr>
          <w:ilvl w:val="0"/>
          <w:numId w:val="27"/>
        </w:numPr>
        <w:ind w:left="284" w:hanging="284"/>
        <w:rPr>
          <w:rFonts w:ascii="Verdana" w:hAnsi="Verdana"/>
          <w:sz w:val="18"/>
          <w:szCs w:val="18"/>
          <w:lang w:val="en-US"/>
        </w:rPr>
      </w:pPr>
      <w:r w:rsidRPr="00484C98">
        <w:rPr>
          <w:rFonts w:ascii="Verdana" w:hAnsi="Verdana"/>
          <w:sz w:val="18"/>
          <w:szCs w:val="18"/>
          <w:lang w:val="en-US"/>
        </w:rPr>
        <w:t>Prof. Dr. Fran</w:t>
      </w:r>
      <w:r w:rsidRPr="005119FC">
        <w:rPr>
          <w:rFonts w:ascii="Verdana" w:hAnsi="Verdana"/>
          <w:sz w:val="18"/>
          <w:szCs w:val="18"/>
          <w:lang w:val="fr-FR"/>
        </w:rPr>
        <w:t>ç</w:t>
      </w:r>
      <w:r w:rsidRPr="00484C98" w:rsidR="000B5892">
        <w:rPr>
          <w:rFonts w:ascii="Verdana" w:hAnsi="Verdana"/>
          <w:sz w:val="18"/>
          <w:szCs w:val="18"/>
          <w:lang w:val="en-US"/>
        </w:rPr>
        <w:t>ois</w:t>
      </w:r>
      <w:r w:rsidRPr="00484C98">
        <w:rPr>
          <w:rFonts w:ascii="Verdana" w:hAnsi="Verdana"/>
          <w:sz w:val="18"/>
          <w:szCs w:val="18"/>
          <w:lang w:val="en-US"/>
        </w:rPr>
        <w:t xml:space="preserve"> (F.G.) </w:t>
      </w:r>
      <w:r w:rsidRPr="004E7874" w:rsidR="000B5892">
        <w:rPr>
          <w:rFonts w:ascii="Verdana" w:hAnsi="Verdana"/>
          <w:sz w:val="18"/>
          <w:szCs w:val="18"/>
        </w:rPr>
        <w:t>Schelle</w:t>
      </w:r>
      <w:r w:rsidRPr="005119FC" w:rsidR="000B5892">
        <w:rPr>
          <w:rFonts w:ascii="Verdana" w:hAnsi="Verdana"/>
          <w:sz w:val="18"/>
          <w:szCs w:val="18"/>
          <w:lang w:val="en-US"/>
        </w:rPr>
        <w:t>vis, Nivel</w:t>
      </w:r>
    </w:p>
    <w:p w:rsidRPr="005119FC" w:rsidR="001342C6" w:rsidP="00DF453C" w:rsidRDefault="001342C6">
      <w:pPr>
        <w:pStyle w:val="Lijstalinea"/>
        <w:numPr>
          <w:ilvl w:val="0"/>
          <w:numId w:val="27"/>
        </w:numPr>
        <w:ind w:left="284" w:hanging="284"/>
        <w:rPr>
          <w:rFonts w:ascii="Verdana" w:hAnsi="Verdana"/>
          <w:sz w:val="18"/>
          <w:szCs w:val="18"/>
          <w:lang w:val="en-US"/>
        </w:rPr>
      </w:pPr>
      <w:r>
        <w:rPr>
          <w:rFonts w:ascii="Verdana" w:hAnsi="Verdana"/>
          <w:sz w:val="18"/>
          <w:szCs w:val="18"/>
          <w:lang w:val="en-US"/>
        </w:rPr>
        <w:t>Dr. Madelon</w:t>
      </w:r>
      <w:r w:rsidR="00825CD7">
        <w:rPr>
          <w:rFonts w:ascii="Verdana" w:hAnsi="Verdana"/>
          <w:sz w:val="18"/>
          <w:szCs w:val="18"/>
          <w:lang w:val="en-US"/>
        </w:rPr>
        <w:t xml:space="preserve"> (M.C.G.)</w:t>
      </w:r>
      <w:r>
        <w:rPr>
          <w:rFonts w:ascii="Verdana" w:hAnsi="Verdana"/>
          <w:sz w:val="18"/>
          <w:szCs w:val="18"/>
          <w:lang w:val="en-US"/>
        </w:rPr>
        <w:t xml:space="preserve"> Pijls-Johannesma, CZ</w:t>
      </w:r>
    </w:p>
    <w:p w:rsidRPr="005119FC" w:rsidR="000B5892" w:rsidP="0016573E" w:rsidRDefault="000B5892">
      <w:pPr>
        <w:pStyle w:val="Lijstalinea"/>
        <w:ind w:left="0"/>
        <w:rPr>
          <w:rFonts w:ascii="Verdana" w:hAnsi="Verdana"/>
          <w:sz w:val="18"/>
          <w:szCs w:val="18"/>
          <w:lang w:val="en-US"/>
        </w:rPr>
      </w:pPr>
    </w:p>
    <w:p w:rsidRPr="00825CD7" w:rsidR="000B5892" w:rsidP="0016573E" w:rsidRDefault="000B5892">
      <w:pPr>
        <w:pStyle w:val="Lijstalinea"/>
        <w:ind w:left="0"/>
        <w:rPr>
          <w:rFonts w:ascii="Verdana" w:hAnsi="Verdana"/>
          <w:b/>
          <w:sz w:val="18"/>
          <w:szCs w:val="18"/>
          <w:lang w:val="en-US"/>
        </w:rPr>
      </w:pPr>
      <w:r w:rsidRPr="00825CD7">
        <w:rPr>
          <w:rFonts w:ascii="Verdana" w:hAnsi="Verdana"/>
          <w:b/>
          <w:sz w:val="18"/>
          <w:szCs w:val="18"/>
          <w:lang w:val="en-US"/>
        </w:rPr>
        <w:t>Hoogleraren</w:t>
      </w:r>
    </w:p>
    <w:p w:rsidRPr="00CA1F74" w:rsidR="000B5892" w:rsidP="00DF453C" w:rsidRDefault="000B5892">
      <w:pPr>
        <w:pStyle w:val="Lijstalinea"/>
        <w:numPr>
          <w:ilvl w:val="0"/>
          <w:numId w:val="27"/>
        </w:numPr>
        <w:ind w:left="284" w:hanging="284"/>
        <w:rPr>
          <w:rFonts w:ascii="Verdana" w:hAnsi="Verdana"/>
          <w:sz w:val="18"/>
          <w:szCs w:val="18"/>
          <w:lang w:val="es-ES_tradnl"/>
        </w:rPr>
      </w:pPr>
      <w:r w:rsidRPr="00CA1F74">
        <w:rPr>
          <w:rFonts w:ascii="Verdana" w:hAnsi="Verdana"/>
          <w:sz w:val="18"/>
          <w:szCs w:val="18"/>
          <w:lang w:val="es-ES_tradnl"/>
        </w:rPr>
        <w:t>Prof.</w:t>
      </w:r>
      <w:r w:rsidR="00FE661F">
        <w:rPr>
          <w:rFonts w:ascii="Verdana" w:hAnsi="Verdana"/>
          <w:sz w:val="18"/>
          <w:szCs w:val="18"/>
          <w:lang w:val="es-ES_tradnl"/>
        </w:rPr>
        <w:t xml:space="preserve"> </w:t>
      </w:r>
      <w:r w:rsidRPr="00CA1F74" w:rsidR="00DB619C">
        <w:rPr>
          <w:rFonts w:ascii="Verdana" w:hAnsi="Verdana"/>
          <w:sz w:val="18"/>
          <w:szCs w:val="18"/>
          <w:lang w:val="es-ES_tradnl"/>
        </w:rPr>
        <w:t xml:space="preserve">Ir. </w:t>
      </w:r>
      <w:r w:rsidRPr="00CA1F74">
        <w:rPr>
          <w:rFonts w:ascii="Verdana" w:hAnsi="Verdana"/>
          <w:sz w:val="18"/>
          <w:szCs w:val="18"/>
          <w:lang w:val="es-ES_tradnl"/>
        </w:rPr>
        <w:t>Fred</w:t>
      </w:r>
      <w:r w:rsidRPr="00CA1F74" w:rsidR="00DB619C">
        <w:rPr>
          <w:rFonts w:ascii="Verdana" w:hAnsi="Verdana"/>
          <w:sz w:val="18"/>
          <w:szCs w:val="18"/>
          <w:lang w:val="es-ES_tradnl"/>
        </w:rPr>
        <w:t xml:space="preserve"> (F.C.M.) W</w:t>
      </w:r>
      <w:r w:rsidRPr="00CA1F74">
        <w:rPr>
          <w:rFonts w:ascii="Verdana" w:hAnsi="Verdana"/>
          <w:sz w:val="18"/>
          <w:szCs w:val="18"/>
          <w:lang w:val="es-ES_tradnl"/>
        </w:rPr>
        <w:t>egman,</w:t>
      </w:r>
      <w:r w:rsidRPr="00CA1F74" w:rsidR="00DB619C">
        <w:rPr>
          <w:rFonts w:ascii="Verdana" w:hAnsi="Verdana"/>
          <w:sz w:val="18"/>
          <w:szCs w:val="18"/>
          <w:lang w:val="es-ES_tradnl"/>
        </w:rPr>
        <w:t xml:space="preserve"> TU Delft, SWOV</w:t>
      </w:r>
      <w:r w:rsidRPr="00CA1F74">
        <w:rPr>
          <w:rFonts w:ascii="Verdana" w:hAnsi="Verdana"/>
          <w:sz w:val="18"/>
          <w:szCs w:val="18"/>
          <w:lang w:val="es-ES_tradnl"/>
        </w:rPr>
        <w:t xml:space="preserve"> </w:t>
      </w:r>
    </w:p>
    <w:p w:rsidRPr="000C3369" w:rsidR="000B5892" w:rsidP="00DF453C" w:rsidRDefault="00DB619C">
      <w:pPr>
        <w:pStyle w:val="Lijstalinea"/>
        <w:numPr>
          <w:ilvl w:val="0"/>
          <w:numId w:val="27"/>
        </w:numPr>
        <w:ind w:left="284" w:hanging="284"/>
        <w:rPr>
          <w:rFonts w:ascii="Verdana" w:hAnsi="Verdana"/>
          <w:sz w:val="18"/>
          <w:szCs w:val="18"/>
        </w:rPr>
      </w:pPr>
      <w:r w:rsidRPr="002247D4">
        <w:rPr>
          <w:rFonts w:ascii="Verdana" w:hAnsi="Verdana"/>
          <w:sz w:val="18"/>
          <w:szCs w:val="18"/>
          <w:lang w:val="en-GB"/>
        </w:rPr>
        <w:t xml:space="preserve">Prof. Dr. Ir. Paulien (P.M.) </w:t>
      </w:r>
      <w:r w:rsidRPr="000C3369" w:rsidR="000B5892">
        <w:rPr>
          <w:rFonts w:ascii="Verdana" w:hAnsi="Verdana"/>
          <w:sz w:val="18"/>
          <w:szCs w:val="18"/>
        </w:rPr>
        <w:t>Bongers,</w:t>
      </w:r>
      <w:r w:rsidRPr="000C3369">
        <w:rPr>
          <w:rFonts w:ascii="Verdana" w:hAnsi="Verdana"/>
          <w:sz w:val="18"/>
          <w:szCs w:val="18"/>
        </w:rPr>
        <w:t xml:space="preserve"> VUmc Amsterdam, TNO </w:t>
      </w:r>
    </w:p>
    <w:p w:rsidRPr="00DB619C" w:rsidR="000B5892" w:rsidP="00DF453C" w:rsidRDefault="00DB619C">
      <w:pPr>
        <w:pStyle w:val="Lijstalinea"/>
        <w:numPr>
          <w:ilvl w:val="0"/>
          <w:numId w:val="27"/>
        </w:numPr>
        <w:ind w:left="284" w:hanging="284"/>
        <w:rPr>
          <w:rFonts w:ascii="Verdana" w:hAnsi="Verdana"/>
          <w:sz w:val="18"/>
          <w:szCs w:val="18"/>
        </w:rPr>
      </w:pPr>
      <w:r w:rsidRPr="00484C98">
        <w:rPr>
          <w:rFonts w:ascii="Verdana" w:hAnsi="Verdana"/>
          <w:sz w:val="18"/>
          <w:szCs w:val="18"/>
        </w:rPr>
        <w:t>Prof. D</w:t>
      </w:r>
      <w:r w:rsidRPr="00DB619C">
        <w:rPr>
          <w:rFonts w:ascii="Verdana" w:hAnsi="Verdana"/>
          <w:sz w:val="18"/>
          <w:szCs w:val="18"/>
        </w:rPr>
        <w:t>r. Frank (F.J.G.) Backx, UMC Utrecht</w:t>
      </w:r>
    </w:p>
    <w:p w:rsidR="00DB619C" w:rsidP="00DF453C" w:rsidRDefault="00DB619C">
      <w:pPr>
        <w:pStyle w:val="Lijstalinea"/>
        <w:numPr>
          <w:ilvl w:val="0"/>
          <w:numId w:val="27"/>
        </w:numPr>
        <w:ind w:left="284" w:hanging="284"/>
        <w:rPr>
          <w:rFonts w:ascii="Verdana" w:hAnsi="Verdana"/>
          <w:sz w:val="18"/>
          <w:szCs w:val="18"/>
        </w:rPr>
      </w:pPr>
      <w:r w:rsidRPr="00BF45E6">
        <w:rPr>
          <w:rFonts w:ascii="Verdana" w:hAnsi="Verdana"/>
          <w:sz w:val="18"/>
          <w:szCs w:val="18"/>
          <w:lang w:val="en-US"/>
        </w:rPr>
        <w:t xml:space="preserve">Prof. Dr. Menno </w:t>
      </w:r>
      <w:r w:rsidRPr="00DB619C">
        <w:rPr>
          <w:rFonts w:ascii="Verdana" w:hAnsi="Verdana"/>
          <w:sz w:val="18"/>
          <w:szCs w:val="18"/>
          <w:lang w:val="en-US"/>
        </w:rPr>
        <w:t>(S.A</w:t>
      </w:r>
      <w:r w:rsidRPr="00BF45E6">
        <w:rPr>
          <w:rFonts w:ascii="Verdana" w:hAnsi="Verdana"/>
          <w:sz w:val="18"/>
          <w:szCs w:val="18"/>
          <w:lang w:val="en-US"/>
        </w:rPr>
        <w:t xml:space="preserve">.) </w:t>
      </w:r>
      <w:r>
        <w:rPr>
          <w:rFonts w:ascii="Verdana" w:hAnsi="Verdana"/>
          <w:sz w:val="18"/>
          <w:szCs w:val="18"/>
        </w:rPr>
        <w:t>Reijneveld, UMC Groningen</w:t>
      </w:r>
    </w:p>
    <w:p w:rsidR="00DB619C" w:rsidP="00DF453C" w:rsidRDefault="00DB619C">
      <w:pPr>
        <w:pStyle w:val="Lijstalinea"/>
        <w:numPr>
          <w:ilvl w:val="0"/>
          <w:numId w:val="27"/>
        </w:numPr>
        <w:ind w:left="284" w:hanging="284"/>
        <w:rPr>
          <w:rFonts w:ascii="Verdana" w:hAnsi="Verdana"/>
          <w:sz w:val="18"/>
          <w:szCs w:val="18"/>
        </w:rPr>
      </w:pPr>
      <w:r>
        <w:rPr>
          <w:rFonts w:ascii="Verdana" w:hAnsi="Verdana"/>
          <w:sz w:val="18"/>
          <w:szCs w:val="18"/>
        </w:rPr>
        <w:t>Prof. Dr. Willem (W</w:t>
      </w:r>
      <w:r w:rsidR="0047580A">
        <w:rPr>
          <w:rFonts w:ascii="Verdana" w:hAnsi="Verdana"/>
          <w:sz w:val="18"/>
          <w:szCs w:val="18"/>
        </w:rPr>
        <w:t>.</w:t>
      </w:r>
      <w:r>
        <w:rPr>
          <w:rFonts w:ascii="Verdana" w:hAnsi="Verdana"/>
          <w:sz w:val="18"/>
          <w:szCs w:val="18"/>
        </w:rPr>
        <w:t>) van Mechelen, VUmc Amsterdam</w:t>
      </w:r>
    </w:p>
    <w:p w:rsidR="00DB619C" w:rsidP="00DF453C" w:rsidRDefault="00A22479">
      <w:pPr>
        <w:pStyle w:val="Lijstalinea"/>
        <w:numPr>
          <w:ilvl w:val="0"/>
          <w:numId w:val="27"/>
        </w:numPr>
        <w:ind w:left="284" w:hanging="284"/>
        <w:rPr>
          <w:rFonts w:ascii="Verdana" w:hAnsi="Verdana"/>
          <w:sz w:val="18"/>
          <w:szCs w:val="18"/>
        </w:rPr>
      </w:pPr>
      <w:r>
        <w:rPr>
          <w:rFonts w:ascii="Verdana" w:hAnsi="Verdana"/>
          <w:sz w:val="18"/>
          <w:szCs w:val="18"/>
        </w:rPr>
        <w:t>Mirjam</w:t>
      </w:r>
      <w:r w:rsidR="0023664B">
        <w:rPr>
          <w:rFonts w:ascii="Verdana" w:hAnsi="Verdana"/>
          <w:sz w:val="18"/>
          <w:szCs w:val="18"/>
        </w:rPr>
        <w:t xml:space="preserve"> (M.E.J.)</w:t>
      </w:r>
      <w:r>
        <w:rPr>
          <w:rFonts w:ascii="Verdana" w:hAnsi="Verdana"/>
          <w:sz w:val="18"/>
          <w:szCs w:val="18"/>
        </w:rPr>
        <w:t xml:space="preserve"> van Beelen,</w:t>
      </w:r>
      <w:r w:rsidR="0023664B">
        <w:rPr>
          <w:rFonts w:ascii="Verdana" w:hAnsi="Verdana"/>
          <w:sz w:val="18"/>
          <w:szCs w:val="18"/>
        </w:rPr>
        <w:t xml:space="preserve"> MSc,</w:t>
      </w:r>
      <w:r>
        <w:rPr>
          <w:rFonts w:ascii="Verdana" w:hAnsi="Verdana"/>
          <w:sz w:val="18"/>
          <w:szCs w:val="18"/>
        </w:rPr>
        <w:t xml:space="preserve"> Erasmus</w:t>
      </w:r>
      <w:r w:rsidR="0023664B">
        <w:rPr>
          <w:rFonts w:ascii="Verdana" w:hAnsi="Verdana"/>
          <w:sz w:val="18"/>
          <w:szCs w:val="18"/>
        </w:rPr>
        <w:t xml:space="preserve"> </w:t>
      </w:r>
      <w:r>
        <w:rPr>
          <w:rFonts w:ascii="Verdana" w:hAnsi="Verdana"/>
          <w:sz w:val="18"/>
          <w:szCs w:val="18"/>
        </w:rPr>
        <w:t>M</w:t>
      </w:r>
      <w:r w:rsidR="0023664B">
        <w:rPr>
          <w:rFonts w:ascii="Verdana" w:hAnsi="Verdana"/>
          <w:sz w:val="18"/>
          <w:szCs w:val="18"/>
        </w:rPr>
        <w:t xml:space="preserve">edisch </w:t>
      </w:r>
      <w:r>
        <w:rPr>
          <w:rFonts w:ascii="Verdana" w:hAnsi="Verdana"/>
          <w:sz w:val="18"/>
          <w:szCs w:val="18"/>
        </w:rPr>
        <w:t>C</w:t>
      </w:r>
      <w:r w:rsidR="0023664B">
        <w:rPr>
          <w:rFonts w:ascii="Verdana" w:hAnsi="Verdana"/>
          <w:sz w:val="18"/>
          <w:szCs w:val="18"/>
        </w:rPr>
        <w:t>entrum</w:t>
      </w:r>
      <w:r>
        <w:rPr>
          <w:rFonts w:ascii="Verdana" w:hAnsi="Verdana"/>
          <w:sz w:val="18"/>
          <w:szCs w:val="18"/>
        </w:rPr>
        <w:t xml:space="preserve"> Rotterdam</w:t>
      </w:r>
    </w:p>
    <w:p w:rsidRPr="00A22479" w:rsidR="00A22479" w:rsidP="0016573E" w:rsidRDefault="00A22479">
      <w:pPr>
        <w:rPr>
          <w:b/>
          <w:szCs w:val="18"/>
        </w:rPr>
      </w:pPr>
      <w:r>
        <w:rPr>
          <w:b/>
          <w:szCs w:val="18"/>
        </w:rPr>
        <w:t>Gemeenten</w:t>
      </w:r>
    </w:p>
    <w:p w:rsidRPr="00732815" w:rsidR="00105035" w:rsidP="00DF453C" w:rsidRDefault="001342C6">
      <w:pPr>
        <w:pStyle w:val="Lijstalinea"/>
        <w:numPr>
          <w:ilvl w:val="0"/>
          <w:numId w:val="35"/>
        </w:numPr>
        <w:spacing w:line="240" w:lineRule="exact"/>
        <w:ind w:left="284" w:hanging="284"/>
        <w:rPr>
          <w:rFonts w:ascii="Verdana" w:hAnsi="Verdana"/>
          <w:sz w:val="18"/>
          <w:szCs w:val="18"/>
        </w:rPr>
      </w:pPr>
      <w:r w:rsidRPr="00732815">
        <w:rPr>
          <w:rFonts w:ascii="Verdana" w:hAnsi="Verdana"/>
          <w:sz w:val="18"/>
          <w:szCs w:val="18"/>
        </w:rPr>
        <w:t>Gemeente Breda</w:t>
      </w:r>
    </w:p>
    <w:p w:rsidRPr="00732815" w:rsidR="001342C6" w:rsidP="00DF453C" w:rsidRDefault="001342C6">
      <w:pPr>
        <w:pStyle w:val="Lijstalinea"/>
        <w:numPr>
          <w:ilvl w:val="0"/>
          <w:numId w:val="35"/>
        </w:numPr>
        <w:spacing w:line="240" w:lineRule="exact"/>
        <w:ind w:left="284" w:hanging="284"/>
        <w:rPr>
          <w:rFonts w:ascii="Verdana" w:hAnsi="Verdana"/>
          <w:sz w:val="18"/>
          <w:szCs w:val="18"/>
        </w:rPr>
      </w:pPr>
      <w:r w:rsidRPr="00732815">
        <w:rPr>
          <w:rFonts w:ascii="Verdana" w:hAnsi="Verdana"/>
          <w:sz w:val="18"/>
          <w:szCs w:val="18"/>
        </w:rPr>
        <w:t>Gemeente Edam-Volendam</w:t>
      </w:r>
    </w:p>
    <w:p w:rsidRPr="00732815" w:rsidR="001342C6" w:rsidP="00DF453C" w:rsidRDefault="001342C6">
      <w:pPr>
        <w:pStyle w:val="Lijstalinea"/>
        <w:numPr>
          <w:ilvl w:val="0"/>
          <w:numId w:val="35"/>
        </w:numPr>
        <w:spacing w:line="240" w:lineRule="exact"/>
        <w:ind w:left="284" w:hanging="284"/>
        <w:rPr>
          <w:rFonts w:ascii="Verdana" w:hAnsi="Verdana"/>
          <w:sz w:val="18"/>
          <w:szCs w:val="18"/>
        </w:rPr>
      </w:pPr>
      <w:r w:rsidRPr="00732815">
        <w:rPr>
          <w:rFonts w:ascii="Verdana" w:hAnsi="Verdana"/>
          <w:sz w:val="18"/>
          <w:szCs w:val="18"/>
        </w:rPr>
        <w:t>Gemeente Westland</w:t>
      </w:r>
    </w:p>
    <w:p w:rsidRPr="00732815" w:rsidR="001342C6" w:rsidP="00DF453C" w:rsidRDefault="001342C6">
      <w:pPr>
        <w:pStyle w:val="Lijstalinea"/>
        <w:numPr>
          <w:ilvl w:val="0"/>
          <w:numId w:val="35"/>
        </w:numPr>
        <w:spacing w:line="240" w:lineRule="exact"/>
        <w:ind w:left="284" w:hanging="284"/>
        <w:rPr>
          <w:rFonts w:ascii="Verdana" w:hAnsi="Verdana"/>
          <w:sz w:val="18"/>
          <w:szCs w:val="18"/>
        </w:rPr>
      </w:pPr>
      <w:r w:rsidRPr="00732815">
        <w:rPr>
          <w:rFonts w:ascii="Verdana" w:hAnsi="Verdana"/>
          <w:sz w:val="18"/>
          <w:szCs w:val="18"/>
        </w:rPr>
        <w:t>Gemeente Terneuzen</w:t>
      </w:r>
    </w:p>
    <w:p w:rsidRPr="00732815" w:rsidR="001342C6" w:rsidP="00DF453C" w:rsidRDefault="001342C6">
      <w:pPr>
        <w:pStyle w:val="Lijstalinea"/>
        <w:numPr>
          <w:ilvl w:val="0"/>
          <w:numId w:val="35"/>
        </w:numPr>
        <w:spacing w:line="240" w:lineRule="exact"/>
        <w:ind w:left="284" w:hanging="284"/>
        <w:rPr>
          <w:rFonts w:ascii="Verdana" w:hAnsi="Verdana"/>
          <w:sz w:val="18"/>
          <w:szCs w:val="18"/>
        </w:rPr>
      </w:pPr>
      <w:r w:rsidRPr="00732815">
        <w:rPr>
          <w:rFonts w:ascii="Verdana" w:hAnsi="Verdana"/>
          <w:sz w:val="18"/>
          <w:szCs w:val="18"/>
        </w:rPr>
        <w:t>Gemeente Losser</w:t>
      </w:r>
    </w:p>
    <w:p w:rsidRPr="00732815" w:rsidR="001342C6" w:rsidP="00DF453C" w:rsidRDefault="001342C6">
      <w:pPr>
        <w:pStyle w:val="Lijstalinea"/>
        <w:numPr>
          <w:ilvl w:val="0"/>
          <w:numId w:val="35"/>
        </w:numPr>
        <w:spacing w:line="240" w:lineRule="exact"/>
        <w:ind w:left="284" w:hanging="284"/>
        <w:rPr>
          <w:rFonts w:ascii="Verdana" w:hAnsi="Verdana"/>
          <w:sz w:val="18"/>
          <w:szCs w:val="18"/>
        </w:rPr>
      </w:pPr>
      <w:r w:rsidRPr="00732815">
        <w:rPr>
          <w:rFonts w:ascii="Verdana" w:hAnsi="Verdana"/>
          <w:sz w:val="18"/>
          <w:szCs w:val="18"/>
        </w:rPr>
        <w:t>Gemeente Bunnik</w:t>
      </w:r>
    </w:p>
    <w:p w:rsidRPr="00732815" w:rsidR="001342C6" w:rsidP="00DF453C" w:rsidRDefault="001342C6">
      <w:pPr>
        <w:pStyle w:val="Lijstalinea"/>
        <w:numPr>
          <w:ilvl w:val="0"/>
          <w:numId w:val="35"/>
        </w:numPr>
        <w:spacing w:line="240" w:lineRule="exact"/>
        <w:ind w:left="284" w:hanging="284"/>
        <w:rPr>
          <w:rFonts w:ascii="Verdana" w:hAnsi="Verdana"/>
          <w:sz w:val="18"/>
          <w:szCs w:val="18"/>
        </w:rPr>
      </w:pPr>
      <w:r w:rsidRPr="00732815">
        <w:rPr>
          <w:rFonts w:ascii="Verdana" w:hAnsi="Verdana"/>
          <w:sz w:val="18"/>
          <w:szCs w:val="18"/>
        </w:rPr>
        <w:t>Gemeente Meerssen</w:t>
      </w:r>
    </w:p>
    <w:p w:rsidR="00D918E9" w:rsidP="0016573E" w:rsidRDefault="00D918E9">
      <w:pPr>
        <w:spacing w:line="240" w:lineRule="auto"/>
        <w:rPr>
          <w:sz w:val="24"/>
        </w:rPr>
      </w:pPr>
      <w:r>
        <w:br w:type="page"/>
      </w:r>
    </w:p>
    <w:p w:rsidRPr="003D4369" w:rsidR="003D4369" w:rsidP="0016573E" w:rsidRDefault="003D4369">
      <w:pPr>
        <w:pStyle w:val="Huisstijl-Kop1"/>
        <w:numPr>
          <w:ilvl w:val="0"/>
          <w:numId w:val="0"/>
        </w:numPr>
      </w:pPr>
      <w:bookmarkStart w:name="_Toc351626689" w:id="40"/>
      <w:r>
        <w:t>Bijlage 3</w:t>
      </w:r>
      <w:r w:rsidR="00D918E9">
        <w:t>: specifieke informatie realisatie beleidsbrief 2008 - 2012</w:t>
      </w:r>
      <w:bookmarkEnd w:id="40"/>
    </w:p>
    <w:p w:rsidR="007C14DB" w:rsidP="0016573E" w:rsidRDefault="007C14DB">
      <w:pPr>
        <w:rPr>
          <w:b/>
        </w:rPr>
      </w:pPr>
      <w:r>
        <w:rPr>
          <w:b/>
        </w:rPr>
        <w:t xml:space="preserve">Tabel </w:t>
      </w:r>
      <w:r w:rsidR="00F024E3">
        <w:rPr>
          <w:b/>
        </w:rPr>
        <w:t>4</w:t>
      </w:r>
      <w:r>
        <w:rPr>
          <w:b/>
        </w:rPr>
        <w:t xml:space="preserve"> Overzicht van voornemens beleidsbrief en </w:t>
      </w:r>
      <w:r w:rsidR="00914C4D">
        <w:rPr>
          <w:b/>
        </w:rPr>
        <w:t>stand van zaken</w:t>
      </w:r>
    </w:p>
    <w:tbl>
      <w:tblPr>
        <w:tblStyle w:val="Tabelraster"/>
        <w:tblW w:w="9073" w:type="dxa"/>
        <w:tblInd w:w="-601" w:type="dxa"/>
        <w:tblLayout w:type="fixed"/>
        <w:tblLook w:val="04A0"/>
      </w:tblPr>
      <w:tblGrid>
        <w:gridCol w:w="3970"/>
        <w:gridCol w:w="1560"/>
        <w:gridCol w:w="3543"/>
      </w:tblGrid>
      <w:tr w:rsidR="00914C4D" w:rsidTr="00F73A0A">
        <w:tc>
          <w:tcPr>
            <w:tcW w:w="3970" w:type="dxa"/>
          </w:tcPr>
          <w:p w:rsidR="00914C4D" w:rsidP="0016573E" w:rsidRDefault="00914C4D">
            <w:pPr>
              <w:rPr>
                <w:b/>
              </w:rPr>
            </w:pPr>
            <w:r>
              <w:rPr>
                <w:b/>
              </w:rPr>
              <w:t>Voornemen</w:t>
            </w:r>
          </w:p>
        </w:tc>
        <w:tc>
          <w:tcPr>
            <w:tcW w:w="1560" w:type="dxa"/>
          </w:tcPr>
          <w:p w:rsidR="00914C4D" w:rsidP="0016573E" w:rsidRDefault="00914C4D">
            <w:pPr>
              <w:rPr>
                <w:b/>
              </w:rPr>
            </w:pPr>
            <w:r>
              <w:rPr>
                <w:b/>
              </w:rPr>
              <w:t>Uitvoering</w:t>
            </w:r>
          </w:p>
        </w:tc>
        <w:tc>
          <w:tcPr>
            <w:tcW w:w="3543" w:type="dxa"/>
          </w:tcPr>
          <w:p w:rsidR="00914C4D" w:rsidP="0016573E" w:rsidRDefault="00914C4D">
            <w:pPr>
              <w:rPr>
                <w:b/>
              </w:rPr>
            </w:pPr>
            <w:r>
              <w:rPr>
                <w:b/>
              </w:rPr>
              <w:t>Toelichting</w:t>
            </w:r>
          </w:p>
        </w:tc>
      </w:tr>
      <w:tr w:rsidR="00914C4D" w:rsidTr="00F73A0A">
        <w:tc>
          <w:tcPr>
            <w:tcW w:w="3970" w:type="dxa"/>
          </w:tcPr>
          <w:p w:rsidR="00914C4D" w:rsidP="0016573E" w:rsidRDefault="00914C4D">
            <w:pPr>
              <w:rPr>
                <w:color w:val="000000"/>
                <w:szCs w:val="18"/>
              </w:rPr>
            </w:pPr>
            <w:r>
              <w:rPr>
                <w:color w:val="000000"/>
                <w:szCs w:val="18"/>
              </w:rPr>
              <w:t>Overwegen om letselpreventie in de volgende preventienota te prioriteren, omdat het om een groot en soms onderschat volksgezondheidprobleem gaat met evenwel veel vermijdbare ziektelast en andere schade.</w:t>
            </w:r>
          </w:p>
        </w:tc>
        <w:tc>
          <w:tcPr>
            <w:tcW w:w="1560" w:type="dxa"/>
          </w:tcPr>
          <w:p w:rsidRPr="007C14DB" w:rsidR="00914C4D" w:rsidP="0016573E" w:rsidRDefault="00852818">
            <w:r>
              <w:t>Ja</w:t>
            </w:r>
          </w:p>
        </w:tc>
        <w:tc>
          <w:tcPr>
            <w:tcW w:w="3543" w:type="dxa"/>
          </w:tcPr>
          <w:p w:rsidRPr="007C14DB" w:rsidR="00914C4D" w:rsidP="0016573E" w:rsidRDefault="00852818">
            <w:r>
              <w:t xml:space="preserve">Besloten is om letselpreventie niet als apart speerpunt te benoemen, maar er zijn wel diverse </w:t>
            </w:r>
            <w:r w:rsidR="00CB071B">
              <w:t>onderdelen van</w:t>
            </w:r>
            <w:r>
              <w:t xml:space="preserve"> letselpreventie</w:t>
            </w:r>
            <w:r w:rsidR="00CB071B">
              <w:t xml:space="preserve"> benoemd</w:t>
            </w:r>
            <w:r>
              <w:t>.</w:t>
            </w:r>
          </w:p>
        </w:tc>
      </w:tr>
      <w:tr w:rsidR="00DB1778" w:rsidTr="00F73A0A">
        <w:tc>
          <w:tcPr>
            <w:tcW w:w="3970" w:type="dxa"/>
          </w:tcPr>
          <w:p w:rsidR="00DB1778" w:rsidP="0016573E" w:rsidRDefault="00DB1778">
            <w:pPr>
              <w:rPr>
                <w:color w:val="000000"/>
                <w:szCs w:val="18"/>
              </w:rPr>
            </w:pPr>
            <w:r>
              <w:rPr>
                <w:color w:val="000000"/>
                <w:szCs w:val="18"/>
              </w:rPr>
              <w:t>Gegevensverzameling door middel van LIS en OBiN continueren, als basis voor het preventiebeleid.</w:t>
            </w:r>
          </w:p>
        </w:tc>
        <w:tc>
          <w:tcPr>
            <w:tcW w:w="1560" w:type="dxa"/>
          </w:tcPr>
          <w:p w:rsidR="00DB1778" w:rsidP="0016573E" w:rsidRDefault="00DB1778">
            <w:r>
              <w:t>Ja</w:t>
            </w:r>
          </w:p>
        </w:tc>
        <w:tc>
          <w:tcPr>
            <w:tcW w:w="3543" w:type="dxa"/>
          </w:tcPr>
          <w:p w:rsidRPr="007C14DB" w:rsidR="00DB1778" w:rsidP="0016573E" w:rsidRDefault="00A01019">
            <w:r>
              <w:t>LIS en OBiN zijn gecontinueerd.</w:t>
            </w:r>
          </w:p>
        </w:tc>
      </w:tr>
      <w:tr w:rsidR="00DB1778" w:rsidTr="00F73A0A">
        <w:tc>
          <w:tcPr>
            <w:tcW w:w="3970" w:type="dxa"/>
          </w:tcPr>
          <w:p w:rsidR="00DB1778" w:rsidP="0016573E" w:rsidRDefault="00DB1778">
            <w:pPr>
              <w:rPr>
                <w:color w:val="000000"/>
                <w:szCs w:val="18"/>
              </w:rPr>
            </w:pPr>
            <w:r>
              <w:rPr>
                <w:color w:val="000000"/>
                <w:szCs w:val="18"/>
              </w:rPr>
              <w:t>In overleg met het RIVM treden over verbeterde berekeningen van DALY’s voor geweld en suïcide omdat de ziektelast hiervan onderschat wordt.</w:t>
            </w:r>
          </w:p>
        </w:tc>
        <w:tc>
          <w:tcPr>
            <w:tcW w:w="1560" w:type="dxa"/>
          </w:tcPr>
          <w:p w:rsidR="00DB1778" w:rsidP="0016573E" w:rsidRDefault="00DB1778">
            <w:r>
              <w:t>Deels</w:t>
            </w:r>
          </w:p>
        </w:tc>
        <w:tc>
          <w:tcPr>
            <w:tcW w:w="3543" w:type="dxa"/>
          </w:tcPr>
          <w:p w:rsidRPr="007C14DB" w:rsidR="00DB1778" w:rsidP="0016573E" w:rsidRDefault="00DB1778">
            <w:r>
              <w:t>DALY’s voor suïcide wel, geweld niet.</w:t>
            </w:r>
          </w:p>
        </w:tc>
      </w:tr>
      <w:tr w:rsidR="00DB1778" w:rsidTr="00F73A0A">
        <w:tc>
          <w:tcPr>
            <w:tcW w:w="3970" w:type="dxa"/>
          </w:tcPr>
          <w:p w:rsidR="00DB1778" w:rsidP="0016573E" w:rsidRDefault="00DB1778">
            <w:pPr>
              <w:rPr>
                <w:color w:val="000000"/>
                <w:szCs w:val="18"/>
              </w:rPr>
            </w:pPr>
            <w:r w:rsidRPr="00914C4D">
              <w:rPr>
                <w:color w:val="000000"/>
                <w:szCs w:val="18"/>
              </w:rPr>
              <w:t>Betrokken partijen vragen om LIS en de traumaregistraties beter op elkaar af te stemmen, om hiermee meer inzicht te krijgen op het ontstaan en de gevolgen van ernstige letsels.</w:t>
            </w:r>
          </w:p>
        </w:tc>
        <w:tc>
          <w:tcPr>
            <w:tcW w:w="1560" w:type="dxa"/>
          </w:tcPr>
          <w:p w:rsidR="00DB1778" w:rsidP="0016573E" w:rsidRDefault="00852818">
            <w:r>
              <w:t>Ja</w:t>
            </w:r>
          </w:p>
        </w:tc>
        <w:tc>
          <w:tcPr>
            <w:tcW w:w="3543" w:type="dxa"/>
          </w:tcPr>
          <w:p w:rsidR="00DB1778" w:rsidP="0016573E" w:rsidRDefault="00852818">
            <w:r>
              <w:t>Er zijn wel acties ondernomen, maar LIS en traumaregistraties zijn tot op heden nog niet op elkaar afgestemd, vanwege technische en procedurele bezwaren bij de Landelijke Traumaregistratie.</w:t>
            </w:r>
          </w:p>
        </w:tc>
      </w:tr>
      <w:tr w:rsidR="00852818" w:rsidTr="00F73A0A">
        <w:tc>
          <w:tcPr>
            <w:tcW w:w="3970" w:type="dxa"/>
          </w:tcPr>
          <w:p w:rsidRPr="00914C4D" w:rsidR="00852818" w:rsidP="0016573E" w:rsidRDefault="00852818">
            <w:pPr>
              <w:rPr>
                <w:color w:val="000000"/>
                <w:szCs w:val="18"/>
              </w:rPr>
            </w:pPr>
            <w:r>
              <w:rPr>
                <w:color w:val="000000"/>
                <w:szCs w:val="18"/>
              </w:rPr>
              <w:t>De mogelijkheid laten onderzoeken om letsel door vallen te registreren in de eerstelijnszorg, om meer inzicht te krijgen in de risicofactoren.</w:t>
            </w:r>
          </w:p>
        </w:tc>
        <w:tc>
          <w:tcPr>
            <w:tcW w:w="1560" w:type="dxa"/>
          </w:tcPr>
          <w:p w:rsidR="00852818" w:rsidP="0016573E" w:rsidRDefault="00852818">
            <w:r>
              <w:t>Ja</w:t>
            </w:r>
          </w:p>
        </w:tc>
        <w:tc>
          <w:tcPr>
            <w:tcW w:w="3543" w:type="dxa"/>
          </w:tcPr>
          <w:p w:rsidR="00852818" w:rsidP="0016573E" w:rsidRDefault="0080537D">
            <w:r>
              <w:t>Dit had meegenomen kunnen worden in een nieuwe nationale studie van het NIVEL, maar deze is niet van de grond gekomen vanwege gebrek aan financiering.</w:t>
            </w:r>
          </w:p>
        </w:tc>
      </w:tr>
      <w:tr w:rsidR="00914C4D" w:rsidTr="00F73A0A">
        <w:tc>
          <w:tcPr>
            <w:tcW w:w="3970" w:type="dxa"/>
          </w:tcPr>
          <w:p w:rsidRPr="00546E9D" w:rsidR="00914C4D" w:rsidP="0016573E" w:rsidRDefault="00914C4D">
            <w:pPr>
              <w:rPr>
                <w:color w:val="000000"/>
                <w:szCs w:val="18"/>
              </w:rPr>
            </w:pPr>
            <w:r>
              <w:rPr>
                <w:color w:val="000000"/>
                <w:szCs w:val="18"/>
              </w:rPr>
              <w:t>Aansturen op het evalueren van preventieve maatregelen, in overleg met ZonMw en Stichting Consument en Veiligheid om meer zicht te krijgen op wat werkt en wat niet.</w:t>
            </w:r>
          </w:p>
        </w:tc>
        <w:tc>
          <w:tcPr>
            <w:tcW w:w="1560" w:type="dxa"/>
          </w:tcPr>
          <w:p w:rsidRPr="007C14DB" w:rsidR="00914C4D" w:rsidP="0016573E" w:rsidRDefault="00DB1778">
            <w:r>
              <w:t>Ja</w:t>
            </w:r>
          </w:p>
        </w:tc>
        <w:tc>
          <w:tcPr>
            <w:tcW w:w="3543" w:type="dxa"/>
          </w:tcPr>
          <w:p w:rsidRPr="007C14DB" w:rsidR="00914C4D" w:rsidP="0016573E" w:rsidRDefault="0080537D">
            <w:r>
              <w:t>Accentverlegging heeft plaatsgevonden via rechtstreekse subsidie van VeiligheidNL en tenders van ZonMw.</w:t>
            </w:r>
          </w:p>
        </w:tc>
      </w:tr>
      <w:tr w:rsidR="00914C4D" w:rsidTr="00F73A0A">
        <w:tc>
          <w:tcPr>
            <w:tcW w:w="3970" w:type="dxa"/>
          </w:tcPr>
          <w:p w:rsidRPr="00914C4D" w:rsidR="00914C4D" w:rsidP="0016573E" w:rsidRDefault="00914C4D">
            <w:pPr>
              <w:rPr>
                <w:color w:val="000000"/>
                <w:szCs w:val="18"/>
              </w:rPr>
            </w:pPr>
            <w:r>
              <w:rPr>
                <w:color w:val="000000"/>
                <w:szCs w:val="18"/>
              </w:rPr>
              <w:t>In overleg met o.a. Consument en Veiligheid en andere relevante partijen de mogelijkheden van een academische werkplaats Letselpreventie verkennen om wetenschap en praktijk beter op elkaar te laten aansluiten.</w:t>
            </w:r>
          </w:p>
        </w:tc>
        <w:tc>
          <w:tcPr>
            <w:tcW w:w="1560" w:type="dxa"/>
          </w:tcPr>
          <w:p w:rsidRPr="007C14DB" w:rsidR="00914C4D" w:rsidP="0016573E" w:rsidRDefault="00852818">
            <w:r>
              <w:t>Ja</w:t>
            </w:r>
          </w:p>
        </w:tc>
        <w:tc>
          <w:tcPr>
            <w:tcW w:w="3543" w:type="dxa"/>
          </w:tcPr>
          <w:p w:rsidRPr="007C14DB" w:rsidR="00914C4D" w:rsidP="0016573E" w:rsidRDefault="0080537D">
            <w:r>
              <w:t>Het starten van een extra werkplaats letselpreventie was binnen de bestaande gelden niet mogelijk. Vanuit lokale partijen waren onvoldoende vragen voor het thema letselpreventie.</w:t>
            </w:r>
          </w:p>
        </w:tc>
      </w:tr>
      <w:tr w:rsidR="00914C4D" w:rsidTr="00F73A0A">
        <w:tc>
          <w:tcPr>
            <w:tcW w:w="3970" w:type="dxa"/>
          </w:tcPr>
          <w:p w:rsidRPr="00914C4D" w:rsidR="00914C4D" w:rsidP="0016573E" w:rsidRDefault="00914C4D">
            <w:pPr>
              <w:rPr>
                <w:color w:val="000000"/>
                <w:szCs w:val="18"/>
              </w:rPr>
            </w:pPr>
            <w:r>
              <w:rPr>
                <w:color w:val="000000"/>
                <w:szCs w:val="18"/>
              </w:rPr>
              <w:t>Lokale partijen en overheden via het Centrum Gezond Leven ondersteunen bij het kiezen en implementeren van effectieve interventies.</w:t>
            </w:r>
          </w:p>
        </w:tc>
        <w:tc>
          <w:tcPr>
            <w:tcW w:w="1560" w:type="dxa"/>
          </w:tcPr>
          <w:p w:rsidRPr="007C14DB" w:rsidR="00914C4D" w:rsidP="0016573E" w:rsidRDefault="00DB1778">
            <w:r>
              <w:t>Ja</w:t>
            </w:r>
          </w:p>
        </w:tc>
        <w:tc>
          <w:tcPr>
            <w:tcW w:w="3543" w:type="dxa"/>
          </w:tcPr>
          <w:p w:rsidRPr="007C14DB" w:rsidR="00914C4D" w:rsidP="0016573E" w:rsidRDefault="00682B51">
            <w:r>
              <w:t>Via de I-database op</w:t>
            </w:r>
            <w:r w:rsidR="00A01019">
              <w:t xml:space="preserve"> het loket gezond leven is een overzicht beschikbaar van (effectieve) interventies, waar letselpreventie ook onderdeel van uitmaakt. In 2011 is het thema letse</w:t>
            </w:r>
            <w:r>
              <w:t>l</w:t>
            </w:r>
            <w:r w:rsidR="00A01019">
              <w:t>preventie opgenomen in de Handreiking Gezonde Gemeente.</w:t>
            </w:r>
          </w:p>
        </w:tc>
      </w:tr>
      <w:tr w:rsidR="00914C4D" w:rsidTr="00F73A0A">
        <w:tc>
          <w:tcPr>
            <w:tcW w:w="3970" w:type="dxa"/>
          </w:tcPr>
          <w:p w:rsidRPr="00914C4D" w:rsidR="00914C4D" w:rsidP="0016573E" w:rsidRDefault="00914C4D">
            <w:pPr>
              <w:rPr>
                <w:color w:val="000000"/>
                <w:szCs w:val="18"/>
              </w:rPr>
            </w:pPr>
            <w:r>
              <w:rPr>
                <w:color w:val="000000"/>
                <w:szCs w:val="18"/>
              </w:rPr>
              <w:t>Samenwerken ten aanzien van letselpreventie met andere departementen.</w:t>
            </w:r>
          </w:p>
        </w:tc>
        <w:tc>
          <w:tcPr>
            <w:tcW w:w="1560" w:type="dxa"/>
          </w:tcPr>
          <w:p w:rsidRPr="007C14DB" w:rsidR="00914C4D" w:rsidP="0016573E" w:rsidRDefault="00DB1778">
            <w:r>
              <w:t>Ja</w:t>
            </w:r>
          </w:p>
        </w:tc>
        <w:tc>
          <w:tcPr>
            <w:tcW w:w="3543" w:type="dxa"/>
          </w:tcPr>
          <w:p w:rsidRPr="007C14DB" w:rsidR="00914C4D" w:rsidP="0016573E" w:rsidRDefault="0080537D">
            <w:r>
              <w:t>Er zijn 3 projecten in 3 domeinen; verkeer (I&amp;M), arbeid (SZW) en geweld (V&amp;J) gezamenlijk vormgegeven. Daarnaast heeft samenwerking plaatsgevonden op basis van specifieke behoeften van individuele ministeries.</w:t>
            </w:r>
          </w:p>
        </w:tc>
      </w:tr>
      <w:tr w:rsidR="00914C4D" w:rsidTr="00F73A0A">
        <w:tc>
          <w:tcPr>
            <w:tcW w:w="3970" w:type="dxa"/>
          </w:tcPr>
          <w:p w:rsidRPr="00914C4D" w:rsidR="00914C4D" w:rsidP="0016573E" w:rsidRDefault="00914C4D">
            <w:pPr>
              <w:rPr>
                <w:color w:val="000000"/>
                <w:szCs w:val="18"/>
              </w:rPr>
            </w:pPr>
            <w:r>
              <w:rPr>
                <w:color w:val="000000"/>
                <w:szCs w:val="18"/>
              </w:rPr>
              <w:t>Ketenzorg versterken ten behoeve van valpreventie via ZonMw, om de daarin gelegen kansen voor preventie beter te benutten.</w:t>
            </w:r>
          </w:p>
        </w:tc>
        <w:tc>
          <w:tcPr>
            <w:tcW w:w="1560" w:type="dxa"/>
          </w:tcPr>
          <w:p w:rsidRPr="007C14DB" w:rsidR="00914C4D" w:rsidP="0016573E" w:rsidRDefault="00852818">
            <w:r>
              <w:t>Ja</w:t>
            </w:r>
          </w:p>
        </w:tc>
        <w:tc>
          <w:tcPr>
            <w:tcW w:w="3543" w:type="dxa"/>
          </w:tcPr>
          <w:p w:rsidRPr="007C14DB" w:rsidR="00914C4D" w:rsidP="0016573E" w:rsidRDefault="00A01019">
            <w:r>
              <w:t>Pilot uitgevoerd in twee regio’s, resultaten leidden tot ontwikkeling Valanalyse 65+.</w:t>
            </w:r>
          </w:p>
        </w:tc>
      </w:tr>
      <w:tr w:rsidR="00914C4D" w:rsidTr="00F73A0A">
        <w:tc>
          <w:tcPr>
            <w:tcW w:w="3970" w:type="dxa"/>
          </w:tcPr>
          <w:p w:rsidRPr="00914C4D" w:rsidR="00914C4D" w:rsidP="0016573E" w:rsidRDefault="00DB1778">
            <w:pPr>
              <w:rPr>
                <w:color w:val="000000"/>
                <w:szCs w:val="18"/>
              </w:rPr>
            </w:pPr>
            <w:r>
              <w:rPr>
                <w:color w:val="000000"/>
                <w:szCs w:val="18"/>
              </w:rPr>
              <w:t>Valpreventie agenderen in de lopende verkenning van de preventieve rol van verzekeraars om hun mogelijke rol daarbij optimaal te benutten.</w:t>
            </w:r>
          </w:p>
        </w:tc>
        <w:tc>
          <w:tcPr>
            <w:tcW w:w="1560" w:type="dxa"/>
          </w:tcPr>
          <w:p w:rsidRPr="007C14DB" w:rsidR="00914C4D" w:rsidP="0016573E" w:rsidRDefault="00852818">
            <w:r>
              <w:t>Ja</w:t>
            </w:r>
          </w:p>
        </w:tc>
        <w:tc>
          <w:tcPr>
            <w:tcW w:w="3543" w:type="dxa"/>
          </w:tcPr>
          <w:p w:rsidRPr="007C14DB" w:rsidR="00914C4D" w:rsidP="0016573E" w:rsidRDefault="0080537D">
            <w:r>
              <w:t>Zorgverzekeraars Nederland heeft in de afgelopen jaren getracht om valpreventie in een gezamenlijk project op te pakken. Dat bleek niet haalbaar, omdat preventie valt in het concurrerende domein.</w:t>
            </w:r>
          </w:p>
        </w:tc>
      </w:tr>
      <w:tr w:rsidR="00914C4D" w:rsidTr="00F73A0A">
        <w:trPr>
          <w:trHeight w:val="511"/>
        </w:trPr>
        <w:tc>
          <w:tcPr>
            <w:tcW w:w="3970" w:type="dxa"/>
          </w:tcPr>
          <w:p w:rsidRPr="00914C4D" w:rsidR="00914C4D" w:rsidP="0016573E" w:rsidRDefault="00DB1778">
            <w:pPr>
              <w:rPr>
                <w:color w:val="000000"/>
                <w:szCs w:val="18"/>
              </w:rPr>
            </w:pPr>
            <w:r>
              <w:rPr>
                <w:color w:val="000000"/>
                <w:szCs w:val="18"/>
              </w:rPr>
              <w:t>De uitvoering van deze voornemens over vier jaar evalueren.</w:t>
            </w:r>
          </w:p>
        </w:tc>
        <w:tc>
          <w:tcPr>
            <w:tcW w:w="1560" w:type="dxa"/>
          </w:tcPr>
          <w:p w:rsidRPr="007C14DB" w:rsidR="00914C4D" w:rsidP="0016573E" w:rsidRDefault="00DB1778">
            <w:r>
              <w:t>Ja</w:t>
            </w:r>
          </w:p>
        </w:tc>
        <w:tc>
          <w:tcPr>
            <w:tcW w:w="3543" w:type="dxa"/>
          </w:tcPr>
          <w:p w:rsidRPr="007C14DB" w:rsidR="00914C4D" w:rsidP="0016573E" w:rsidRDefault="00852818">
            <w:r>
              <w:t>Dit is meegenomen in deze beleidsdoorlichting.</w:t>
            </w:r>
          </w:p>
        </w:tc>
      </w:tr>
    </w:tbl>
    <w:p w:rsidR="007C14DB" w:rsidP="0016573E" w:rsidRDefault="007C14DB">
      <w:pPr>
        <w:rPr>
          <w:b/>
        </w:rPr>
      </w:pPr>
      <w:r>
        <w:rPr>
          <w:b/>
        </w:rPr>
        <w:t xml:space="preserve"> </w:t>
      </w:r>
    </w:p>
    <w:p w:rsidRPr="003D4369" w:rsidR="007707B1" w:rsidP="0016573E" w:rsidRDefault="007707B1">
      <w:pPr>
        <w:rPr>
          <w:b/>
        </w:rPr>
      </w:pPr>
      <w:r w:rsidRPr="003D4369">
        <w:rPr>
          <w:b/>
        </w:rPr>
        <w:t>Letselpreventie in preventienota</w:t>
      </w:r>
    </w:p>
    <w:p w:rsidRPr="00966651" w:rsidR="007707B1" w:rsidP="0016573E" w:rsidRDefault="007707B1">
      <w:r>
        <w:t>In de vierjaarlijkse landelijke nota gezondheidsbeleid benoemt de minister de landelijke prioriteiten die aanknopingspunten bieden voor het gemeentelijk gezondheidsbeleid. In de beleidsbrief letselpreventie heeft de minister benoemd dat overwogen moet worden om letselpreventie te prioriteren in de volgende preventienota. De redenen hiervoor zijn dat letsels een groot en soms onderschat volksgezondheidsprobleem zijn met evenwel vermijdbare ziektelast en andere schade. In 2011 verscheen de nieuwste preventienota ‘Landelijke nota gezondheidsbeleid – Gezondheid dichtbij’. De vijf speerpunten zoals benoemd in de preventienota 2006 (</w:t>
      </w:r>
      <w:r w:rsidRPr="00B055F9">
        <w:rPr>
          <w:rFonts w:cs="RIVMDemos"/>
          <w:kern w:val="0"/>
          <w:szCs w:val="18"/>
          <w:lang w:bidi="ar-SA"/>
        </w:rPr>
        <w:t>roken, schadelijk alcoholgebruik, overgewicht, diabetes en</w:t>
      </w:r>
      <w:r>
        <w:rPr>
          <w:rFonts w:cs="RIVMDemos"/>
          <w:kern w:val="0"/>
          <w:szCs w:val="18"/>
          <w:lang w:bidi="ar-SA"/>
        </w:rPr>
        <w:t xml:space="preserve"> </w:t>
      </w:r>
      <w:r w:rsidRPr="00B055F9">
        <w:rPr>
          <w:rFonts w:cs="RIVMDemos"/>
          <w:kern w:val="0"/>
          <w:szCs w:val="18"/>
          <w:lang w:bidi="ar-SA"/>
        </w:rPr>
        <w:t>depressie</w:t>
      </w:r>
      <w:r>
        <w:rPr>
          <w:rFonts w:cs="RIVMDemos"/>
          <w:kern w:val="0"/>
          <w:szCs w:val="18"/>
          <w:lang w:bidi="ar-SA"/>
        </w:rPr>
        <w:t xml:space="preserve">) zijn blijven bestaan, met een extra </w:t>
      </w:r>
      <w:r>
        <w:t xml:space="preserve">focus </w:t>
      </w:r>
      <w:r w:rsidRPr="00755795">
        <w:rPr>
          <w:szCs w:val="18"/>
        </w:rPr>
        <w:t xml:space="preserve">op het </w:t>
      </w:r>
      <w:r>
        <w:rPr>
          <w:szCs w:val="18"/>
        </w:rPr>
        <w:t>thema</w:t>
      </w:r>
      <w:r w:rsidRPr="00755795">
        <w:rPr>
          <w:szCs w:val="18"/>
        </w:rPr>
        <w:t xml:space="preserve"> bewegen.</w:t>
      </w:r>
    </w:p>
    <w:p w:rsidR="007707B1" w:rsidP="0016573E" w:rsidRDefault="007707B1">
      <w:pPr>
        <w:rPr>
          <w:szCs w:val="18"/>
        </w:rPr>
      </w:pPr>
      <w:r w:rsidRPr="00755795">
        <w:rPr>
          <w:szCs w:val="18"/>
        </w:rPr>
        <w:t xml:space="preserve">Letselpreventie </w:t>
      </w:r>
      <w:r>
        <w:rPr>
          <w:szCs w:val="18"/>
        </w:rPr>
        <w:t xml:space="preserve">is daarin </w:t>
      </w:r>
      <w:r w:rsidRPr="00755795">
        <w:rPr>
          <w:szCs w:val="18"/>
        </w:rPr>
        <w:t xml:space="preserve">niet benoemd als apart speerpunt. </w:t>
      </w:r>
      <w:r>
        <w:rPr>
          <w:szCs w:val="18"/>
        </w:rPr>
        <w:t>Verder</w:t>
      </w:r>
      <w:r w:rsidRPr="00755795">
        <w:rPr>
          <w:szCs w:val="18"/>
        </w:rPr>
        <w:t xml:space="preserve"> zijn in de preventienota diverse verwijzingen n</w:t>
      </w:r>
      <w:r>
        <w:rPr>
          <w:szCs w:val="18"/>
        </w:rPr>
        <w:t>aar letselpreventie aangebracht. Daar waar over bewegen in de nota wordt gesproken, is om die reden bewust de koppeling gemaakt met letselpreventie door het over veilig en verantwoord bewegen te hebben. Veilig sporten is gekoppeld aan letselpreventie enerzijds door het voorkomen van intimidatie, vandalisme en geweld en anderzijds verantwoord sporten en bewegen om zo het risico op sportblessures en sportuitval zoveel mogelijk te verkleinen. Ook bewegen bij ouderen is een belangrijk thema in de preventienota. Sport en bewegen dragen bij aan de zelfredzaamheid, maatschappelijke participatie en gezondheid van ouderen, maar verbetert ook de mobiliteit en balans. Laatste twee zijn belangrijk bij de preventie van vallen bij ouderen.</w:t>
      </w:r>
    </w:p>
    <w:p w:rsidR="007707B1" w:rsidP="0016573E" w:rsidRDefault="007707B1">
      <w:pPr>
        <w:rPr>
          <w:szCs w:val="18"/>
        </w:rPr>
      </w:pPr>
    </w:p>
    <w:p w:rsidRPr="003D4369" w:rsidR="007707B1" w:rsidP="0016573E" w:rsidRDefault="007707B1">
      <w:pPr>
        <w:rPr>
          <w:b/>
        </w:rPr>
      </w:pPr>
      <w:r w:rsidRPr="003D4369">
        <w:rPr>
          <w:b/>
        </w:rPr>
        <w:t>Registraties en berekening ziektelast</w:t>
      </w:r>
    </w:p>
    <w:p w:rsidRPr="00151E44" w:rsidR="007707B1" w:rsidP="0016573E" w:rsidRDefault="007707B1">
      <w:pPr>
        <w:widowControl/>
        <w:suppressAutoHyphens w:val="0"/>
        <w:autoSpaceDE w:val="0"/>
        <w:adjustRightInd w:val="0"/>
        <w:textAlignment w:val="auto"/>
        <w:rPr>
          <w:szCs w:val="18"/>
        </w:rPr>
      </w:pPr>
      <w:r>
        <w:t>De minister formuleerde in de beleidsbrief het voornemen: gegevensverzameling door middel van LIS en OBiN continueren als basis voor het preventiebeleid. In de periode 2008-2012 is dit ook daadwerkelijk gebeurd.</w:t>
      </w:r>
    </w:p>
    <w:p w:rsidR="007707B1" w:rsidP="0016573E" w:rsidRDefault="007707B1"/>
    <w:p w:rsidRPr="005D1334" w:rsidR="007707B1" w:rsidP="0016573E" w:rsidRDefault="007707B1">
      <w:pPr>
        <w:pStyle w:val="Lijstalinea"/>
        <w:ind w:left="0"/>
        <w:rPr>
          <w:rFonts w:ascii="Verdana" w:hAnsi="Verdana"/>
          <w:sz w:val="18"/>
          <w:szCs w:val="18"/>
        </w:rPr>
      </w:pPr>
      <w:r w:rsidRPr="005D1334">
        <w:rPr>
          <w:rFonts w:ascii="Verdana" w:hAnsi="Verdana"/>
          <w:sz w:val="18"/>
          <w:szCs w:val="18"/>
        </w:rPr>
        <w:t xml:space="preserve">De minister heeft in de beleidsbrief aangegeven belang te hechten aan verbeterd inzicht in het ontstaan en de gevolgen van ernstige letsels. Om deze verbetering te kunnen bewerkstelligen is een betere afstemming tussen LIS (VeiligheidNL) </w:t>
      </w:r>
      <w:r>
        <w:rPr>
          <w:rFonts w:ascii="Verdana" w:hAnsi="Verdana"/>
          <w:sz w:val="18"/>
          <w:szCs w:val="18"/>
        </w:rPr>
        <w:t>en de L</w:t>
      </w:r>
      <w:r w:rsidRPr="005D1334">
        <w:rPr>
          <w:rFonts w:ascii="Verdana" w:hAnsi="Verdana"/>
          <w:sz w:val="18"/>
          <w:szCs w:val="18"/>
        </w:rPr>
        <w:t>andelijke Traumaregistratie (LTR) nodig. In 2010 is er op initiatief van VeiligheidNL overleg geweest tussen beide part</w:t>
      </w:r>
      <w:r>
        <w:rPr>
          <w:rFonts w:ascii="Verdana" w:hAnsi="Verdana"/>
          <w:sz w:val="18"/>
          <w:szCs w:val="18"/>
        </w:rPr>
        <w:t>ij</w:t>
      </w:r>
      <w:r w:rsidRPr="005D1334">
        <w:rPr>
          <w:rFonts w:ascii="Verdana" w:hAnsi="Verdana"/>
          <w:sz w:val="18"/>
          <w:szCs w:val="18"/>
        </w:rPr>
        <w:t xml:space="preserve">en. </w:t>
      </w:r>
      <w:r>
        <w:rPr>
          <w:rFonts w:ascii="Verdana" w:hAnsi="Verdana"/>
          <w:sz w:val="18"/>
          <w:szCs w:val="18"/>
        </w:rPr>
        <w:t xml:space="preserve">Maar de LTR was tot recent zowel technisch </w:t>
      </w:r>
      <w:r w:rsidR="00765AC9">
        <w:rPr>
          <w:rFonts w:ascii="Verdana" w:hAnsi="Verdana"/>
          <w:sz w:val="18"/>
          <w:szCs w:val="18"/>
        </w:rPr>
        <w:t>als</w:t>
      </w:r>
      <w:r>
        <w:rPr>
          <w:rFonts w:ascii="Verdana" w:hAnsi="Verdana"/>
          <w:sz w:val="18"/>
          <w:szCs w:val="18"/>
        </w:rPr>
        <w:t xml:space="preserve"> procedureel nog niet in staat om hun gegevens te kunnen koppelen aan andere databestanden. </w:t>
      </w:r>
      <w:r w:rsidRPr="005D1334">
        <w:rPr>
          <w:rFonts w:ascii="Verdana" w:hAnsi="Verdana"/>
          <w:sz w:val="18"/>
          <w:szCs w:val="18"/>
        </w:rPr>
        <w:t>De betrokken</w:t>
      </w:r>
      <w:r>
        <w:rPr>
          <w:rFonts w:ascii="Verdana" w:hAnsi="Verdana"/>
          <w:sz w:val="18"/>
          <w:szCs w:val="18"/>
        </w:rPr>
        <w:t>en</w:t>
      </w:r>
      <w:r w:rsidRPr="005D1334">
        <w:rPr>
          <w:rFonts w:ascii="Verdana" w:hAnsi="Verdana"/>
          <w:sz w:val="18"/>
          <w:szCs w:val="18"/>
        </w:rPr>
        <w:t xml:space="preserve"> bij de LTR vinden preventie van letsels erg belangrijk en staan positief tegenover een toekomstige verkenning van de mogelijkheden om LIS te koppelen aan de LTR. Daarbij zullen goede afspraken gemaakt moeten worden over het gebruik en beheer van de gezamenlijke data</w:t>
      </w:r>
      <w:r>
        <w:rPr>
          <w:rFonts w:ascii="Verdana" w:hAnsi="Verdana"/>
          <w:sz w:val="18"/>
          <w:szCs w:val="18"/>
        </w:rPr>
        <w:t xml:space="preserve"> ook in relatie tot privacybescherming</w:t>
      </w:r>
      <w:r w:rsidRPr="005D1334">
        <w:rPr>
          <w:rFonts w:ascii="Verdana" w:hAnsi="Verdana"/>
          <w:sz w:val="18"/>
          <w:szCs w:val="18"/>
        </w:rPr>
        <w:t xml:space="preserve">. 2013 lijkt een goed jaar om de contacten </w:t>
      </w:r>
      <w:r>
        <w:rPr>
          <w:rFonts w:ascii="Verdana" w:hAnsi="Verdana"/>
          <w:sz w:val="18"/>
          <w:szCs w:val="18"/>
        </w:rPr>
        <w:t>tussen beide partijen</w:t>
      </w:r>
      <w:r w:rsidRPr="005D1334">
        <w:rPr>
          <w:rFonts w:ascii="Verdana" w:hAnsi="Verdana"/>
          <w:sz w:val="18"/>
          <w:szCs w:val="18"/>
        </w:rPr>
        <w:t xml:space="preserve"> aan te halen. </w:t>
      </w:r>
    </w:p>
    <w:p w:rsidR="007707B1" w:rsidP="0016573E" w:rsidRDefault="007707B1">
      <w:r>
        <w:t>De ziektelast (uitgedrukt in ‘Disability Adjusted Life Years’, DALY’s) vormt een onmisbaar begrip in de beschrijving van de staat van de volksgezondheid, ook in de beschrijving van letsels. De lichamelijke letsels door suïcidaal gedrag en geweld waren ten tijden van het verschijnen van de beleidsbrief nog onvoldoende in kaart gebracht om de volledige ziektelast te kunnen berekenen. Vandaar dat de minister het voornemen ‘in overleg met het RIVM treden over verbeterde berekeningen van DALY’s voor geweld en suïcide omdat de ziektelast hiervan wordt onderschat’ in de beleidsbrief heeft geformuleerd. In opdracht van het ministerie van VWS heeft het RIVM in 2010 de berekening van de ziektelast voor suïcide en suïcidepogingen verbeterd. Door de verbetering stijgt suïcide van de 21</w:t>
      </w:r>
      <w:r w:rsidRPr="002630F7">
        <w:rPr>
          <w:vertAlign w:val="superscript"/>
        </w:rPr>
        <w:t>e</w:t>
      </w:r>
      <w:r>
        <w:t xml:space="preserve"> naar de 11</w:t>
      </w:r>
      <w:r w:rsidRPr="002630F7">
        <w:rPr>
          <w:vertAlign w:val="superscript"/>
        </w:rPr>
        <w:t>de</w:t>
      </w:r>
      <w:r>
        <w:t xml:space="preserve"> plaats in de rangordelijst van de belangrijkste aandoeningen in Nederland. Ten aanzien van de berekeningen van DALY’s voor geweld is geen overleg geweest met het RIVM en zijn dus geen verbeteringen doorgevoerd.</w:t>
      </w:r>
    </w:p>
    <w:p w:rsidR="007707B1" w:rsidP="0016573E" w:rsidRDefault="007707B1"/>
    <w:p w:rsidRPr="003D4369" w:rsidR="007707B1" w:rsidP="0016573E" w:rsidRDefault="007707B1">
      <w:pPr>
        <w:rPr>
          <w:b/>
        </w:rPr>
      </w:pPr>
      <w:r w:rsidRPr="003D4369">
        <w:rPr>
          <w:b/>
        </w:rPr>
        <w:t>Effectieve interventies en samenwerking wetenschap en praktijk</w:t>
      </w:r>
    </w:p>
    <w:p w:rsidR="007707B1" w:rsidP="0016573E" w:rsidRDefault="00FD6340">
      <w:pPr>
        <w:widowControl/>
        <w:suppressAutoHyphens w:val="0"/>
        <w:autoSpaceDN/>
        <w:textAlignment w:val="auto"/>
        <w:rPr>
          <w:rFonts w:ascii="Univers" w:hAnsi="Univers" w:cs="Univers"/>
          <w:kern w:val="0"/>
          <w:sz w:val="17"/>
          <w:szCs w:val="17"/>
          <w:lang w:bidi="ar-SA"/>
        </w:rPr>
      </w:pPr>
      <w:r>
        <w:rPr>
          <w:rFonts w:eastAsia="Times New Roman" w:cs="Times New Roman"/>
          <w:color w:val="000000"/>
          <w:kern w:val="0"/>
          <w:szCs w:val="18"/>
          <w:lang w:eastAsia="nl-NL" w:bidi="ar-SA"/>
        </w:rPr>
        <w:t>H</w:t>
      </w:r>
      <w:r w:rsidR="007707B1">
        <w:rPr>
          <w:rFonts w:eastAsia="Times New Roman" w:cs="Times New Roman"/>
          <w:color w:val="000000"/>
          <w:kern w:val="0"/>
          <w:szCs w:val="18"/>
          <w:lang w:eastAsia="nl-NL" w:bidi="ar-SA"/>
        </w:rPr>
        <w:t xml:space="preserve">et </w:t>
      </w:r>
      <w:r w:rsidR="009E34A7">
        <w:rPr>
          <w:rFonts w:eastAsia="Times New Roman" w:cs="Times New Roman"/>
          <w:color w:val="000000"/>
          <w:kern w:val="0"/>
          <w:szCs w:val="18"/>
          <w:lang w:eastAsia="nl-NL" w:bidi="ar-SA"/>
        </w:rPr>
        <w:t>RIVM Thema</w:t>
      </w:r>
      <w:r w:rsidR="007707B1">
        <w:rPr>
          <w:rFonts w:eastAsia="Times New Roman" w:cs="Times New Roman"/>
          <w:color w:val="000000"/>
          <w:kern w:val="0"/>
          <w:szCs w:val="18"/>
          <w:lang w:eastAsia="nl-NL" w:bidi="ar-SA"/>
        </w:rPr>
        <w:t xml:space="preserve">rapport ‘Let op letsels’ </w:t>
      </w:r>
      <w:r>
        <w:rPr>
          <w:rFonts w:eastAsia="Times New Roman" w:cs="Times New Roman"/>
          <w:color w:val="000000"/>
          <w:kern w:val="0"/>
          <w:szCs w:val="18"/>
          <w:lang w:eastAsia="nl-NL" w:bidi="ar-SA"/>
        </w:rPr>
        <w:t>constateerde</w:t>
      </w:r>
      <w:r w:rsidR="007707B1">
        <w:rPr>
          <w:rFonts w:eastAsia="Times New Roman" w:cs="Times New Roman"/>
          <w:color w:val="000000"/>
          <w:kern w:val="0"/>
          <w:szCs w:val="18"/>
          <w:lang w:eastAsia="nl-NL" w:bidi="ar-SA"/>
        </w:rPr>
        <w:t xml:space="preserve"> dat er op enkele uitzonderingen na weinig bekend </w:t>
      </w:r>
      <w:r>
        <w:rPr>
          <w:rFonts w:eastAsia="Times New Roman" w:cs="Times New Roman"/>
          <w:color w:val="000000"/>
          <w:kern w:val="0"/>
          <w:szCs w:val="18"/>
          <w:lang w:eastAsia="nl-NL" w:bidi="ar-SA"/>
        </w:rPr>
        <w:t>wa</w:t>
      </w:r>
      <w:r w:rsidR="007707B1">
        <w:rPr>
          <w:rFonts w:eastAsia="Times New Roman" w:cs="Times New Roman"/>
          <w:color w:val="000000"/>
          <w:kern w:val="0"/>
          <w:szCs w:val="18"/>
          <w:lang w:eastAsia="nl-NL" w:bidi="ar-SA"/>
        </w:rPr>
        <w:t xml:space="preserve">s over het bereik en de effectiviteit van maatregelen op het gebied van letselpreventie. De belangrijkste reden daarvoor was dat er weinig evaluatiestudies </w:t>
      </w:r>
      <w:r w:rsidR="000078AF">
        <w:rPr>
          <w:rFonts w:eastAsia="Times New Roman" w:cs="Times New Roman"/>
          <w:color w:val="000000"/>
          <w:kern w:val="0"/>
          <w:szCs w:val="18"/>
          <w:lang w:eastAsia="nl-NL" w:bidi="ar-SA"/>
        </w:rPr>
        <w:t>waren</w:t>
      </w:r>
      <w:r w:rsidR="007707B1">
        <w:rPr>
          <w:rFonts w:eastAsia="Times New Roman" w:cs="Times New Roman"/>
          <w:color w:val="000000"/>
          <w:kern w:val="0"/>
          <w:szCs w:val="18"/>
          <w:lang w:eastAsia="nl-NL" w:bidi="ar-SA"/>
        </w:rPr>
        <w:t xml:space="preserve"> uitgevoerd. </w:t>
      </w:r>
      <w:r>
        <w:rPr>
          <w:rFonts w:eastAsia="Times New Roman" w:cs="Times New Roman"/>
          <w:color w:val="000000"/>
          <w:kern w:val="0"/>
          <w:szCs w:val="18"/>
          <w:lang w:eastAsia="nl-NL" w:bidi="ar-SA"/>
        </w:rPr>
        <w:t>En van de e</w:t>
      </w:r>
      <w:r w:rsidR="007707B1">
        <w:rPr>
          <w:rFonts w:eastAsia="Times New Roman" w:cs="Times New Roman"/>
          <w:color w:val="000000"/>
          <w:kern w:val="0"/>
          <w:szCs w:val="18"/>
          <w:lang w:eastAsia="nl-NL" w:bidi="ar-SA"/>
        </w:rPr>
        <w:t xml:space="preserve">valuatiestudies die er </w:t>
      </w:r>
      <w:r>
        <w:rPr>
          <w:rFonts w:eastAsia="Times New Roman" w:cs="Times New Roman"/>
          <w:color w:val="000000"/>
          <w:kern w:val="0"/>
          <w:szCs w:val="18"/>
          <w:lang w:eastAsia="nl-NL" w:bidi="ar-SA"/>
        </w:rPr>
        <w:t xml:space="preserve">waren, werd </w:t>
      </w:r>
      <w:r w:rsidR="007707B1">
        <w:rPr>
          <w:rFonts w:eastAsia="Times New Roman" w:cs="Times New Roman"/>
          <w:color w:val="000000"/>
          <w:kern w:val="0"/>
          <w:szCs w:val="18"/>
          <w:lang w:eastAsia="nl-NL" w:bidi="ar-SA"/>
        </w:rPr>
        <w:t>vaak alleen op het niveau van kennis of zelfgerapporteerde gedragsveranderingen</w:t>
      </w:r>
      <w:r>
        <w:rPr>
          <w:rFonts w:eastAsia="Times New Roman" w:cs="Times New Roman"/>
          <w:color w:val="000000"/>
          <w:kern w:val="0"/>
          <w:szCs w:val="18"/>
          <w:lang w:eastAsia="nl-NL" w:bidi="ar-SA"/>
        </w:rPr>
        <w:t xml:space="preserve"> gemeten</w:t>
      </w:r>
      <w:r w:rsidR="007707B1">
        <w:rPr>
          <w:rFonts w:eastAsia="Times New Roman" w:cs="Times New Roman"/>
          <w:color w:val="000000"/>
          <w:kern w:val="0"/>
          <w:szCs w:val="18"/>
          <w:lang w:eastAsia="nl-NL" w:bidi="ar-SA"/>
        </w:rPr>
        <w:t xml:space="preserve">. Om effecten van interventies op de volksgezondheid te kunnen kwantificeren is echter informatie nodig over het effect op het aantal ongevallen of het aantal letsels en de gevolgen hiervan. Dergelijk onderzoek vergt een gedegen onderzoeksopzet en is een kwestie van een lange adem en voldoende financiën. </w:t>
      </w:r>
      <w:r>
        <w:rPr>
          <w:rFonts w:eastAsia="Times New Roman" w:cs="Times New Roman"/>
          <w:color w:val="000000"/>
          <w:kern w:val="0"/>
          <w:szCs w:val="18"/>
          <w:lang w:eastAsia="nl-NL" w:bidi="ar-SA"/>
        </w:rPr>
        <w:t>Het rapport stelde verder dat h</w:t>
      </w:r>
      <w:r w:rsidR="007707B1">
        <w:rPr>
          <w:rFonts w:eastAsia="Times New Roman" w:cs="Times New Roman"/>
          <w:color w:val="000000"/>
          <w:kern w:val="0"/>
          <w:szCs w:val="18"/>
          <w:lang w:eastAsia="nl-NL" w:bidi="ar-SA"/>
        </w:rPr>
        <w:t xml:space="preserve">et terrein van letselpreventie nog meer gezondheidswinst </w:t>
      </w:r>
      <w:r>
        <w:rPr>
          <w:rFonts w:eastAsia="Times New Roman" w:cs="Times New Roman"/>
          <w:color w:val="000000"/>
          <w:kern w:val="0"/>
          <w:szCs w:val="18"/>
          <w:lang w:eastAsia="nl-NL" w:bidi="ar-SA"/>
        </w:rPr>
        <w:t xml:space="preserve">zou kunnen </w:t>
      </w:r>
      <w:r w:rsidR="007707B1">
        <w:rPr>
          <w:rFonts w:eastAsia="Times New Roman" w:cs="Times New Roman"/>
          <w:color w:val="000000"/>
          <w:kern w:val="0"/>
          <w:szCs w:val="18"/>
          <w:lang w:eastAsia="nl-NL" w:bidi="ar-SA"/>
        </w:rPr>
        <w:t xml:space="preserve">opleveren door beter aan te sluiten bij bekende doelgroepen en risicofactoren. </w:t>
      </w:r>
    </w:p>
    <w:p w:rsidR="007707B1" w:rsidP="0016573E" w:rsidRDefault="007707B1">
      <w:pPr>
        <w:widowControl/>
        <w:suppressAutoHyphens w:val="0"/>
        <w:autoSpaceDN/>
        <w:textAlignment w:val="auto"/>
        <w:rPr>
          <w:rFonts w:eastAsia="Times New Roman" w:cs="Times New Roman"/>
          <w:color w:val="000000"/>
          <w:kern w:val="0"/>
          <w:szCs w:val="18"/>
          <w:lang w:eastAsia="nl-NL" w:bidi="ar-SA"/>
        </w:rPr>
      </w:pPr>
    </w:p>
    <w:p w:rsidR="007707B1" w:rsidP="0016573E" w:rsidRDefault="007707B1">
      <w:pPr>
        <w:widowControl/>
        <w:suppressAutoHyphens w:val="0"/>
        <w:autoSpaceDN/>
        <w:textAlignment w:val="auto"/>
        <w:rPr>
          <w:rFonts w:eastAsia="Times New Roman" w:cs="Times New Roman"/>
          <w:color w:val="000000"/>
          <w:kern w:val="0"/>
          <w:szCs w:val="18"/>
          <w:lang w:eastAsia="nl-NL" w:bidi="ar-SA"/>
        </w:rPr>
      </w:pPr>
      <w:r>
        <w:rPr>
          <w:rFonts w:eastAsia="Times New Roman" w:cs="Times New Roman"/>
          <w:color w:val="000000"/>
          <w:kern w:val="0"/>
          <w:szCs w:val="18"/>
          <w:lang w:eastAsia="nl-NL" w:bidi="ar-SA"/>
        </w:rPr>
        <w:t xml:space="preserve">De minister heeft in de beleidsbrief aangegeven aan te sturen op het evalueren van preventieve maatregelen, in overleg met ZonMw en Stichting Consument en Veiligheid om meer zicht te krijgen op wat werkt en wat niet. </w:t>
      </w:r>
    </w:p>
    <w:p w:rsidR="007707B1" w:rsidP="0016573E" w:rsidRDefault="007707B1">
      <w:pPr>
        <w:widowControl/>
        <w:suppressAutoHyphens w:val="0"/>
        <w:autoSpaceDE w:val="0"/>
        <w:adjustRightInd w:val="0"/>
        <w:textAlignment w:val="auto"/>
        <w:rPr>
          <w:rFonts w:eastAsia="Times New Roman" w:cs="Times New Roman"/>
          <w:color w:val="000000"/>
          <w:kern w:val="0"/>
          <w:szCs w:val="18"/>
          <w:lang w:eastAsia="nl-NL" w:bidi="ar-SA"/>
        </w:rPr>
      </w:pPr>
      <w:r>
        <w:rPr>
          <w:rFonts w:eastAsia="Times New Roman" w:cs="Times New Roman"/>
          <w:color w:val="000000"/>
          <w:kern w:val="0"/>
          <w:szCs w:val="18"/>
          <w:lang w:eastAsia="nl-NL" w:bidi="ar-SA"/>
        </w:rPr>
        <w:t>In 2007 is de Erkenningscommissie Interventies op initiatief van het Ministerie van VWS opgericht. De Erkenningscommissie Interventies beoordeelt interventies op drie niveaus: theoretisch goed onderbouwd, waarschijnlijk effectief en bewezen effectief. Met de komst van deze Erkenningscommissie Interventies wordt het zicht op wat wel en niet werkt gebundeld inzichtelijk gemaakt. Sinds de oprichting van de Erkenningscommissie</w:t>
      </w:r>
      <w:r w:rsidR="00FE661F">
        <w:rPr>
          <w:rFonts w:eastAsia="Times New Roman" w:cs="Times New Roman"/>
          <w:color w:val="000000"/>
          <w:kern w:val="0"/>
          <w:szCs w:val="18"/>
          <w:lang w:eastAsia="nl-NL" w:bidi="ar-SA"/>
        </w:rPr>
        <w:t xml:space="preserve"> </w:t>
      </w:r>
      <w:r>
        <w:rPr>
          <w:rFonts w:eastAsia="Times New Roman" w:cs="Times New Roman"/>
          <w:color w:val="000000"/>
          <w:kern w:val="0"/>
          <w:szCs w:val="18"/>
          <w:lang w:eastAsia="nl-NL" w:bidi="ar-SA"/>
        </w:rPr>
        <w:t>Interventies zijn negen interventies op het gebied van letselpreventie positief beoordeeld</w:t>
      </w:r>
      <w:r w:rsidR="00F66798">
        <w:rPr>
          <w:rStyle w:val="Voetnootmarkering"/>
          <w:rFonts w:eastAsia="Times New Roman" w:cs="Times New Roman"/>
          <w:color w:val="000000"/>
          <w:kern w:val="0"/>
          <w:szCs w:val="18"/>
          <w:lang w:eastAsia="nl-NL" w:bidi="ar-SA"/>
        </w:rPr>
        <w:footnoteReference w:id="17"/>
      </w:r>
      <w:r>
        <w:rPr>
          <w:rFonts w:eastAsia="Times New Roman" w:cs="Times New Roman"/>
          <w:color w:val="000000"/>
          <w:kern w:val="0"/>
          <w:szCs w:val="18"/>
          <w:lang w:eastAsia="nl-NL" w:bidi="ar-SA"/>
        </w:rPr>
        <w:t>.</w:t>
      </w:r>
      <w:r w:rsidR="00FE661F">
        <w:rPr>
          <w:rFonts w:eastAsia="Times New Roman" w:cs="Times New Roman"/>
          <w:color w:val="000000"/>
          <w:kern w:val="0"/>
          <w:szCs w:val="18"/>
          <w:lang w:eastAsia="nl-NL" w:bidi="ar-SA"/>
        </w:rPr>
        <w:t xml:space="preserve"> </w:t>
      </w:r>
      <w:r>
        <w:rPr>
          <w:rFonts w:eastAsia="Times New Roman" w:cs="Times New Roman"/>
          <w:color w:val="000000"/>
          <w:kern w:val="0"/>
          <w:szCs w:val="18"/>
          <w:lang w:eastAsia="nl-NL" w:bidi="ar-SA"/>
        </w:rPr>
        <w:t>Daarvan zijn vijf interventies gericht op valpreventie bij senioren, twee op sportblessurepreventie, één op valtraining bij basisschoolleerlingen en één interventie op veiligheid bij kinderen van 0-4 jaar. Vier van de interventies zijn beoordeeld op het niveau theoretisch goed onderbouwd. Op basis van theorie lijkt effectiviteit van deze interventies aannemelijk, maar dit is nog niet met onderzoek aangetoond. De overige vijf interventies zijn wel beoordeeld op effectiviteit; vier op het niveau waarschijnlijk effectief en één interventie op het niveau bewezen effectief. Bij twee interventies wordt het effect op het niveau van ongevallen aangetoond, de overige interventies tonen effecten aan op intermediaire maten (gedrag of gedragsdeterminanten). Het effectonderzoek bij de interventie op het niveau bewezen effectief is afgerond voor het verschijnen van de beleidsbrief letselpreventie. Drie interventies zijn tijdens de beleidsperiode onderzocht op effectiviteit, allen gefinancierd met bestaande subsidiegelden vanuit het ministerie van VWS. Het effectonderzoek van één interventie (momenteel beoordeeld op het niveau theoretisch goed onderbouwd) is gestart tijdens de beleidsperiode en loopt nog, dit onderzoek wordt gefinancierd vanuit ZonMW. Daarnaast is één effectonderzoek naar een interventie gericht op letselpreventie gehonoreerd bij ZonMW in de beleidsperiode. Deze interventie is nog niet beoordeeld door de Erkenningscommissie Interventies. Financiering voor één interventie (momenteel beoordeeld op het niveau theoretisch goed onderbouwd) is afgewezen voor financiering door ZonM</w:t>
      </w:r>
      <w:r w:rsidR="002E3EA4">
        <w:rPr>
          <w:rFonts w:eastAsia="Times New Roman" w:cs="Times New Roman"/>
          <w:color w:val="000000"/>
          <w:kern w:val="0"/>
          <w:szCs w:val="18"/>
          <w:lang w:eastAsia="nl-NL" w:bidi="ar-SA"/>
        </w:rPr>
        <w:t>w</w:t>
      </w:r>
      <w:r>
        <w:rPr>
          <w:rFonts w:eastAsia="Times New Roman" w:cs="Times New Roman"/>
          <w:color w:val="000000"/>
          <w:kern w:val="0"/>
          <w:szCs w:val="18"/>
          <w:lang w:eastAsia="nl-NL" w:bidi="ar-SA"/>
        </w:rPr>
        <w:t>.</w:t>
      </w:r>
    </w:p>
    <w:p w:rsidR="007707B1" w:rsidP="0016573E" w:rsidRDefault="007707B1">
      <w:pPr>
        <w:widowControl/>
        <w:suppressAutoHyphens w:val="0"/>
        <w:autoSpaceDN/>
        <w:spacing w:line="240" w:lineRule="auto"/>
        <w:textAlignment w:val="auto"/>
        <w:rPr>
          <w:rFonts w:eastAsia="Times New Roman" w:cs="Times New Roman"/>
          <w:color w:val="000000"/>
          <w:kern w:val="0"/>
          <w:szCs w:val="18"/>
          <w:lang w:eastAsia="nl-NL" w:bidi="ar-SA"/>
        </w:rPr>
      </w:pPr>
    </w:p>
    <w:p w:rsidR="00027FB7" w:rsidP="0016573E" w:rsidRDefault="00783F48">
      <w:pPr>
        <w:widowControl/>
        <w:suppressAutoHyphens w:val="0"/>
        <w:autoSpaceDN/>
        <w:textAlignment w:val="auto"/>
        <w:rPr>
          <w:rFonts w:cs="Verdana"/>
          <w:szCs w:val="18"/>
        </w:rPr>
      </w:pPr>
      <w:r>
        <w:rPr>
          <w:rFonts w:cs="Verdana"/>
          <w:color w:val="000000"/>
          <w:kern w:val="0"/>
          <w:sz w:val="19"/>
          <w:szCs w:val="19"/>
          <w:lang w:bidi="ar-SA"/>
        </w:rPr>
        <w:t>In 2008 werd het RIVM Centrum Gezond Leven (CGL) opgericht in opdracht van het ministerie van VWS. Het CGL heeft als opdracht het realiseren van overzicht, aanbrengen van samenhang én het ondersteunen van professionals op het terrein van gezondheidsbevordering en preventie. Professionele gezondheidsbevordering vindt vooral lokaal plaats en kent weinig wettelijke verplichtingen voor omvang en kwaliteit. Het CGL ondersteunt het lokale veld daarbij.</w:t>
      </w:r>
      <w:r w:rsidR="00404AAE">
        <w:rPr>
          <w:rFonts w:cs="Verdana"/>
          <w:color w:val="000000"/>
          <w:kern w:val="0"/>
          <w:sz w:val="19"/>
          <w:szCs w:val="19"/>
          <w:lang w:bidi="ar-SA"/>
        </w:rPr>
        <w:t xml:space="preserve"> De Erkenningscommissie Interventies staat onder auspiciën van het CGL.</w:t>
      </w:r>
      <w:r w:rsidR="00027FB7">
        <w:rPr>
          <w:rFonts w:cs="Verdana"/>
          <w:color w:val="000000"/>
          <w:kern w:val="0"/>
          <w:sz w:val="19"/>
          <w:szCs w:val="19"/>
          <w:lang w:bidi="ar-SA"/>
        </w:rPr>
        <w:t xml:space="preserve"> </w:t>
      </w:r>
      <w:r w:rsidR="007707B1">
        <w:rPr>
          <w:rFonts w:cs="Verdana"/>
          <w:szCs w:val="18"/>
        </w:rPr>
        <w:t>Het C</w:t>
      </w:r>
      <w:r w:rsidR="00404AAE">
        <w:rPr>
          <w:rFonts w:cs="Verdana"/>
          <w:szCs w:val="18"/>
        </w:rPr>
        <w:t>GL</w:t>
      </w:r>
      <w:r w:rsidR="007707B1">
        <w:rPr>
          <w:rFonts w:cs="Verdana"/>
          <w:szCs w:val="18"/>
        </w:rPr>
        <w:t xml:space="preserve"> ziet een duidelijke groei in het aantal en de kwaliteit van interventiebeschrijvingen en onderzoek rondom letselpreventieinterventies. Er is zeker sprake geweest van een inhaalslag. </w:t>
      </w:r>
    </w:p>
    <w:p w:rsidR="00027FB7" w:rsidP="0016573E" w:rsidRDefault="00027FB7">
      <w:pPr>
        <w:widowControl/>
        <w:suppressAutoHyphens w:val="0"/>
        <w:autoSpaceDN/>
        <w:textAlignment w:val="auto"/>
        <w:rPr>
          <w:rFonts w:cs="Verdana"/>
          <w:szCs w:val="18"/>
        </w:rPr>
      </w:pPr>
    </w:p>
    <w:p w:rsidRPr="001566CC" w:rsidR="007707B1" w:rsidP="0016573E" w:rsidRDefault="00027FB7">
      <w:pPr>
        <w:widowControl/>
        <w:suppressAutoHyphens w:val="0"/>
        <w:autoSpaceDN/>
        <w:textAlignment w:val="auto"/>
        <w:rPr>
          <w:rFonts w:cs="Verdana"/>
          <w:szCs w:val="18"/>
        </w:rPr>
      </w:pPr>
      <w:r>
        <w:rPr>
          <w:rFonts w:eastAsia="Times New Roman" w:cs="Times New Roman"/>
          <w:color w:val="000000"/>
          <w:kern w:val="0"/>
          <w:szCs w:val="18"/>
          <w:lang w:eastAsia="nl-NL" w:bidi="ar-SA"/>
        </w:rPr>
        <w:t xml:space="preserve">Een interviewronde onder een vijftal hoogleraren betrokken bij </w:t>
      </w:r>
      <w:r w:rsidR="00791958">
        <w:rPr>
          <w:rFonts w:eastAsia="Times New Roman" w:cs="Times New Roman"/>
          <w:color w:val="000000"/>
          <w:kern w:val="0"/>
          <w:szCs w:val="18"/>
          <w:lang w:eastAsia="nl-NL" w:bidi="ar-SA"/>
        </w:rPr>
        <w:t xml:space="preserve">publieke gezondheid </w:t>
      </w:r>
      <w:r>
        <w:rPr>
          <w:rFonts w:eastAsia="Times New Roman" w:cs="Times New Roman"/>
          <w:color w:val="000000"/>
          <w:kern w:val="0"/>
          <w:szCs w:val="18"/>
          <w:lang w:eastAsia="nl-NL" w:bidi="ar-SA"/>
        </w:rPr>
        <w:t>en/of één van de</w:t>
      </w:r>
      <w:r w:rsidR="000078AF">
        <w:rPr>
          <w:rFonts w:eastAsia="Times New Roman" w:cs="Times New Roman"/>
          <w:color w:val="000000"/>
          <w:kern w:val="0"/>
          <w:szCs w:val="18"/>
          <w:lang w:eastAsia="nl-NL" w:bidi="ar-SA"/>
        </w:rPr>
        <w:t xml:space="preserve"> domeinen van</w:t>
      </w:r>
      <w:r>
        <w:rPr>
          <w:rFonts w:eastAsia="Times New Roman" w:cs="Times New Roman"/>
          <w:color w:val="000000"/>
          <w:kern w:val="0"/>
          <w:szCs w:val="18"/>
          <w:lang w:eastAsia="nl-NL" w:bidi="ar-SA"/>
        </w:rPr>
        <w:t xml:space="preserve"> letselpreventie levert een minder positief beeld op. Ten aanzien van de effectiviteit van maatregelen, zoals autogordels bij verkeersveiligheid en tape/braces bij sportblessurepreventie is voldoende bekend. </w:t>
      </w:r>
      <w:r w:rsidR="005F3150">
        <w:rPr>
          <w:rFonts w:eastAsia="Times New Roman" w:cs="Times New Roman"/>
          <w:color w:val="000000"/>
          <w:kern w:val="0"/>
          <w:szCs w:val="18"/>
          <w:lang w:eastAsia="nl-NL" w:bidi="ar-SA"/>
        </w:rPr>
        <w:t xml:space="preserve">Maar </w:t>
      </w:r>
      <w:r>
        <w:rPr>
          <w:rFonts w:eastAsia="Times New Roman" w:cs="Times New Roman"/>
          <w:color w:val="000000"/>
          <w:kern w:val="0"/>
          <w:szCs w:val="18"/>
          <w:lang w:eastAsia="nl-NL" w:bidi="ar-SA"/>
        </w:rPr>
        <w:t xml:space="preserve">op het </w:t>
      </w:r>
      <w:r w:rsidRPr="00F024E3">
        <w:rPr>
          <w:rFonts w:eastAsia="Times New Roman" w:cs="Times New Roman"/>
          <w:color w:val="000000"/>
          <w:kern w:val="0"/>
          <w:szCs w:val="18"/>
          <w:lang w:eastAsia="nl-NL" w:bidi="ar-SA"/>
        </w:rPr>
        <w:t>gebied van</w:t>
      </w:r>
      <w:r>
        <w:rPr>
          <w:rFonts w:eastAsia="Times New Roman" w:cs="Times New Roman"/>
          <w:color w:val="000000"/>
          <w:kern w:val="0"/>
          <w:szCs w:val="18"/>
          <w:lang w:eastAsia="nl-NL" w:bidi="ar-SA"/>
        </w:rPr>
        <w:t xml:space="preserve"> </w:t>
      </w:r>
      <w:r w:rsidRPr="00F024E3">
        <w:rPr>
          <w:rFonts w:eastAsia="Times New Roman" w:cs="Times New Roman"/>
          <w:color w:val="000000"/>
          <w:kern w:val="0"/>
          <w:szCs w:val="18"/>
          <w:lang w:eastAsia="nl-NL" w:bidi="ar-SA"/>
        </w:rPr>
        <w:t>gedragsinterventies hebben de hoogleraren geen duidelijke inha</w:t>
      </w:r>
      <w:r w:rsidRPr="00F024E3" w:rsidR="005F3150">
        <w:rPr>
          <w:rFonts w:eastAsia="Times New Roman" w:cs="Times New Roman"/>
          <w:color w:val="000000"/>
          <w:kern w:val="0"/>
          <w:szCs w:val="18"/>
          <w:lang w:eastAsia="nl-NL" w:bidi="ar-SA"/>
        </w:rPr>
        <w:t>alslag gezien.</w:t>
      </w:r>
      <w:r w:rsidR="005F3150">
        <w:rPr>
          <w:rFonts w:eastAsia="Times New Roman" w:cs="Times New Roman"/>
          <w:color w:val="000000"/>
          <w:kern w:val="0"/>
          <w:szCs w:val="18"/>
          <w:lang w:eastAsia="nl-NL" w:bidi="ar-SA"/>
        </w:rPr>
        <w:t xml:space="preserve"> Zij geven</w:t>
      </w:r>
      <w:r>
        <w:rPr>
          <w:rFonts w:eastAsia="Times New Roman" w:cs="Times New Roman"/>
          <w:color w:val="000000"/>
          <w:kern w:val="0"/>
          <w:szCs w:val="18"/>
          <w:lang w:eastAsia="nl-NL" w:bidi="ar-SA"/>
        </w:rPr>
        <w:t xml:space="preserve"> aan </w:t>
      </w:r>
      <w:r w:rsidR="005F3150">
        <w:rPr>
          <w:rFonts w:eastAsia="Times New Roman" w:cs="Times New Roman"/>
          <w:color w:val="000000"/>
          <w:kern w:val="0"/>
          <w:szCs w:val="18"/>
          <w:lang w:eastAsia="nl-NL" w:bidi="ar-SA"/>
        </w:rPr>
        <w:t xml:space="preserve">dat </w:t>
      </w:r>
      <w:r>
        <w:rPr>
          <w:rFonts w:eastAsia="Times New Roman" w:cs="Times New Roman"/>
          <w:color w:val="000000"/>
          <w:kern w:val="0"/>
          <w:szCs w:val="18"/>
          <w:lang w:eastAsia="nl-NL" w:bidi="ar-SA"/>
        </w:rPr>
        <w:t>letselpreventie een relevant thema is</w:t>
      </w:r>
      <w:r w:rsidR="005F3150">
        <w:rPr>
          <w:rFonts w:eastAsia="Times New Roman" w:cs="Times New Roman"/>
          <w:color w:val="000000"/>
          <w:kern w:val="0"/>
          <w:szCs w:val="18"/>
          <w:lang w:eastAsia="nl-NL" w:bidi="ar-SA"/>
        </w:rPr>
        <w:t xml:space="preserve"> voor de wetenschap, omdat letsels een belangrijke doodsoorzaak zijn. Tegelijkertijd is er onvoldoende geld beschikbaar om wetenschappelijk onderzoek uit te voeren, waardoor weinig universiteiten zich bezig houden met letselpreventie en met de effectiviteit van gedragsinterventies in het bijzonder. Dit laatste wordt onderschreven door het CGL dat aangeeft dat h</w:t>
      </w:r>
      <w:r w:rsidR="007707B1">
        <w:rPr>
          <w:rFonts w:cs="Verdana"/>
          <w:szCs w:val="18"/>
        </w:rPr>
        <w:t>et uitvoeren van effectonderzoek de afgelopen jaren niet eenvoudig</w:t>
      </w:r>
      <w:r w:rsidR="005F3150">
        <w:rPr>
          <w:rFonts w:cs="Verdana"/>
          <w:szCs w:val="18"/>
        </w:rPr>
        <w:t xml:space="preserve"> was</w:t>
      </w:r>
      <w:r w:rsidR="007707B1">
        <w:rPr>
          <w:rFonts w:cs="Verdana"/>
          <w:szCs w:val="18"/>
        </w:rPr>
        <w:t xml:space="preserve">. Er was minder geld beschikbaar, terwijl er wel steeds meer partijen aanvragen indienen. De kwaliteitverschillen tussen de aanvragen is uiterst klein. </w:t>
      </w:r>
      <w:r w:rsidR="005F3150">
        <w:rPr>
          <w:rFonts w:cs="Verdana"/>
          <w:szCs w:val="18"/>
        </w:rPr>
        <w:t>Het CGL brengt als nuancering aan dat bij de aanvragen voor effectonderzoek l</w:t>
      </w:r>
      <w:r w:rsidR="007707B1">
        <w:rPr>
          <w:rFonts w:cs="Verdana"/>
          <w:szCs w:val="18"/>
        </w:rPr>
        <w:t>etselinterven</w:t>
      </w:r>
      <w:r w:rsidR="005F3150">
        <w:rPr>
          <w:rFonts w:cs="Verdana"/>
          <w:szCs w:val="18"/>
        </w:rPr>
        <w:t xml:space="preserve">ties </w:t>
      </w:r>
      <w:r w:rsidR="007707B1">
        <w:rPr>
          <w:rFonts w:cs="Verdana"/>
          <w:szCs w:val="18"/>
        </w:rPr>
        <w:t xml:space="preserve">niet achter </w:t>
      </w:r>
      <w:r w:rsidR="005F3150">
        <w:rPr>
          <w:rFonts w:cs="Verdana"/>
          <w:szCs w:val="18"/>
        </w:rPr>
        <w:t xml:space="preserve">lopen </w:t>
      </w:r>
      <w:r w:rsidR="007707B1">
        <w:rPr>
          <w:rFonts w:cs="Verdana"/>
          <w:szCs w:val="18"/>
        </w:rPr>
        <w:t xml:space="preserve">op andere leefstijlinterventies. </w:t>
      </w:r>
    </w:p>
    <w:p w:rsidR="007707B1" w:rsidP="0016573E" w:rsidRDefault="007707B1">
      <w:pPr>
        <w:widowControl/>
        <w:suppressAutoHyphens w:val="0"/>
        <w:autoSpaceDN/>
        <w:textAlignment w:val="auto"/>
        <w:rPr>
          <w:rFonts w:eastAsia="Times New Roman" w:cs="Times New Roman"/>
          <w:color w:val="000000"/>
          <w:kern w:val="0"/>
          <w:szCs w:val="18"/>
          <w:lang w:eastAsia="nl-NL" w:bidi="ar-SA"/>
        </w:rPr>
      </w:pPr>
    </w:p>
    <w:p w:rsidR="007707B1" w:rsidP="0016573E" w:rsidRDefault="007707B1">
      <w:pPr>
        <w:widowControl/>
        <w:suppressAutoHyphens w:val="0"/>
        <w:autoSpaceDN/>
        <w:textAlignment w:val="auto"/>
        <w:rPr>
          <w:rFonts w:eastAsia="Times New Roman" w:cs="Times New Roman"/>
          <w:color w:val="000000"/>
          <w:kern w:val="0"/>
          <w:szCs w:val="18"/>
          <w:lang w:eastAsia="nl-NL" w:bidi="ar-SA"/>
        </w:rPr>
      </w:pPr>
      <w:r>
        <w:rPr>
          <w:rFonts w:eastAsia="Times New Roman" w:cs="Times New Roman"/>
          <w:color w:val="000000"/>
          <w:kern w:val="0"/>
          <w:szCs w:val="18"/>
          <w:lang w:eastAsia="nl-NL" w:bidi="ar-SA"/>
        </w:rPr>
        <w:t>Een tweede voornemen rondom de effectiviteit van interventies was het verkennen van de mogelijkheden van een academische werkplaats Letselpreventie in overleg met o.a. VeiligheidNL en andere relevante partijen om wetenschap en praktijk beter op elkaar te laten aansluiten.</w:t>
      </w:r>
    </w:p>
    <w:p w:rsidR="007707B1" w:rsidP="0016573E" w:rsidRDefault="007707B1">
      <w:pPr>
        <w:widowControl/>
        <w:suppressAutoHyphens w:val="0"/>
        <w:autoSpaceDN/>
        <w:textAlignment w:val="auto"/>
        <w:rPr>
          <w:rFonts w:eastAsia="Times New Roman" w:cs="Times New Roman"/>
          <w:color w:val="000000"/>
          <w:kern w:val="0"/>
          <w:szCs w:val="18"/>
          <w:lang w:eastAsia="nl-NL" w:bidi="ar-SA"/>
        </w:rPr>
      </w:pPr>
    </w:p>
    <w:p w:rsidR="007707B1" w:rsidP="0016573E" w:rsidRDefault="007707B1">
      <w:pPr>
        <w:widowControl/>
        <w:suppressAutoHyphens w:val="0"/>
        <w:autoSpaceDN/>
        <w:textAlignment w:val="auto"/>
        <w:rPr>
          <w:szCs w:val="18"/>
        </w:rPr>
      </w:pPr>
      <w:r w:rsidRPr="00956F81">
        <w:rPr>
          <w:szCs w:val="18"/>
        </w:rPr>
        <w:t>De call voor de tweede periode van bestaande academische werkplaatsen</w:t>
      </w:r>
      <w:r>
        <w:rPr>
          <w:szCs w:val="18"/>
        </w:rPr>
        <w:t>, die niet thematisch was ingestoken,</w:t>
      </w:r>
      <w:r w:rsidRPr="00956F81">
        <w:rPr>
          <w:szCs w:val="18"/>
        </w:rPr>
        <w:t xml:space="preserve"> is uitgestuurd in dezelfde tijd dat de beleidsbrief verscheen. In die call was het geld al </w:t>
      </w:r>
      <w:r w:rsidR="00F024E3">
        <w:rPr>
          <w:szCs w:val="18"/>
        </w:rPr>
        <w:t>verdeeld over</w:t>
      </w:r>
      <w:r w:rsidRPr="00956F81">
        <w:rPr>
          <w:szCs w:val="18"/>
        </w:rPr>
        <w:t xml:space="preserve"> de bestaande werkplaatsen, waardoor het starten van een extra werkplaats binnen de bestaande geld</w:t>
      </w:r>
      <w:r>
        <w:rPr>
          <w:szCs w:val="18"/>
        </w:rPr>
        <w:t>en</w:t>
      </w:r>
      <w:r w:rsidRPr="00956F81">
        <w:rPr>
          <w:szCs w:val="18"/>
        </w:rPr>
        <w:t xml:space="preserve"> niet mogelijk was. In deze call werd letselpreventie met een verwijzing naar de beleidsbrief</w:t>
      </w:r>
      <w:r>
        <w:rPr>
          <w:szCs w:val="18"/>
        </w:rPr>
        <w:t xml:space="preserve"> verder niet genoemd</w:t>
      </w:r>
      <w:r w:rsidRPr="00956F81">
        <w:rPr>
          <w:szCs w:val="18"/>
        </w:rPr>
        <w:t xml:space="preserve">. </w:t>
      </w:r>
    </w:p>
    <w:p w:rsidR="007707B1" w:rsidP="0016573E" w:rsidRDefault="007707B1">
      <w:pPr>
        <w:widowControl/>
        <w:suppressAutoHyphens w:val="0"/>
        <w:autoSpaceDN/>
        <w:textAlignment w:val="auto"/>
        <w:rPr>
          <w:szCs w:val="18"/>
        </w:rPr>
      </w:pPr>
      <w:r w:rsidRPr="00956F81">
        <w:rPr>
          <w:szCs w:val="18"/>
        </w:rPr>
        <w:t xml:space="preserve">Het uitgangspunt van een academische werkplaats is het op wetenschappelijke wijze beantwoorden van vragen uit dat veld. </w:t>
      </w:r>
      <w:r w:rsidRPr="00956F81">
        <w:rPr>
          <w:rFonts w:cs="Univers"/>
          <w:szCs w:val="18"/>
        </w:rPr>
        <w:t xml:space="preserve">Er is onder GGD’en een inventarisatie uitgevoerd naar vragen rondom het thema letselpreventie. Daaruit kwam dat alleen de GGD Midden-Nederland hier behoefte aan had, deze GGD was echter niet betrokken bij een academische werkplaats. Ook binnen de academische werkplaatsen is gevraagd in hoeverre er behoefte was/vragen kwamen uit het veld. De behoefte was nihil. </w:t>
      </w:r>
      <w:r>
        <w:rPr>
          <w:rFonts w:cs="Univers"/>
          <w:szCs w:val="18"/>
        </w:rPr>
        <w:t>In de beleidsperiode heeft VeiligheidNL in samenwerking met de academische werkplaats AGORA een</w:t>
      </w:r>
      <w:r>
        <w:rPr>
          <w:szCs w:val="18"/>
        </w:rPr>
        <w:t xml:space="preserve"> effectevaluatie rondom Halt U Valt! uitgevoerd met financiering vanuit ZonM</w:t>
      </w:r>
      <w:r w:rsidR="00141336">
        <w:rPr>
          <w:szCs w:val="18"/>
        </w:rPr>
        <w:t>w</w:t>
      </w:r>
      <w:r>
        <w:rPr>
          <w:szCs w:val="18"/>
        </w:rPr>
        <w:t>.</w:t>
      </w:r>
      <w:r w:rsidR="00FE661F">
        <w:rPr>
          <w:szCs w:val="18"/>
        </w:rPr>
        <w:t xml:space="preserve"> </w:t>
      </w:r>
    </w:p>
    <w:p w:rsidR="005F3150" w:rsidP="0016573E" w:rsidRDefault="005F3150">
      <w:pPr>
        <w:widowControl/>
        <w:suppressAutoHyphens w:val="0"/>
        <w:autoSpaceDN/>
        <w:textAlignment w:val="auto"/>
        <w:rPr>
          <w:szCs w:val="18"/>
        </w:rPr>
      </w:pPr>
    </w:p>
    <w:p w:rsidR="005F3150" w:rsidP="0016573E" w:rsidRDefault="005F3150">
      <w:pPr>
        <w:widowControl/>
        <w:suppressAutoHyphens w:val="0"/>
        <w:autoSpaceDN/>
        <w:textAlignment w:val="auto"/>
        <w:rPr>
          <w:szCs w:val="18"/>
        </w:rPr>
      </w:pPr>
      <w:r>
        <w:rPr>
          <w:szCs w:val="18"/>
        </w:rPr>
        <w:t xml:space="preserve">Uit de interviewronde </w:t>
      </w:r>
      <w:r>
        <w:rPr>
          <w:rFonts w:eastAsia="Times New Roman" w:cs="Times New Roman"/>
          <w:color w:val="000000"/>
          <w:kern w:val="0"/>
          <w:szCs w:val="18"/>
          <w:lang w:eastAsia="nl-NL" w:bidi="ar-SA"/>
        </w:rPr>
        <w:t xml:space="preserve">onder een vijftal hoogleraren betrokken bij </w:t>
      </w:r>
      <w:r w:rsidR="00791958">
        <w:rPr>
          <w:rFonts w:eastAsia="Times New Roman" w:cs="Times New Roman"/>
          <w:color w:val="000000"/>
          <w:kern w:val="0"/>
          <w:szCs w:val="18"/>
          <w:lang w:eastAsia="nl-NL" w:bidi="ar-SA"/>
        </w:rPr>
        <w:t xml:space="preserve">publieke gezondheid </w:t>
      </w:r>
      <w:r>
        <w:rPr>
          <w:rFonts w:eastAsia="Times New Roman" w:cs="Times New Roman"/>
          <w:color w:val="000000"/>
          <w:kern w:val="0"/>
          <w:szCs w:val="18"/>
          <w:lang w:eastAsia="nl-NL" w:bidi="ar-SA"/>
        </w:rPr>
        <w:t>en/of één van de</w:t>
      </w:r>
      <w:r w:rsidR="00791958">
        <w:rPr>
          <w:rFonts w:eastAsia="Times New Roman" w:cs="Times New Roman"/>
          <w:color w:val="000000"/>
          <w:kern w:val="0"/>
          <w:szCs w:val="18"/>
          <w:lang w:eastAsia="nl-NL" w:bidi="ar-SA"/>
        </w:rPr>
        <w:t xml:space="preserve"> domeinen van</w:t>
      </w:r>
      <w:r>
        <w:rPr>
          <w:rFonts w:eastAsia="Times New Roman" w:cs="Times New Roman"/>
          <w:color w:val="000000"/>
          <w:kern w:val="0"/>
          <w:szCs w:val="18"/>
          <w:lang w:eastAsia="nl-NL" w:bidi="ar-SA"/>
        </w:rPr>
        <w:t xml:space="preserve"> letselpreventie </w:t>
      </w:r>
      <w:r w:rsidR="005E56A4">
        <w:rPr>
          <w:rFonts w:eastAsia="Times New Roman" w:cs="Times New Roman"/>
          <w:color w:val="000000"/>
          <w:kern w:val="0"/>
          <w:szCs w:val="18"/>
          <w:lang w:eastAsia="nl-NL" w:bidi="ar-SA"/>
        </w:rPr>
        <w:t>blijkt dat zij de afstemming tussen wetenschap en praktijk niet optimaal vinden. Vragen vanuit praktijk kunnen niet altijd worden beantwoord door wetenschap, omdat de wetenschap daar geen geld voor beschikbaar heeft en het meestal niet ingepast kan worden in bestaande onderzoeksprojecten. Vanuit de wetenschap blijkt het lastig om (kosten)effectieve interventies daadwerkelijk in de praktijk te implementeren, enerzijds vanwege kennisgebrek vanuit lokale gebruikers en anderzijds vanwege individuele, specifieke behoefte van lokale gebruikers waar deze interventies niet altijd aan (kunnen) voldoen. Meerdere hoogleraren benoemen de implementatie van (kosten)effectieve interventies als een uitdaging dat momenteel binnen meerdere leefstijlthema’s speelt en waar meer aandacht voor moet komen</w:t>
      </w:r>
      <w:r w:rsidR="00565829">
        <w:rPr>
          <w:rFonts w:eastAsia="Times New Roman" w:cs="Times New Roman"/>
          <w:color w:val="000000"/>
          <w:kern w:val="0"/>
          <w:szCs w:val="18"/>
          <w:lang w:eastAsia="nl-NL" w:bidi="ar-SA"/>
        </w:rPr>
        <w:t xml:space="preserve">. Door een aantal hoogleraren wordt benoemd dat wetenschap, beleid en praktijk </w:t>
      </w:r>
      <w:r w:rsidR="00C02535">
        <w:rPr>
          <w:rFonts w:eastAsia="Times New Roman" w:cs="Times New Roman"/>
          <w:color w:val="000000"/>
          <w:kern w:val="0"/>
          <w:szCs w:val="18"/>
          <w:lang w:eastAsia="nl-NL" w:bidi="ar-SA"/>
        </w:rPr>
        <w:t>eigenlijk samen moeten komen in een samenwerkingsverband, al dan niet in de vorm van een academische werkplaats, om deze verbinding daadwerkelijk van de grond te kunnen krijgen</w:t>
      </w:r>
      <w:r w:rsidR="005E56A4">
        <w:rPr>
          <w:rFonts w:eastAsia="Times New Roman" w:cs="Times New Roman"/>
          <w:color w:val="000000"/>
          <w:kern w:val="0"/>
          <w:szCs w:val="18"/>
          <w:lang w:eastAsia="nl-NL" w:bidi="ar-SA"/>
        </w:rPr>
        <w:t>.</w:t>
      </w:r>
    </w:p>
    <w:p w:rsidR="007707B1" w:rsidP="0016573E" w:rsidRDefault="007707B1">
      <w:pPr>
        <w:rPr>
          <w:rFonts w:eastAsia="Times New Roman" w:cs="Times New Roman"/>
          <w:color w:val="000000"/>
          <w:kern w:val="0"/>
          <w:szCs w:val="18"/>
          <w:lang w:eastAsia="nl-NL"/>
        </w:rPr>
      </w:pPr>
    </w:p>
    <w:p w:rsidR="007707B1" w:rsidP="0016573E" w:rsidRDefault="007707B1">
      <w:pPr>
        <w:rPr>
          <w:rFonts w:eastAsia="Times New Roman" w:cs="Times New Roman"/>
          <w:color w:val="000000"/>
          <w:kern w:val="0"/>
          <w:szCs w:val="18"/>
          <w:lang w:eastAsia="nl-NL"/>
        </w:rPr>
      </w:pPr>
      <w:r>
        <w:rPr>
          <w:rFonts w:eastAsia="Times New Roman" w:cs="Times New Roman"/>
          <w:color w:val="000000"/>
          <w:kern w:val="0"/>
          <w:szCs w:val="18"/>
          <w:lang w:eastAsia="nl-NL"/>
        </w:rPr>
        <w:t xml:space="preserve">Het laatste voornemen van de minister rondom het thema effectiviteit van interventies betrof het ondersteunen van lokale partijen en overheden via het Centrum Gezond Leven bij het kiezen en implementeren van effectieve interventies. Decentraal beleid heeft als groot voordeel dat lokale overheden maatregelen kunnen afstemmen op lokale prioriteiten en situaties. Daarbij is wel belangrijk dat beleidsmakers en uitvoerders kennis over de effectiviteit van interventies toepassen in hun lokale praktijk. </w:t>
      </w:r>
    </w:p>
    <w:p w:rsidR="007707B1" w:rsidP="0016573E" w:rsidRDefault="007707B1">
      <w:pPr>
        <w:rPr>
          <w:rFonts w:eastAsia="Times New Roman" w:cs="Times New Roman"/>
          <w:color w:val="000000"/>
          <w:kern w:val="0"/>
          <w:szCs w:val="18"/>
          <w:lang w:eastAsia="nl-NL"/>
        </w:rPr>
      </w:pPr>
    </w:p>
    <w:p w:rsidR="007707B1" w:rsidP="0016573E" w:rsidRDefault="007707B1">
      <w:pPr>
        <w:rPr>
          <w:rFonts w:cs="Verdana"/>
          <w:szCs w:val="18"/>
        </w:rPr>
      </w:pPr>
      <w:r>
        <w:rPr>
          <w:rFonts w:cs="Verdana"/>
          <w:szCs w:val="18"/>
        </w:rPr>
        <w:t xml:space="preserve">Vanuit de beleving van het Centrum Gezond Leven kunnen de lokale partijen de I-database, met daarin alle interventies op het gebied van letselpreventie, maar bijvoorbeeld ook MOVISIE (voor geweld) goed vinden. De ervaring van het Centrum Gezond Leven is dat lokale partijen de keuze voor een bepaalde interventie niet alleen af laten hangen van de te behalen gezondheidswinst, ook andere factoren spelen een rol (bijvoorbeeld kosten van interventie en implementatie, snel resultaat). Lokale partijen laten zich vaak leiden door de speerpunten in de landelijke nota gezondheidsbeleid. Letselpreventie wordt niet als speerpunt benoemd. De bezoekersaantallen van de digitale handreiking Gezonde Gemeente, </w:t>
      </w:r>
      <w:r>
        <w:t>dé verzamelplaats met informatie voor gemeentelijk gezondheidsbeleid laten zien dat er wel aandacht voor is</w:t>
      </w:r>
      <w:r>
        <w:rPr>
          <w:rFonts w:cs="Verdana"/>
          <w:szCs w:val="18"/>
        </w:rPr>
        <w:t>. In onderstaande tabel zijn de bezoekersaantallen van de digitale handreiking Gezonde Gemeente</w:t>
      </w:r>
      <w:r>
        <w:t xml:space="preserve"> met een uitsplitsing naar de specifieke thema’s weergegeven. Daaruit blijkt dat het letselpreventie regelmatig wordt geraadpleegd, maar minder in verhouding tot andere thema’s. Bij GGD’en is v</w:t>
      </w:r>
      <w:r>
        <w:rPr>
          <w:rFonts w:cs="Verdana"/>
          <w:szCs w:val="18"/>
        </w:rPr>
        <w:t>alpreventie bijvoorbeeld al jaren een belangrijk thema en kinderveiligheid is structureel ingebed bij de jeugdgezondheidszorg met een richtlijn ondersteund door de kinderveiligheidskaarten. Er is nog duidelijke winst te behalen als diverse thema’s gebundeld worden aangeboden aan een bepaalde doelgroep, bijvoorbeeld eenzaamheid in combinatie met valpreventie.</w:t>
      </w:r>
    </w:p>
    <w:p w:rsidR="007707B1" w:rsidP="0016573E" w:rsidRDefault="007707B1">
      <w:pPr>
        <w:rPr>
          <w:rFonts w:cs="Verdana"/>
          <w:szCs w:val="18"/>
        </w:rPr>
      </w:pPr>
    </w:p>
    <w:p w:rsidR="005F0986" w:rsidP="0016573E" w:rsidRDefault="005F0986">
      <w:pPr>
        <w:spacing w:line="240" w:lineRule="auto"/>
        <w:rPr>
          <w:rFonts w:cs="Verdana"/>
          <w:b/>
          <w:szCs w:val="18"/>
        </w:rPr>
      </w:pPr>
    </w:p>
    <w:p w:rsidRPr="00C27932" w:rsidR="007707B1" w:rsidP="0016573E" w:rsidRDefault="007707B1">
      <w:pPr>
        <w:rPr>
          <w:rFonts w:cs="Verdana"/>
          <w:b/>
          <w:szCs w:val="18"/>
        </w:rPr>
      </w:pPr>
      <w:r>
        <w:rPr>
          <w:rFonts w:cs="Verdana"/>
          <w:b/>
          <w:szCs w:val="18"/>
        </w:rPr>
        <w:t xml:space="preserve">Tabel </w:t>
      </w:r>
      <w:r w:rsidR="00F024E3">
        <w:rPr>
          <w:rFonts w:cs="Verdana"/>
          <w:b/>
          <w:szCs w:val="18"/>
        </w:rPr>
        <w:t>5</w:t>
      </w:r>
      <w:r>
        <w:rPr>
          <w:rFonts w:cs="Verdana"/>
          <w:b/>
          <w:szCs w:val="18"/>
        </w:rPr>
        <w:t xml:space="preserve"> </w:t>
      </w:r>
      <w:r w:rsidR="00742E54">
        <w:rPr>
          <w:rFonts w:cs="Verdana"/>
          <w:b/>
          <w:szCs w:val="18"/>
        </w:rPr>
        <w:t>Gemiddeld aantal unieke bezoekers</w:t>
      </w:r>
      <w:r w:rsidR="00742E54">
        <w:rPr>
          <w:rFonts w:cs="Verdana"/>
          <w:b/>
          <w:szCs w:val="18"/>
          <w:vertAlign w:val="superscript"/>
        </w:rPr>
        <w:t>*</w:t>
      </w:r>
      <w:r w:rsidR="00742E54">
        <w:rPr>
          <w:rFonts w:cs="Verdana"/>
          <w:b/>
          <w:szCs w:val="18"/>
        </w:rPr>
        <w:t xml:space="preserve"> per kwartaal op de </w:t>
      </w:r>
      <w:r>
        <w:rPr>
          <w:rFonts w:cs="Verdana"/>
          <w:b/>
          <w:szCs w:val="18"/>
        </w:rPr>
        <w:t>digitale Handreiking Gezonde Gemeente</w:t>
      </w:r>
      <w:r w:rsidR="00742E54">
        <w:rPr>
          <w:rFonts w:cs="Verdana"/>
          <w:b/>
          <w:szCs w:val="18"/>
        </w:rPr>
        <w:t xml:space="preserve">, algemeen en voor de themadelen </w:t>
      </w:r>
      <w:r>
        <w:rPr>
          <w:rFonts w:cs="Verdana"/>
          <w:b/>
          <w:szCs w:val="18"/>
        </w:rPr>
        <w:t>(n)</w:t>
      </w:r>
    </w:p>
    <w:tbl>
      <w:tblPr>
        <w:tblW w:w="7695" w:type="dxa"/>
        <w:tblLook w:val="04A0"/>
      </w:tblPr>
      <w:tblGrid>
        <w:gridCol w:w="1270"/>
        <w:gridCol w:w="1532"/>
        <w:gridCol w:w="1153"/>
        <w:gridCol w:w="1153"/>
        <w:gridCol w:w="1153"/>
        <w:gridCol w:w="1434"/>
      </w:tblGrid>
      <w:tr w:rsidR="007707B1" w:rsidTr="007707B1">
        <w:trPr>
          <w:trHeight w:val="120"/>
        </w:trPr>
        <w:tc>
          <w:tcPr>
            <w:tcW w:w="1155" w:type="dxa"/>
            <w:tcBorders>
              <w:top w:val="single" w:color="000000" w:sz="2" w:space="0"/>
              <w:left w:val="single" w:color="000000" w:sz="2" w:space="0"/>
              <w:bottom w:val="single" w:color="000000" w:sz="6" w:space="0"/>
              <w:right w:val="single" w:color="000000" w:sz="6" w:space="0"/>
            </w:tcBorders>
            <w:tcMar>
              <w:top w:w="0" w:type="dxa"/>
              <w:left w:w="105" w:type="dxa"/>
              <w:bottom w:w="0" w:type="dxa"/>
              <w:right w:w="105" w:type="dxa"/>
            </w:tcMar>
            <w:hideMark/>
          </w:tcPr>
          <w:p w:rsidR="007707B1" w:rsidP="0016573E" w:rsidRDefault="007707B1">
            <w:pPr>
              <w:rPr>
                <w:rFonts w:ascii="Times New Roman" w:hAnsi="Times New Roman" w:cs="Times New Roman"/>
                <w:sz w:val="24"/>
              </w:rPr>
            </w:pPr>
            <w:r>
              <w:rPr>
                <w:b/>
                <w:bCs/>
                <w:sz w:val="15"/>
                <w:szCs w:val="15"/>
              </w:rPr>
              <w:t>Jaar</w:t>
            </w:r>
            <w:r>
              <w:t xml:space="preserve"> </w:t>
            </w:r>
          </w:p>
        </w:tc>
        <w:tc>
          <w:tcPr>
            <w:tcW w:w="1395" w:type="dxa"/>
            <w:tcBorders>
              <w:top w:val="single" w:color="000000" w:sz="2" w:space="0"/>
              <w:left w:val="single" w:color="000000" w:sz="6" w:space="0"/>
              <w:bottom w:val="single" w:color="000000" w:sz="6" w:space="0"/>
              <w:right w:val="single" w:color="000000" w:sz="6" w:space="0"/>
            </w:tcBorders>
            <w:tcMar>
              <w:top w:w="0" w:type="dxa"/>
              <w:left w:w="105" w:type="dxa"/>
              <w:bottom w:w="0" w:type="dxa"/>
              <w:right w:w="105" w:type="dxa"/>
            </w:tcMar>
            <w:hideMark/>
          </w:tcPr>
          <w:p w:rsidR="007707B1" w:rsidP="0016573E" w:rsidRDefault="007707B1">
            <w:pPr>
              <w:rPr>
                <w:rFonts w:ascii="Times New Roman" w:hAnsi="Times New Roman" w:cs="Times New Roman"/>
                <w:sz w:val="24"/>
              </w:rPr>
            </w:pPr>
            <w:r>
              <w:rPr>
                <w:b/>
                <w:bCs/>
                <w:sz w:val="15"/>
                <w:szCs w:val="15"/>
              </w:rPr>
              <w:t>HGG</w:t>
            </w:r>
            <w:r>
              <w:t xml:space="preserve"> </w:t>
            </w:r>
          </w:p>
        </w:tc>
        <w:tc>
          <w:tcPr>
            <w:tcW w:w="4455" w:type="dxa"/>
            <w:gridSpan w:val="4"/>
            <w:tcBorders>
              <w:top w:val="single" w:color="000000" w:sz="2" w:space="0"/>
              <w:left w:val="single" w:color="000000" w:sz="6" w:space="0"/>
              <w:bottom w:val="single" w:color="000000" w:sz="6" w:space="0"/>
              <w:right w:val="single" w:color="000000" w:sz="2" w:space="0"/>
            </w:tcBorders>
            <w:tcMar>
              <w:top w:w="0" w:type="dxa"/>
              <w:left w:w="105" w:type="dxa"/>
              <w:bottom w:w="0" w:type="dxa"/>
              <w:right w:w="105" w:type="dxa"/>
            </w:tcMar>
            <w:hideMark/>
          </w:tcPr>
          <w:p w:rsidR="007707B1" w:rsidP="0016573E" w:rsidRDefault="007707B1">
            <w:pPr>
              <w:jc w:val="center"/>
              <w:rPr>
                <w:rFonts w:ascii="Times New Roman" w:hAnsi="Times New Roman" w:cs="Times New Roman"/>
                <w:sz w:val="24"/>
              </w:rPr>
            </w:pPr>
            <w:r>
              <w:rPr>
                <w:b/>
                <w:bCs/>
                <w:sz w:val="15"/>
                <w:szCs w:val="15"/>
              </w:rPr>
              <w:t>Kwartaal</w:t>
            </w:r>
          </w:p>
        </w:tc>
      </w:tr>
      <w:tr w:rsidR="007707B1" w:rsidTr="007707B1">
        <w:trPr>
          <w:trHeight w:val="120"/>
        </w:trPr>
        <w:tc>
          <w:tcPr>
            <w:tcW w:w="1155" w:type="dxa"/>
            <w:tcBorders>
              <w:top w:val="single" w:color="000000" w:sz="6" w:space="0"/>
              <w:left w:val="single" w:color="000000" w:sz="2" w:space="0"/>
              <w:bottom w:val="single" w:color="000000" w:sz="6" w:space="0"/>
              <w:right w:val="single" w:color="000000" w:sz="6" w:space="0"/>
            </w:tcBorders>
            <w:tcMar>
              <w:top w:w="0" w:type="dxa"/>
              <w:left w:w="105" w:type="dxa"/>
              <w:bottom w:w="0" w:type="dxa"/>
              <w:right w:w="105" w:type="dxa"/>
            </w:tcMar>
            <w:hideMark/>
          </w:tcPr>
          <w:p w:rsidR="007707B1" w:rsidP="0016573E" w:rsidRDefault="007707B1">
            <w:pPr>
              <w:rPr>
                <w:rFonts w:cs="Times New Roman" w:asciiTheme="minorHAnsi" w:hAnsiTheme="minorHAnsi" w:eastAsiaTheme="minorEastAsia"/>
                <w:sz w:val="22"/>
                <w:szCs w:val="22"/>
              </w:rPr>
            </w:pPr>
          </w:p>
        </w:tc>
        <w:tc>
          <w:tcPr>
            <w:tcW w:w="139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hideMark/>
          </w:tcPr>
          <w:p w:rsidR="007707B1" w:rsidP="0016573E" w:rsidRDefault="007707B1">
            <w:pPr>
              <w:rPr>
                <w:rFonts w:cs="Times New Roman" w:asciiTheme="minorHAnsi" w:hAnsiTheme="minorHAnsi" w:eastAsiaTheme="minorEastAsia"/>
                <w:sz w:val="22"/>
                <w:szCs w:val="22"/>
              </w:rPr>
            </w:pPr>
          </w:p>
        </w:tc>
        <w:tc>
          <w:tcPr>
            <w:tcW w:w="105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hideMark/>
          </w:tcPr>
          <w:p w:rsidR="007707B1" w:rsidP="0016573E" w:rsidRDefault="007707B1">
            <w:pPr>
              <w:rPr>
                <w:rFonts w:ascii="Times New Roman" w:hAnsi="Times New Roman" w:cs="Times New Roman"/>
                <w:sz w:val="24"/>
              </w:rPr>
            </w:pPr>
            <w:r>
              <w:rPr>
                <w:b/>
                <w:bCs/>
                <w:sz w:val="15"/>
                <w:szCs w:val="15"/>
              </w:rPr>
              <w:t>1</w:t>
            </w:r>
          </w:p>
        </w:tc>
        <w:tc>
          <w:tcPr>
            <w:tcW w:w="105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hideMark/>
          </w:tcPr>
          <w:p w:rsidR="007707B1" w:rsidP="0016573E" w:rsidRDefault="007707B1">
            <w:pPr>
              <w:rPr>
                <w:rFonts w:ascii="Times New Roman" w:hAnsi="Times New Roman" w:cs="Times New Roman"/>
                <w:sz w:val="24"/>
              </w:rPr>
            </w:pPr>
            <w:r>
              <w:rPr>
                <w:b/>
                <w:bCs/>
                <w:sz w:val="15"/>
                <w:szCs w:val="15"/>
              </w:rPr>
              <w:t>2</w:t>
            </w:r>
            <w:r>
              <w:t xml:space="preserve"> </w:t>
            </w:r>
          </w:p>
        </w:tc>
        <w:tc>
          <w:tcPr>
            <w:tcW w:w="105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hideMark/>
          </w:tcPr>
          <w:p w:rsidR="007707B1" w:rsidP="0016573E" w:rsidRDefault="007707B1">
            <w:pPr>
              <w:rPr>
                <w:rFonts w:ascii="Times New Roman" w:hAnsi="Times New Roman" w:cs="Times New Roman"/>
                <w:sz w:val="24"/>
              </w:rPr>
            </w:pPr>
            <w:r>
              <w:rPr>
                <w:b/>
                <w:bCs/>
                <w:sz w:val="15"/>
                <w:szCs w:val="15"/>
              </w:rPr>
              <w:t>3</w:t>
            </w:r>
            <w:r>
              <w:t xml:space="preserve"> </w:t>
            </w:r>
          </w:p>
        </w:tc>
        <w:tc>
          <w:tcPr>
            <w:tcW w:w="615" w:type="dxa"/>
            <w:tcBorders>
              <w:top w:val="single" w:color="000000" w:sz="6" w:space="0"/>
              <w:left w:val="single" w:color="000000" w:sz="6" w:space="0"/>
              <w:bottom w:val="single" w:color="000000" w:sz="6" w:space="0"/>
              <w:right w:val="single" w:color="000000" w:sz="2" w:space="0"/>
            </w:tcBorders>
            <w:tcMar>
              <w:top w:w="0" w:type="dxa"/>
              <w:left w:w="105" w:type="dxa"/>
              <w:bottom w:w="0" w:type="dxa"/>
              <w:right w:w="105" w:type="dxa"/>
            </w:tcMar>
            <w:hideMark/>
          </w:tcPr>
          <w:p w:rsidR="007707B1" w:rsidP="0016573E" w:rsidRDefault="007707B1">
            <w:pPr>
              <w:rPr>
                <w:rFonts w:ascii="Times New Roman" w:hAnsi="Times New Roman" w:cs="Times New Roman"/>
                <w:sz w:val="24"/>
              </w:rPr>
            </w:pPr>
            <w:r>
              <w:rPr>
                <w:b/>
                <w:bCs/>
                <w:sz w:val="15"/>
                <w:szCs w:val="15"/>
              </w:rPr>
              <w:t>4</w:t>
            </w:r>
            <w:r>
              <w:t xml:space="preserve"> </w:t>
            </w:r>
          </w:p>
        </w:tc>
      </w:tr>
      <w:tr w:rsidR="007707B1" w:rsidTr="007707B1">
        <w:trPr>
          <w:trHeight w:val="120"/>
        </w:trPr>
        <w:tc>
          <w:tcPr>
            <w:tcW w:w="1155" w:type="dxa"/>
            <w:tcBorders>
              <w:top w:val="single" w:color="000000" w:sz="6" w:space="0"/>
              <w:left w:val="single" w:color="000000" w:sz="2" w:space="0"/>
              <w:bottom w:val="single" w:color="000000" w:sz="6" w:space="0"/>
              <w:right w:val="single" w:color="000000" w:sz="6" w:space="0"/>
            </w:tcBorders>
            <w:tcMar>
              <w:top w:w="0" w:type="dxa"/>
              <w:left w:w="105" w:type="dxa"/>
              <w:bottom w:w="0" w:type="dxa"/>
              <w:right w:w="105" w:type="dxa"/>
            </w:tcMar>
            <w:hideMark/>
          </w:tcPr>
          <w:p w:rsidR="007707B1" w:rsidP="0016573E" w:rsidRDefault="007707B1">
            <w:pPr>
              <w:rPr>
                <w:rFonts w:ascii="Times New Roman" w:hAnsi="Times New Roman" w:cs="Times New Roman"/>
                <w:sz w:val="24"/>
              </w:rPr>
            </w:pPr>
            <w:r>
              <w:rPr>
                <w:b/>
                <w:bCs/>
                <w:sz w:val="15"/>
                <w:szCs w:val="15"/>
              </w:rPr>
              <w:t>2011</w:t>
            </w:r>
          </w:p>
        </w:tc>
        <w:tc>
          <w:tcPr>
            <w:tcW w:w="139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hideMark/>
          </w:tcPr>
          <w:p w:rsidR="007707B1" w:rsidP="0016573E" w:rsidRDefault="007707B1">
            <w:pPr>
              <w:rPr>
                <w:rFonts w:cs="Times New Roman" w:asciiTheme="minorHAnsi" w:hAnsiTheme="minorHAnsi" w:eastAsiaTheme="minorEastAsia"/>
                <w:sz w:val="22"/>
                <w:szCs w:val="22"/>
              </w:rPr>
            </w:pPr>
          </w:p>
        </w:tc>
        <w:tc>
          <w:tcPr>
            <w:tcW w:w="105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hideMark/>
          </w:tcPr>
          <w:p w:rsidR="007707B1" w:rsidP="0016573E" w:rsidRDefault="007707B1">
            <w:pPr>
              <w:rPr>
                <w:rFonts w:cs="Times New Roman" w:asciiTheme="minorHAnsi" w:hAnsiTheme="minorHAnsi" w:eastAsiaTheme="minorEastAsia"/>
                <w:sz w:val="22"/>
                <w:szCs w:val="22"/>
              </w:rPr>
            </w:pPr>
          </w:p>
        </w:tc>
        <w:tc>
          <w:tcPr>
            <w:tcW w:w="105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hideMark/>
          </w:tcPr>
          <w:p w:rsidR="007707B1" w:rsidP="0016573E" w:rsidRDefault="007707B1">
            <w:pPr>
              <w:rPr>
                <w:rFonts w:cs="Times New Roman" w:asciiTheme="minorHAnsi" w:hAnsiTheme="minorHAnsi" w:eastAsiaTheme="minorEastAsia"/>
                <w:sz w:val="22"/>
                <w:szCs w:val="22"/>
              </w:rPr>
            </w:pPr>
          </w:p>
        </w:tc>
        <w:tc>
          <w:tcPr>
            <w:tcW w:w="105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hideMark/>
          </w:tcPr>
          <w:p w:rsidR="007707B1" w:rsidP="0016573E" w:rsidRDefault="007707B1">
            <w:pPr>
              <w:rPr>
                <w:rFonts w:cs="Times New Roman" w:asciiTheme="minorHAnsi" w:hAnsiTheme="minorHAnsi" w:eastAsiaTheme="minorEastAsia"/>
                <w:sz w:val="22"/>
                <w:szCs w:val="22"/>
              </w:rPr>
            </w:pPr>
          </w:p>
        </w:tc>
        <w:tc>
          <w:tcPr>
            <w:tcW w:w="615" w:type="dxa"/>
            <w:tcBorders>
              <w:top w:val="single" w:color="000000" w:sz="6" w:space="0"/>
              <w:left w:val="single" w:color="000000" w:sz="6" w:space="0"/>
              <w:bottom w:val="single" w:color="000000" w:sz="6" w:space="0"/>
              <w:right w:val="single" w:color="000000" w:sz="2" w:space="0"/>
            </w:tcBorders>
            <w:tcMar>
              <w:top w:w="0" w:type="dxa"/>
              <w:left w:w="105" w:type="dxa"/>
              <w:bottom w:w="0" w:type="dxa"/>
              <w:right w:w="105" w:type="dxa"/>
            </w:tcMar>
            <w:hideMark/>
          </w:tcPr>
          <w:p w:rsidR="007707B1" w:rsidP="0016573E" w:rsidRDefault="007707B1">
            <w:pPr>
              <w:rPr>
                <w:rFonts w:cs="Times New Roman" w:asciiTheme="minorHAnsi" w:hAnsiTheme="minorHAnsi" w:eastAsiaTheme="minorEastAsia"/>
                <w:sz w:val="22"/>
                <w:szCs w:val="22"/>
              </w:rPr>
            </w:pPr>
          </w:p>
        </w:tc>
      </w:tr>
      <w:tr w:rsidR="007707B1" w:rsidTr="007707B1">
        <w:trPr>
          <w:trHeight w:val="120"/>
        </w:trPr>
        <w:tc>
          <w:tcPr>
            <w:tcW w:w="1155" w:type="dxa"/>
            <w:tcBorders>
              <w:top w:val="single" w:color="000000" w:sz="6" w:space="0"/>
              <w:left w:val="single" w:color="000000" w:sz="2" w:space="0"/>
              <w:bottom w:val="single" w:color="000000" w:sz="6" w:space="0"/>
              <w:right w:val="single" w:color="000000" w:sz="6" w:space="0"/>
            </w:tcBorders>
            <w:tcMar>
              <w:top w:w="0" w:type="dxa"/>
              <w:left w:w="105" w:type="dxa"/>
              <w:bottom w:w="0" w:type="dxa"/>
              <w:right w:w="105" w:type="dxa"/>
            </w:tcMar>
            <w:hideMark/>
          </w:tcPr>
          <w:p w:rsidR="007707B1" w:rsidP="0016573E" w:rsidRDefault="007707B1">
            <w:pPr>
              <w:jc w:val="right"/>
              <w:rPr>
                <w:rFonts w:ascii="Times New Roman" w:hAnsi="Times New Roman" w:cs="Times New Roman"/>
                <w:sz w:val="24"/>
              </w:rPr>
            </w:pPr>
            <w:r>
              <w:rPr>
                <w:b/>
                <w:bCs/>
                <w:sz w:val="15"/>
                <w:szCs w:val="15"/>
              </w:rPr>
              <w:t>Gemiddeld</w:t>
            </w:r>
          </w:p>
        </w:tc>
        <w:tc>
          <w:tcPr>
            <w:tcW w:w="139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hideMark/>
          </w:tcPr>
          <w:p w:rsidR="007707B1" w:rsidP="0016573E" w:rsidRDefault="007707B1">
            <w:pPr>
              <w:rPr>
                <w:rFonts w:ascii="Times New Roman" w:hAnsi="Times New Roman" w:cs="Times New Roman"/>
                <w:sz w:val="24"/>
              </w:rPr>
            </w:pPr>
            <w:r>
              <w:rPr>
                <w:sz w:val="15"/>
                <w:szCs w:val="15"/>
              </w:rPr>
              <w:t>Algemeen</w:t>
            </w:r>
          </w:p>
        </w:tc>
        <w:tc>
          <w:tcPr>
            <w:tcW w:w="105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hideMark/>
          </w:tcPr>
          <w:p w:rsidR="007707B1" w:rsidP="0016573E" w:rsidRDefault="007707B1">
            <w:pPr>
              <w:rPr>
                <w:rFonts w:ascii="Times New Roman" w:hAnsi="Times New Roman" w:cs="Times New Roman"/>
                <w:sz w:val="24"/>
              </w:rPr>
            </w:pPr>
            <w:r>
              <w:rPr>
                <w:sz w:val="15"/>
                <w:szCs w:val="15"/>
              </w:rPr>
              <w:t>-</w:t>
            </w:r>
            <w:r>
              <w:t xml:space="preserve"> </w:t>
            </w:r>
          </w:p>
        </w:tc>
        <w:tc>
          <w:tcPr>
            <w:tcW w:w="105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hideMark/>
          </w:tcPr>
          <w:p w:rsidR="007707B1" w:rsidP="0016573E" w:rsidRDefault="007707B1">
            <w:pPr>
              <w:rPr>
                <w:rFonts w:ascii="Times New Roman" w:hAnsi="Times New Roman" w:cs="Times New Roman"/>
                <w:sz w:val="24"/>
              </w:rPr>
            </w:pPr>
            <w:r>
              <w:rPr>
                <w:sz w:val="15"/>
                <w:szCs w:val="15"/>
              </w:rPr>
              <w:t>876</w:t>
            </w:r>
            <w:r>
              <w:t xml:space="preserve"> </w:t>
            </w:r>
          </w:p>
        </w:tc>
        <w:tc>
          <w:tcPr>
            <w:tcW w:w="105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hideMark/>
          </w:tcPr>
          <w:p w:rsidR="007707B1" w:rsidP="0016573E" w:rsidRDefault="007707B1">
            <w:pPr>
              <w:rPr>
                <w:rFonts w:ascii="Times New Roman" w:hAnsi="Times New Roman" w:cs="Times New Roman"/>
                <w:sz w:val="24"/>
              </w:rPr>
            </w:pPr>
            <w:r>
              <w:rPr>
                <w:sz w:val="15"/>
                <w:szCs w:val="15"/>
              </w:rPr>
              <w:t>782</w:t>
            </w:r>
            <w:r>
              <w:t xml:space="preserve"> </w:t>
            </w:r>
          </w:p>
        </w:tc>
        <w:tc>
          <w:tcPr>
            <w:tcW w:w="615" w:type="dxa"/>
            <w:tcBorders>
              <w:top w:val="single" w:color="000000" w:sz="6" w:space="0"/>
              <w:left w:val="single" w:color="000000" w:sz="6" w:space="0"/>
              <w:bottom w:val="single" w:color="000000" w:sz="6" w:space="0"/>
              <w:right w:val="single" w:color="000000" w:sz="2" w:space="0"/>
            </w:tcBorders>
            <w:tcMar>
              <w:top w:w="0" w:type="dxa"/>
              <w:left w:w="105" w:type="dxa"/>
              <w:bottom w:w="0" w:type="dxa"/>
              <w:right w:w="105" w:type="dxa"/>
            </w:tcMar>
            <w:hideMark/>
          </w:tcPr>
          <w:p w:rsidR="007707B1" w:rsidP="0016573E" w:rsidRDefault="007707B1">
            <w:pPr>
              <w:rPr>
                <w:rFonts w:ascii="Times New Roman" w:hAnsi="Times New Roman" w:cs="Times New Roman"/>
                <w:sz w:val="24"/>
              </w:rPr>
            </w:pPr>
            <w:r>
              <w:rPr>
                <w:sz w:val="15"/>
                <w:szCs w:val="15"/>
              </w:rPr>
              <w:t>1135</w:t>
            </w:r>
            <w:r>
              <w:t xml:space="preserve"> </w:t>
            </w:r>
          </w:p>
        </w:tc>
      </w:tr>
      <w:tr w:rsidR="007707B1" w:rsidTr="007707B1">
        <w:trPr>
          <w:trHeight w:val="120"/>
        </w:trPr>
        <w:tc>
          <w:tcPr>
            <w:tcW w:w="1155" w:type="dxa"/>
            <w:tcBorders>
              <w:top w:val="single" w:color="000000" w:sz="6" w:space="0"/>
              <w:left w:val="single" w:color="000000" w:sz="2" w:space="0"/>
              <w:bottom w:val="single" w:color="000000" w:sz="6" w:space="0"/>
              <w:right w:val="single" w:color="000000" w:sz="6" w:space="0"/>
            </w:tcBorders>
            <w:tcMar>
              <w:top w:w="0" w:type="dxa"/>
              <w:left w:w="105" w:type="dxa"/>
              <w:bottom w:w="0" w:type="dxa"/>
              <w:right w:w="105" w:type="dxa"/>
            </w:tcMar>
            <w:hideMark/>
          </w:tcPr>
          <w:p w:rsidR="007707B1" w:rsidP="0016573E" w:rsidRDefault="007707B1">
            <w:pPr>
              <w:rPr>
                <w:rFonts w:cs="Times New Roman" w:asciiTheme="minorHAnsi" w:hAnsiTheme="minorHAnsi" w:eastAsiaTheme="minorEastAsia"/>
                <w:sz w:val="22"/>
                <w:szCs w:val="22"/>
              </w:rPr>
            </w:pPr>
          </w:p>
        </w:tc>
        <w:tc>
          <w:tcPr>
            <w:tcW w:w="139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hideMark/>
          </w:tcPr>
          <w:p w:rsidR="007707B1" w:rsidP="0016573E" w:rsidRDefault="007707B1">
            <w:pPr>
              <w:rPr>
                <w:rFonts w:ascii="Times New Roman" w:hAnsi="Times New Roman" w:cs="Times New Roman"/>
                <w:sz w:val="24"/>
              </w:rPr>
            </w:pPr>
            <w:r>
              <w:rPr>
                <w:sz w:val="15"/>
                <w:szCs w:val="15"/>
              </w:rPr>
              <w:t>Overgewicht</w:t>
            </w:r>
          </w:p>
        </w:tc>
        <w:tc>
          <w:tcPr>
            <w:tcW w:w="105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hideMark/>
          </w:tcPr>
          <w:p w:rsidR="007707B1" w:rsidP="0016573E" w:rsidRDefault="007707B1">
            <w:pPr>
              <w:rPr>
                <w:rFonts w:ascii="Times New Roman" w:hAnsi="Times New Roman" w:cs="Times New Roman"/>
                <w:sz w:val="24"/>
              </w:rPr>
            </w:pPr>
            <w:r>
              <w:rPr>
                <w:sz w:val="15"/>
                <w:szCs w:val="15"/>
              </w:rPr>
              <w:t>-</w:t>
            </w:r>
            <w:r>
              <w:t xml:space="preserve"> </w:t>
            </w:r>
          </w:p>
        </w:tc>
        <w:tc>
          <w:tcPr>
            <w:tcW w:w="105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hideMark/>
          </w:tcPr>
          <w:p w:rsidR="007707B1" w:rsidP="0016573E" w:rsidRDefault="007707B1">
            <w:pPr>
              <w:rPr>
                <w:rFonts w:ascii="Times New Roman" w:hAnsi="Times New Roman" w:cs="Times New Roman"/>
                <w:sz w:val="24"/>
              </w:rPr>
            </w:pPr>
            <w:r>
              <w:rPr>
                <w:sz w:val="15"/>
                <w:szCs w:val="15"/>
              </w:rPr>
              <w:t>268</w:t>
            </w:r>
            <w:r>
              <w:t xml:space="preserve"> </w:t>
            </w:r>
          </w:p>
        </w:tc>
        <w:tc>
          <w:tcPr>
            <w:tcW w:w="105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hideMark/>
          </w:tcPr>
          <w:p w:rsidR="007707B1" w:rsidP="0016573E" w:rsidRDefault="007707B1">
            <w:pPr>
              <w:rPr>
                <w:rFonts w:ascii="Times New Roman" w:hAnsi="Times New Roman" w:cs="Times New Roman"/>
                <w:sz w:val="24"/>
              </w:rPr>
            </w:pPr>
            <w:r>
              <w:rPr>
                <w:sz w:val="15"/>
                <w:szCs w:val="15"/>
              </w:rPr>
              <w:t>248</w:t>
            </w:r>
            <w:r>
              <w:t xml:space="preserve"> </w:t>
            </w:r>
          </w:p>
        </w:tc>
        <w:tc>
          <w:tcPr>
            <w:tcW w:w="615" w:type="dxa"/>
            <w:tcBorders>
              <w:top w:val="single" w:color="000000" w:sz="6" w:space="0"/>
              <w:left w:val="single" w:color="000000" w:sz="6" w:space="0"/>
              <w:bottom w:val="single" w:color="000000" w:sz="6" w:space="0"/>
              <w:right w:val="single" w:color="000000" w:sz="2" w:space="0"/>
            </w:tcBorders>
            <w:tcMar>
              <w:top w:w="0" w:type="dxa"/>
              <w:left w:w="105" w:type="dxa"/>
              <w:bottom w:w="0" w:type="dxa"/>
              <w:right w:w="105" w:type="dxa"/>
            </w:tcMar>
            <w:hideMark/>
          </w:tcPr>
          <w:p w:rsidR="007707B1" w:rsidP="0016573E" w:rsidRDefault="007707B1">
            <w:pPr>
              <w:rPr>
                <w:rFonts w:ascii="Times New Roman" w:hAnsi="Times New Roman" w:cs="Times New Roman"/>
                <w:sz w:val="24"/>
              </w:rPr>
            </w:pPr>
            <w:r>
              <w:rPr>
                <w:sz w:val="15"/>
                <w:szCs w:val="15"/>
              </w:rPr>
              <w:t>331</w:t>
            </w:r>
            <w:r>
              <w:t xml:space="preserve"> </w:t>
            </w:r>
          </w:p>
        </w:tc>
      </w:tr>
      <w:tr w:rsidR="007707B1" w:rsidTr="007707B1">
        <w:trPr>
          <w:trHeight w:val="120"/>
        </w:trPr>
        <w:tc>
          <w:tcPr>
            <w:tcW w:w="1155" w:type="dxa"/>
            <w:tcBorders>
              <w:top w:val="single" w:color="000000" w:sz="6" w:space="0"/>
              <w:left w:val="single" w:color="000000" w:sz="2" w:space="0"/>
              <w:bottom w:val="single" w:color="000000" w:sz="6" w:space="0"/>
              <w:right w:val="single" w:color="000000" w:sz="6" w:space="0"/>
            </w:tcBorders>
            <w:tcMar>
              <w:top w:w="0" w:type="dxa"/>
              <w:left w:w="105" w:type="dxa"/>
              <w:bottom w:w="0" w:type="dxa"/>
              <w:right w:w="105" w:type="dxa"/>
            </w:tcMar>
            <w:hideMark/>
          </w:tcPr>
          <w:p w:rsidR="007707B1" w:rsidP="0016573E" w:rsidRDefault="007707B1">
            <w:pPr>
              <w:rPr>
                <w:rFonts w:cs="Times New Roman" w:asciiTheme="minorHAnsi" w:hAnsiTheme="minorHAnsi" w:eastAsiaTheme="minorEastAsia"/>
                <w:sz w:val="22"/>
                <w:szCs w:val="22"/>
              </w:rPr>
            </w:pPr>
          </w:p>
        </w:tc>
        <w:tc>
          <w:tcPr>
            <w:tcW w:w="139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hideMark/>
          </w:tcPr>
          <w:p w:rsidR="007707B1" w:rsidP="0016573E" w:rsidRDefault="007707B1">
            <w:pPr>
              <w:rPr>
                <w:rFonts w:ascii="Times New Roman" w:hAnsi="Times New Roman" w:cs="Times New Roman"/>
                <w:sz w:val="24"/>
              </w:rPr>
            </w:pPr>
            <w:r>
              <w:rPr>
                <w:sz w:val="15"/>
                <w:szCs w:val="15"/>
              </w:rPr>
              <w:t>Roken</w:t>
            </w:r>
          </w:p>
        </w:tc>
        <w:tc>
          <w:tcPr>
            <w:tcW w:w="105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hideMark/>
          </w:tcPr>
          <w:p w:rsidR="007707B1" w:rsidP="0016573E" w:rsidRDefault="007707B1">
            <w:pPr>
              <w:rPr>
                <w:rFonts w:ascii="Times New Roman" w:hAnsi="Times New Roman" w:cs="Times New Roman"/>
                <w:sz w:val="24"/>
              </w:rPr>
            </w:pPr>
            <w:r>
              <w:rPr>
                <w:sz w:val="15"/>
                <w:szCs w:val="15"/>
              </w:rPr>
              <w:t>-</w:t>
            </w:r>
            <w:r>
              <w:t xml:space="preserve"> </w:t>
            </w:r>
          </w:p>
        </w:tc>
        <w:tc>
          <w:tcPr>
            <w:tcW w:w="105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hideMark/>
          </w:tcPr>
          <w:p w:rsidR="007707B1" w:rsidP="0016573E" w:rsidRDefault="007707B1">
            <w:pPr>
              <w:rPr>
                <w:rFonts w:ascii="Times New Roman" w:hAnsi="Times New Roman" w:cs="Times New Roman"/>
                <w:sz w:val="24"/>
              </w:rPr>
            </w:pPr>
            <w:r>
              <w:rPr>
                <w:sz w:val="15"/>
                <w:szCs w:val="15"/>
              </w:rPr>
              <w:t>142</w:t>
            </w:r>
            <w:r>
              <w:t xml:space="preserve"> </w:t>
            </w:r>
          </w:p>
        </w:tc>
        <w:tc>
          <w:tcPr>
            <w:tcW w:w="105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hideMark/>
          </w:tcPr>
          <w:p w:rsidR="007707B1" w:rsidP="0016573E" w:rsidRDefault="007707B1">
            <w:pPr>
              <w:rPr>
                <w:rFonts w:ascii="Times New Roman" w:hAnsi="Times New Roman" w:cs="Times New Roman"/>
                <w:sz w:val="24"/>
              </w:rPr>
            </w:pPr>
            <w:r>
              <w:rPr>
                <w:sz w:val="15"/>
                <w:szCs w:val="15"/>
              </w:rPr>
              <w:t>137</w:t>
            </w:r>
            <w:r>
              <w:t xml:space="preserve"> </w:t>
            </w:r>
          </w:p>
        </w:tc>
        <w:tc>
          <w:tcPr>
            <w:tcW w:w="615" w:type="dxa"/>
            <w:tcBorders>
              <w:top w:val="single" w:color="000000" w:sz="6" w:space="0"/>
              <w:left w:val="single" w:color="000000" w:sz="6" w:space="0"/>
              <w:bottom w:val="single" w:color="000000" w:sz="6" w:space="0"/>
              <w:right w:val="single" w:color="000000" w:sz="2" w:space="0"/>
            </w:tcBorders>
            <w:tcMar>
              <w:top w:w="0" w:type="dxa"/>
              <w:left w:w="105" w:type="dxa"/>
              <w:bottom w:w="0" w:type="dxa"/>
              <w:right w:w="105" w:type="dxa"/>
            </w:tcMar>
            <w:hideMark/>
          </w:tcPr>
          <w:p w:rsidR="007707B1" w:rsidP="0016573E" w:rsidRDefault="007707B1">
            <w:pPr>
              <w:rPr>
                <w:rFonts w:ascii="Times New Roman" w:hAnsi="Times New Roman" w:cs="Times New Roman"/>
                <w:sz w:val="24"/>
              </w:rPr>
            </w:pPr>
            <w:r>
              <w:rPr>
                <w:sz w:val="15"/>
                <w:szCs w:val="15"/>
              </w:rPr>
              <w:t>141</w:t>
            </w:r>
            <w:r>
              <w:t xml:space="preserve"> </w:t>
            </w:r>
          </w:p>
        </w:tc>
      </w:tr>
      <w:tr w:rsidR="007707B1" w:rsidTr="007707B1">
        <w:trPr>
          <w:trHeight w:val="120"/>
        </w:trPr>
        <w:tc>
          <w:tcPr>
            <w:tcW w:w="1155" w:type="dxa"/>
            <w:tcBorders>
              <w:top w:val="single" w:color="000000" w:sz="6" w:space="0"/>
              <w:left w:val="single" w:color="000000" w:sz="2" w:space="0"/>
              <w:bottom w:val="single" w:color="000000" w:sz="6" w:space="0"/>
              <w:right w:val="single" w:color="000000" w:sz="6" w:space="0"/>
            </w:tcBorders>
            <w:tcMar>
              <w:top w:w="0" w:type="dxa"/>
              <w:left w:w="105" w:type="dxa"/>
              <w:bottom w:w="0" w:type="dxa"/>
              <w:right w:w="105" w:type="dxa"/>
            </w:tcMar>
            <w:hideMark/>
          </w:tcPr>
          <w:p w:rsidR="007707B1" w:rsidP="0016573E" w:rsidRDefault="007707B1">
            <w:pPr>
              <w:rPr>
                <w:rFonts w:cs="Times New Roman" w:asciiTheme="minorHAnsi" w:hAnsiTheme="minorHAnsi" w:eastAsiaTheme="minorEastAsia"/>
                <w:sz w:val="22"/>
                <w:szCs w:val="22"/>
              </w:rPr>
            </w:pPr>
          </w:p>
        </w:tc>
        <w:tc>
          <w:tcPr>
            <w:tcW w:w="139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hideMark/>
          </w:tcPr>
          <w:p w:rsidR="007707B1" w:rsidP="0016573E" w:rsidRDefault="007707B1">
            <w:pPr>
              <w:rPr>
                <w:rFonts w:ascii="Times New Roman" w:hAnsi="Times New Roman" w:cs="Times New Roman"/>
                <w:sz w:val="24"/>
              </w:rPr>
            </w:pPr>
            <w:r>
              <w:rPr>
                <w:sz w:val="15"/>
                <w:szCs w:val="15"/>
              </w:rPr>
              <w:t>Alcohol</w:t>
            </w:r>
          </w:p>
        </w:tc>
        <w:tc>
          <w:tcPr>
            <w:tcW w:w="105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hideMark/>
          </w:tcPr>
          <w:p w:rsidR="007707B1" w:rsidP="0016573E" w:rsidRDefault="007707B1">
            <w:pPr>
              <w:rPr>
                <w:rFonts w:ascii="Times New Roman" w:hAnsi="Times New Roman" w:cs="Times New Roman"/>
                <w:sz w:val="24"/>
              </w:rPr>
            </w:pPr>
            <w:r>
              <w:rPr>
                <w:sz w:val="15"/>
                <w:szCs w:val="15"/>
              </w:rPr>
              <w:t>-</w:t>
            </w:r>
            <w:r>
              <w:t xml:space="preserve"> </w:t>
            </w:r>
          </w:p>
        </w:tc>
        <w:tc>
          <w:tcPr>
            <w:tcW w:w="105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hideMark/>
          </w:tcPr>
          <w:p w:rsidR="007707B1" w:rsidP="0016573E" w:rsidRDefault="007707B1">
            <w:pPr>
              <w:rPr>
                <w:rFonts w:ascii="Times New Roman" w:hAnsi="Times New Roman" w:cs="Times New Roman"/>
                <w:sz w:val="24"/>
              </w:rPr>
            </w:pPr>
            <w:r>
              <w:rPr>
                <w:sz w:val="15"/>
                <w:szCs w:val="15"/>
              </w:rPr>
              <w:t>174</w:t>
            </w:r>
            <w:r>
              <w:t xml:space="preserve"> </w:t>
            </w:r>
          </w:p>
        </w:tc>
        <w:tc>
          <w:tcPr>
            <w:tcW w:w="105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hideMark/>
          </w:tcPr>
          <w:p w:rsidR="007707B1" w:rsidP="0016573E" w:rsidRDefault="007707B1">
            <w:pPr>
              <w:rPr>
                <w:rFonts w:ascii="Times New Roman" w:hAnsi="Times New Roman" w:cs="Times New Roman"/>
                <w:sz w:val="24"/>
              </w:rPr>
            </w:pPr>
            <w:r>
              <w:rPr>
                <w:sz w:val="15"/>
                <w:szCs w:val="15"/>
              </w:rPr>
              <w:t>176</w:t>
            </w:r>
            <w:r>
              <w:t xml:space="preserve"> </w:t>
            </w:r>
          </w:p>
        </w:tc>
        <w:tc>
          <w:tcPr>
            <w:tcW w:w="615" w:type="dxa"/>
            <w:tcBorders>
              <w:top w:val="single" w:color="000000" w:sz="6" w:space="0"/>
              <w:left w:val="single" w:color="000000" w:sz="6" w:space="0"/>
              <w:bottom w:val="single" w:color="000000" w:sz="6" w:space="0"/>
              <w:right w:val="single" w:color="000000" w:sz="2" w:space="0"/>
            </w:tcBorders>
            <w:tcMar>
              <w:top w:w="0" w:type="dxa"/>
              <w:left w:w="105" w:type="dxa"/>
              <w:bottom w:w="0" w:type="dxa"/>
              <w:right w:w="105" w:type="dxa"/>
            </w:tcMar>
            <w:hideMark/>
          </w:tcPr>
          <w:p w:rsidR="007707B1" w:rsidP="0016573E" w:rsidRDefault="007707B1">
            <w:pPr>
              <w:rPr>
                <w:rFonts w:ascii="Times New Roman" w:hAnsi="Times New Roman" w:cs="Times New Roman"/>
                <w:sz w:val="24"/>
              </w:rPr>
            </w:pPr>
            <w:r>
              <w:rPr>
                <w:sz w:val="15"/>
                <w:szCs w:val="15"/>
              </w:rPr>
              <w:t>213</w:t>
            </w:r>
            <w:r>
              <w:t xml:space="preserve"> </w:t>
            </w:r>
          </w:p>
        </w:tc>
      </w:tr>
      <w:tr w:rsidR="007707B1" w:rsidTr="007707B1">
        <w:trPr>
          <w:trHeight w:val="120"/>
        </w:trPr>
        <w:tc>
          <w:tcPr>
            <w:tcW w:w="1155" w:type="dxa"/>
            <w:tcBorders>
              <w:top w:val="single" w:color="000000" w:sz="6" w:space="0"/>
              <w:left w:val="single" w:color="000000" w:sz="2" w:space="0"/>
              <w:bottom w:val="single" w:color="000000" w:sz="6" w:space="0"/>
              <w:right w:val="single" w:color="000000" w:sz="6" w:space="0"/>
            </w:tcBorders>
            <w:tcMar>
              <w:top w:w="0" w:type="dxa"/>
              <w:left w:w="105" w:type="dxa"/>
              <w:bottom w:w="0" w:type="dxa"/>
              <w:right w:w="105" w:type="dxa"/>
            </w:tcMar>
            <w:hideMark/>
          </w:tcPr>
          <w:p w:rsidR="007707B1" w:rsidP="0016573E" w:rsidRDefault="007707B1">
            <w:pPr>
              <w:rPr>
                <w:rFonts w:cs="Times New Roman" w:asciiTheme="minorHAnsi" w:hAnsiTheme="minorHAnsi" w:eastAsiaTheme="minorEastAsia"/>
                <w:sz w:val="22"/>
                <w:szCs w:val="22"/>
              </w:rPr>
            </w:pPr>
          </w:p>
        </w:tc>
        <w:tc>
          <w:tcPr>
            <w:tcW w:w="139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hideMark/>
          </w:tcPr>
          <w:p w:rsidR="007707B1" w:rsidP="0016573E" w:rsidRDefault="007707B1">
            <w:pPr>
              <w:rPr>
                <w:rFonts w:ascii="Times New Roman" w:hAnsi="Times New Roman" w:cs="Times New Roman"/>
                <w:sz w:val="24"/>
              </w:rPr>
            </w:pPr>
            <w:r>
              <w:rPr>
                <w:sz w:val="15"/>
                <w:szCs w:val="15"/>
              </w:rPr>
              <w:t>Depressie</w:t>
            </w:r>
          </w:p>
        </w:tc>
        <w:tc>
          <w:tcPr>
            <w:tcW w:w="105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hideMark/>
          </w:tcPr>
          <w:p w:rsidR="007707B1" w:rsidP="0016573E" w:rsidRDefault="007707B1">
            <w:pPr>
              <w:rPr>
                <w:rFonts w:ascii="Times New Roman" w:hAnsi="Times New Roman" w:cs="Times New Roman"/>
                <w:sz w:val="24"/>
              </w:rPr>
            </w:pPr>
            <w:r>
              <w:rPr>
                <w:sz w:val="15"/>
                <w:szCs w:val="15"/>
              </w:rPr>
              <w:t>-</w:t>
            </w:r>
            <w:r>
              <w:t xml:space="preserve"> </w:t>
            </w:r>
          </w:p>
        </w:tc>
        <w:tc>
          <w:tcPr>
            <w:tcW w:w="105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hideMark/>
          </w:tcPr>
          <w:p w:rsidR="007707B1" w:rsidP="0016573E" w:rsidRDefault="007707B1">
            <w:pPr>
              <w:rPr>
                <w:rFonts w:ascii="Times New Roman" w:hAnsi="Times New Roman" w:cs="Times New Roman"/>
                <w:sz w:val="24"/>
              </w:rPr>
            </w:pPr>
            <w:r>
              <w:rPr>
                <w:sz w:val="15"/>
                <w:szCs w:val="15"/>
              </w:rPr>
              <w:t>161</w:t>
            </w:r>
            <w:r>
              <w:t xml:space="preserve"> </w:t>
            </w:r>
          </w:p>
        </w:tc>
        <w:tc>
          <w:tcPr>
            <w:tcW w:w="105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hideMark/>
          </w:tcPr>
          <w:p w:rsidR="007707B1" w:rsidP="0016573E" w:rsidRDefault="007707B1">
            <w:pPr>
              <w:rPr>
                <w:rFonts w:ascii="Times New Roman" w:hAnsi="Times New Roman" w:cs="Times New Roman"/>
                <w:sz w:val="24"/>
              </w:rPr>
            </w:pPr>
            <w:r>
              <w:rPr>
                <w:sz w:val="15"/>
                <w:szCs w:val="15"/>
              </w:rPr>
              <w:t>155</w:t>
            </w:r>
            <w:r>
              <w:t xml:space="preserve"> </w:t>
            </w:r>
          </w:p>
        </w:tc>
        <w:tc>
          <w:tcPr>
            <w:tcW w:w="615" w:type="dxa"/>
            <w:tcBorders>
              <w:top w:val="single" w:color="000000" w:sz="6" w:space="0"/>
              <w:left w:val="single" w:color="000000" w:sz="6" w:space="0"/>
              <w:bottom w:val="single" w:color="000000" w:sz="6" w:space="0"/>
              <w:right w:val="single" w:color="000000" w:sz="2" w:space="0"/>
            </w:tcBorders>
            <w:tcMar>
              <w:top w:w="0" w:type="dxa"/>
              <w:left w:w="105" w:type="dxa"/>
              <w:bottom w:w="0" w:type="dxa"/>
              <w:right w:w="105" w:type="dxa"/>
            </w:tcMar>
            <w:hideMark/>
          </w:tcPr>
          <w:p w:rsidR="007707B1" w:rsidP="0016573E" w:rsidRDefault="007707B1">
            <w:pPr>
              <w:rPr>
                <w:rFonts w:ascii="Times New Roman" w:hAnsi="Times New Roman" w:cs="Times New Roman"/>
                <w:sz w:val="24"/>
              </w:rPr>
            </w:pPr>
            <w:r>
              <w:rPr>
                <w:sz w:val="15"/>
                <w:szCs w:val="15"/>
              </w:rPr>
              <w:t>169</w:t>
            </w:r>
            <w:r>
              <w:t xml:space="preserve"> </w:t>
            </w:r>
          </w:p>
        </w:tc>
      </w:tr>
      <w:tr w:rsidR="007707B1" w:rsidTr="007707B1">
        <w:trPr>
          <w:trHeight w:val="120"/>
        </w:trPr>
        <w:tc>
          <w:tcPr>
            <w:tcW w:w="1155" w:type="dxa"/>
            <w:tcBorders>
              <w:top w:val="single" w:color="000000" w:sz="6" w:space="0"/>
              <w:left w:val="single" w:color="000000" w:sz="2" w:space="0"/>
              <w:bottom w:val="single" w:color="000000" w:sz="6" w:space="0"/>
              <w:right w:val="single" w:color="000000" w:sz="6" w:space="0"/>
            </w:tcBorders>
            <w:tcMar>
              <w:top w:w="0" w:type="dxa"/>
              <w:left w:w="105" w:type="dxa"/>
              <w:bottom w:w="0" w:type="dxa"/>
              <w:right w:w="105" w:type="dxa"/>
            </w:tcMar>
            <w:hideMark/>
          </w:tcPr>
          <w:p w:rsidR="007707B1" w:rsidP="0016573E" w:rsidRDefault="007707B1">
            <w:pPr>
              <w:rPr>
                <w:rFonts w:cs="Times New Roman" w:asciiTheme="minorHAnsi" w:hAnsiTheme="minorHAnsi" w:eastAsiaTheme="minorEastAsia"/>
                <w:sz w:val="22"/>
                <w:szCs w:val="22"/>
              </w:rPr>
            </w:pPr>
          </w:p>
        </w:tc>
        <w:tc>
          <w:tcPr>
            <w:tcW w:w="139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hideMark/>
          </w:tcPr>
          <w:p w:rsidR="007707B1" w:rsidP="0016573E" w:rsidRDefault="007707B1">
            <w:pPr>
              <w:rPr>
                <w:rFonts w:ascii="Times New Roman" w:hAnsi="Times New Roman" w:cs="Times New Roman"/>
                <w:sz w:val="24"/>
              </w:rPr>
            </w:pPr>
            <w:r>
              <w:rPr>
                <w:sz w:val="15"/>
                <w:szCs w:val="15"/>
              </w:rPr>
              <w:t>Seksuele gezondheid</w:t>
            </w:r>
          </w:p>
        </w:tc>
        <w:tc>
          <w:tcPr>
            <w:tcW w:w="105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hideMark/>
          </w:tcPr>
          <w:p w:rsidR="007707B1" w:rsidP="0016573E" w:rsidRDefault="007707B1">
            <w:pPr>
              <w:rPr>
                <w:rFonts w:ascii="Times New Roman" w:hAnsi="Times New Roman" w:cs="Times New Roman"/>
                <w:sz w:val="24"/>
              </w:rPr>
            </w:pPr>
            <w:r>
              <w:rPr>
                <w:sz w:val="15"/>
                <w:szCs w:val="15"/>
              </w:rPr>
              <w:t>-</w:t>
            </w:r>
            <w:r>
              <w:t xml:space="preserve"> </w:t>
            </w:r>
          </w:p>
        </w:tc>
        <w:tc>
          <w:tcPr>
            <w:tcW w:w="105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hideMark/>
          </w:tcPr>
          <w:p w:rsidR="007707B1" w:rsidP="0016573E" w:rsidRDefault="007707B1">
            <w:pPr>
              <w:rPr>
                <w:rFonts w:ascii="Times New Roman" w:hAnsi="Times New Roman" w:cs="Times New Roman"/>
                <w:sz w:val="24"/>
              </w:rPr>
            </w:pPr>
            <w:r>
              <w:rPr>
                <w:sz w:val="15"/>
                <w:szCs w:val="15"/>
              </w:rPr>
              <w:t>113</w:t>
            </w:r>
            <w:r>
              <w:t xml:space="preserve"> </w:t>
            </w:r>
          </w:p>
        </w:tc>
        <w:tc>
          <w:tcPr>
            <w:tcW w:w="105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hideMark/>
          </w:tcPr>
          <w:p w:rsidR="007707B1" w:rsidP="0016573E" w:rsidRDefault="007707B1">
            <w:pPr>
              <w:rPr>
                <w:rFonts w:ascii="Times New Roman" w:hAnsi="Times New Roman" w:cs="Times New Roman"/>
                <w:sz w:val="24"/>
              </w:rPr>
            </w:pPr>
            <w:r>
              <w:rPr>
                <w:sz w:val="15"/>
                <w:szCs w:val="15"/>
              </w:rPr>
              <w:t>95</w:t>
            </w:r>
            <w:r>
              <w:t xml:space="preserve"> </w:t>
            </w:r>
          </w:p>
        </w:tc>
        <w:tc>
          <w:tcPr>
            <w:tcW w:w="615" w:type="dxa"/>
            <w:tcBorders>
              <w:top w:val="single" w:color="000000" w:sz="6" w:space="0"/>
              <w:left w:val="single" w:color="000000" w:sz="6" w:space="0"/>
              <w:bottom w:val="single" w:color="000000" w:sz="6" w:space="0"/>
              <w:right w:val="single" w:color="000000" w:sz="2" w:space="0"/>
            </w:tcBorders>
            <w:tcMar>
              <w:top w:w="0" w:type="dxa"/>
              <w:left w:w="105" w:type="dxa"/>
              <w:bottom w:w="0" w:type="dxa"/>
              <w:right w:w="105" w:type="dxa"/>
            </w:tcMar>
            <w:hideMark/>
          </w:tcPr>
          <w:p w:rsidR="007707B1" w:rsidP="0016573E" w:rsidRDefault="007707B1">
            <w:pPr>
              <w:rPr>
                <w:rFonts w:ascii="Times New Roman" w:hAnsi="Times New Roman" w:cs="Times New Roman"/>
                <w:sz w:val="24"/>
              </w:rPr>
            </w:pPr>
            <w:r>
              <w:rPr>
                <w:sz w:val="15"/>
                <w:szCs w:val="15"/>
              </w:rPr>
              <w:t>123</w:t>
            </w:r>
            <w:r>
              <w:t xml:space="preserve"> </w:t>
            </w:r>
          </w:p>
        </w:tc>
      </w:tr>
      <w:tr w:rsidR="007707B1" w:rsidTr="007707B1">
        <w:trPr>
          <w:trHeight w:val="120"/>
        </w:trPr>
        <w:tc>
          <w:tcPr>
            <w:tcW w:w="1155" w:type="dxa"/>
            <w:tcBorders>
              <w:top w:val="single" w:color="000000" w:sz="6" w:space="0"/>
              <w:left w:val="single" w:color="000000" w:sz="2" w:space="0"/>
              <w:bottom w:val="single" w:color="000000" w:sz="6" w:space="0"/>
              <w:right w:val="single" w:color="000000" w:sz="6" w:space="0"/>
            </w:tcBorders>
            <w:tcMar>
              <w:top w:w="0" w:type="dxa"/>
              <w:left w:w="105" w:type="dxa"/>
              <w:bottom w:w="0" w:type="dxa"/>
              <w:right w:w="105" w:type="dxa"/>
            </w:tcMar>
            <w:hideMark/>
          </w:tcPr>
          <w:p w:rsidR="007707B1" w:rsidP="0016573E" w:rsidRDefault="007707B1">
            <w:pPr>
              <w:rPr>
                <w:rFonts w:cs="Times New Roman" w:asciiTheme="minorHAnsi" w:hAnsiTheme="minorHAnsi" w:eastAsiaTheme="minorEastAsia"/>
                <w:sz w:val="22"/>
                <w:szCs w:val="22"/>
              </w:rPr>
            </w:pPr>
          </w:p>
        </w:tc>
        <w:tc>
          <w:tcPr>
            <w:tcW w:w="139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hideMark/>
          </w:tcPr>
          <w:p w:rsidR="007707B1" w:rsidP="0016573E" w:rsidRDefault="007707B1">
            <w:pPr>
              <w:rPr>
                <w:rFonts w:ascii="Times New Roman" w:hAnsi="Times New Roman" w:cs="Times New Roman"/>
                <w:sz w:val="24"/>
              </w:rPr>
            </w:pPr>
            <w:r>
              <w:rPr>
                <w:sz w:val="15"/>
                <w:szCs w:val="15"/>
              </w:rPr>
              <w:t>Letsel</w:t>
            </w:r>
          </w:p>
        </w:tc>
        <w:tc>
          <w:tcPr>
            <w:tcW w:w="105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hideMark/>
          </w:tcPr>
          <w:p w:rsidR="007707B1" w:rsidP="0016573E" w:rsidRDefault="007707B1">
            <w:pPr>
              <w:rPr>
                <w:rFonts w:ascii="Times New Roman" w:hAnsi="Times New Roman" w:cs="Times New Roman"/>
                <w:sz w:val="24"/>
              </w:rPr>
            </w:pPr>
            <w:r>
              <w:rPr>
                <w:sz w:val="15"/>
                <w:szCs w:val="15"/>
              </w:rPr>
              <w:t>-</w:t>
            </w:r>
            <w:r>
              <w:t xml:space="preserve"> </w:t>
            </w:r>
          </w:p>
        </w:tc>
        <w:tc>
          <w:tcPr>
            <w:tcW w:w="105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hideMark/>
          </w:tcPr>
          <w:p w:rsidR="007707B1" w:rsidP="0016573E" w:rsidRDefault="007707B1">
            <w:pPr>
              <w:rPr>
                <w:rFonts w:ascii="Times New Roman" w:hAnsi="Times New Roman" w:cs="Times New Roman"/>
                <w:sz w:val="24"/>
              </w:rPr>
            </w:pPr>
            <w:r>
              <w:rPr>
                <w:sz w:val="15"/>
                <w:szCs w:val="15"/>
              </w:rPr>
              <w:t>-</w:t>
            </w:r>
            <w:r>
              <w:t xml:space="preserve"> </w:t>
            </w:r>
          </w:p>
        </w:tc>
        <w:tc>
          <w:tcPr>
            <w:tcW w:w="105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hideMark/>
          </w:tcPr>
          <w:p w:rsidR="007707B1" w:rsidP="0016573E" w:rsidRDefault="007707B1">
            <w:pPr>
              <w:rPr>
                <w:rFonts w:ascii="Times New Roman" w:hAnsi="Times New Roman" w:cs="Times New Roman"/>
                <w:sz w:val="24"/>
              </w:rPr>
            </w:pPr>
            <w:r>
              <w:rPr>
                <w:sz w:val="15"/>
                <w:szCs w:val="15"/>
              </w:rPr>
              <w:t>-</w:t>
            </w:r>
            <w:r>
              <w:t xml:space="preserve"> </w:t>
            </w:r>
          </w:p>
        </w:tc>
        <w:tc>
          <w:tcPr>
            <w:tcW w:w="615" w:type="dxa"/>
            <w:tcBorders>
              <w:top w:val="single" w:color="000000" w:sz="6" w:space="0"/>
              <w:left w:val="single" w:color="000000" w:sz="6" w:space="0"/>
              <w:bottom w:val="single" w:color="000000" w:sz="6" w:space="0"/>
              <w:right w:val="single" w:color="000000" w:sz="2" w:space="0"/>
            </w:tcBorders>
            <w:tcMar>
              <w:top w:w="0" w:type="dxa"/>
              <w:left w:w="105" w:type="dxa"/>
              <w:bottom w:w="0" w:type="dxa"/>
              <w:right w:w="105" w:type="dxa"/>
            </w:tcMar>
            <w:hideMark/>
          </w:tcPr>
          <w:p w:rsidR="007707B1" w:rsidP="0016573E" w:rsidRDefault="007707B1">
            <w:pPr>
              <w:rPr>
                <w:rFonts w:ascii="Times New Roman" w:hAnsi="Times New Roman" w:cs="Times New Roman"/>
                <w:sz w:val="24"/>
              </w:rPr>
            </w:pPr>
            <w:r>
              <w:rPr>
                <w:sz w:val="15"/>
                <w:szCs w:val="15"/>
              </w:rPr>
              <w:t>91**</w:t>
            </w:r>
            <w:r>
              <w:t xml:space="preserve"> </w:t>
            </w:r>
          </w:p>
        </w:tc>
      </w:tr>
      <w:tr w:rsidR="007707B1" w:rsidTr="007707B1">
        <w:trPr>
          <w:trHeight w:val="120"/>
        </w:trPr>
        <w:tc>
          <w:tcPr>
            <w:tcW w:w="1155" w:type="dxa"/>
            <w:tcBorders>
              <w:top w:val="single" w:color="000000" w:sz="6" w:space="0"/>
              <w:left w:val="single" w:color="000000" w:sz="2" w:space="0"/>
              <w:bottom w:val="single" w:color="000000" w:sz="6" w:space="0"/>
              <w:right w:val="single" w:color="000000" w:sz="6" w:space="0"/>
            </w:tcBorders>
            <w:tcMar>
              <w:top w:w="0" w:type="dxa"/>
              <w:left w:w="105" w:type="dxa"/>
              <w:bottom w:w="0" w:type="dxa"/>
              <w:right w:w="105" w:type="dxa"/>
            </w:tcMar>
            <w:hideMark/>
          </w:tcPr>
          <w:p w:rsidR="007707B1" w:rsidP="0016573E" w:rsidRDefault="007707B1">
            <w:pPr>
              <w:rPr>
                <w:rFonts w:cs="Times New Roman" w:asciiTheme="minorHAnsi" w:hAnsiTheme="minorHAnsi" w:eastAsiaTheme="minorEastAsia"/>
                <w:sz w:val="22"/>
                <w:szCs w:val="22"/>
              </w:rPr>
            </w:pPr>
          </w:p>
        </w:tc>
        <w:tc>
          <w:tcPr>
            <w:tcW w:w="139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hideMark/>
          </w:tcPr>
          <w:p w:rsidR="007707B1" w:rsidP="0016573E" w:rsidRDefault="007707B1">
            <w:pPr>
              <w:rPr>
                <w:rFonts w:cs="Times New Roman" w:asciiTheme="minorHAnsi" w:hAnsiTheme="minorHAnsi" w:eastAsiaTheme="minorEastAsia"/>
                <w:sz w:val="22"/>
                <w:szCs w:val="22"/>
              </w:rPr>
            </w:pPr>
          </w:p>
        </w:tc>
        <w:tc>
          <w:tcPr>
            <w:tcW w:w="105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hideMark/>
          </w:tcPr>
          <w:p w:rsidR="007707B1" w:rsidP="0016573E" w:rsidRDefault="007707B1">
            <w:pPr>
              <w:rPr>
                <w:rFonts w:cs="Times New Roman" w:asciiTheme="minorHAnsi" w:hAnsiTheme="minorHAnsi" w:eastAsiaTheme="minorEastAsia"/>
                <w:sz w:val="22"/>
                <w:szCs w:val="22"/>
              </w:rPr>
            </w:pPr>
          </w:p>
        </w:tc>
        <w:tc>
          <w:tcPr>
            <w:tcW w:w="105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hideMark/>
          </w:tcPr>
          <w:p w:rsidR="007707B1" w:rsidP="0016573E" w:rsidRDefault="007707B1">
            <w:pPr>
              <w:rPr>
                <w:rFonts w:cs="Times New Roman" w:asciiTheme="minorHAnsi" w:hAnsiTheme="minorHAnsi" w:eastAsiaTheme="minorEastAsia"/>
                <w:sz w:val="22"/>
                <w:szCs w:val="22"/>
              </w:rPr>
            </w:pPr>
          </w:p>
        </w:tc>
        <w:tc>
          <w:tcPr>
            <w:tcW w:w="105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hideMark/>
          </w:tcPr>
          <w:p w:rsidR="007707B1" w:rsidP="0016573E" w:rsidRDefault="007707B1">
            <w:pPr>
              <w:rPr>
                <w:rFonts w:cs="Times New Roman" w:asciiTheme="minorHAnsi" w:hAnsiTheme="minorHAnsi" w:eastAsiaTheme="minorEastAsia"/>
                <w:sz w:val="22"/>
                <w:szCs w:val="22"/>
              </w:rPr>
            </w:pPr>
          </w:p>
        </w:tc>
        <w:tc>
          <w:tcPr>
            <w:tcW w:w="615" w:type="dxa"/>
            <w:tcBorders>
              <w:top w:val="single" w:color="000000" w:sz="6" w:space="0"/>
              <w:left w:val="single" w:color="000000" w:sz="6" w:space="0"/>
              <w:bottom w:val="single" w:color="000000" w:sz="6" w:space="0"/>
              <w:right w:val="single" w:color="000000" w:sz="2" w:space="0"/>
            </w:tcBorders>
            <w:tcMar>
              <w:top w:w="0" w:type="dxa"/>
              <w:left w:w="105" w:type="dxa"/>
              <w:bottom w:w="0" w:type="dxa"/>
              <w:right w:w="105" w:type="dxa"/>
            </w:tcMar>
            <w:hideMark/>
          </w:tcPr>
          <w:p w:rsidR="007707B1" w:rsidP="0016573E" w:rsidRDefault="007707B1">
            <w:pPr>
              <w:rPr>
                <w:rFonts w:cs="Times New Roman" w:asciiTheme="minorHAnsi" w:hAnsiTheme="minorHAnsi" w:eastAsiaTheme="minorEastAsia"/>
                <w:sz w:val="22"/>
                <w:szCs w:val="22"/>
              </w:rPr>
            </w:pPr>
          </w:p>
        </w:tc>
      </w:tr>
      <w:tr w:rsidR="007707B1" w:rsidTr="007707B1">
        <w:trPr>
          <w:trHeight w:val="120"/>
        </w:trPr>
        <w:tc>
          <w:tcPr>
            <w:tcW w:w="1155" w:type="dxa"/>
            <w:tcBorders>
              <w:top w:val="single" w:color="000000" w:sz="6" w:space="0"/>
              <w:left w:val="single" w:color="000000" w:sz="2" w:space="0"/>
              <w:bottom w:val="single" w:color="000000" w:sz="6" w:space="0"/>
              <w:right w:val="single" w:color="000000" w:sz="6" w:space="0"/>
            </w:tcBorders>
            <w:tcMar>
              <w:top w:w="0" w:type="dxa"/>
              <w:left w:w="105" w:type="dxa"/>
              <w:bottom w:w="0" w:type="dxa"/>
              <w:right w:w="105" w:type="dxa"/>
            </w:tcMar>
            <w:hideMark/>
          </w:tcPr>
          <w:p w:rsidR="007707B1" w:rsidP="0016573E" w:rsidRDefault="007707B1">
            <w:pPr>
              <w:rPr>
                <w:rFonts w:ascii="Times New Roman" w:hAnsi="Times New Roman" w:cs="Times New Roman"/>
                <w:sz w:val="24"/>
              </w:rPr>
            </w:pPr>
            <w:r>
              <w:rPr>
                <w:b/>
                <w:bCs/>
                <w:sz w:val="15"/>
                <w:szCs w:val="15"/>
              </w:rPr>
              <w:t>2012</w:t>
            </w:r>
          </w:p>
        </w:tc>
        <w:tc>
          <w:tcPr>
            <w:tcW w:w="139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hideMark/>
          </w:tcPr>
          <w:p w:rsidR="007707B1" w:rsidP="0016573E" w:rsidRDefault="007707B1">
            <w:pPr>
              <w:rPr>
                <w:rFonts w:cs="Times New Roman" w:asciiTheme="minorHAnsi" w:hAnsiTheme="minorHAnsi" w:eastAsiaTheme="minorEastAsia"/>
                <w:sz w:val="22"/>
                <w:szCs w:val="22"/>
              </w:rPr>
            </w:pPr>
          </w:p>
        </w:tc>
        <w:tc>
          <w:tcPr>
            <w:tcW w:w="105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hideMark/>
          </w:tcPr>
          <w:p w:rsidR="007707B1" w:rsidP="0016573E" w:rsidRDefault="007707B1">
            <w:pPr>
              <w:rPr>
                <w:rFonts w:cs="Times New Roman" w:asciiTheme="minorHAnsi" w:hAnsiTheme="minorHAnsi" w:eastAsiaTheme="minorEastAsia"/>
                <w:sz w:val="22"/>
                <w:szCs w:val="22"/>
              </w:rPr>
            </w:pPr>
          </w:p>
        </w:tc>
        <w:tc>
          <w:tcPr>
            <w:tcW w:w="105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hideMark/>
          </w:tcPr>
          <w:p w:rsidR="007707B1" w:rsidP="0016573E" w:rsidRDefault="007707B1">
            <w:pPr>
              <w:rPr>
                <w:rFonts w:cs="Times New Roman" w:asciiTheme="minorHAnsi" w:hAnsiTheme="minorHAnsi" w:eastAsiaTheme="minorEastAsia"/>
                <w:sz w:val="22"/>
                <w:szCs w:val="22"/>
              </w:rPr>
            </w:pPr>
          </w:p>
        </w:tc>
        <w:tc>
          <w:tcPr>
            <w:tcW w:w="105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hideMark/>
          </w:tcPr>
          <w:p w:rsidR="007707B1" w:rsidP="0016573E" w:rsidRDefault="007707B1">
            <w:pPr>
              <w:rPr>
                <w:rFonts w:cs="Times New Roman" w:asciiTheme="minorHAnsi" w:hAnsiTheme="minorHAnsi" w:eastAsiaTheme="minorEastAsia"/>
                <w:sz w:val="22"/>
                <w:szCs w:val="22"/>
              </w:rPr>
            </w:pPr>
          </w:p>
        </w:tc>
        <w:tc>
          <w:tcPr>
            <w:tcW w:w="615" w:type="dxa"/>
            <w:tcBorders>
              <w:top w:val="single" w:color="000000" w:sz="6" w:space="0"/>
              <w:left w:val="single" w:color="000000" w:sz="6" w:space="0"/>
              <w:bottom w:val="single" w:color="000000" w:sz="6" w:space="0"/>
              <w:right w:val="single" w:color="000000" w:sz="2" w:space="0"/>
            </w:tcBorders>
            <w:tcMar>
              <w:top w:w="0" w:type="dxa"/>
              <w:left w:w="105" w:type="dxa"/>
              <w:bottom w:w="0" w:type="dxa"/>
              <w:right w:w="105" w:type="dxa"/>
            </w:tcMar>
            <w:hideMark/>
          </w:tcPr>
          <w:p w:rsidR="007707B1" w:rsidP="0016573E" w:rsidRDefault="007707B1">
            <w:pPr>
              <w:rPr>
                <w:rFonts w:cs="Times New Roman" w:asciiTheme="minorHAnsi" w:hAnsiTheme="minorHAnsi" w:eastAsiaTheme="minorEastAsia"/>
                <w:sz w:val="22"/>
                <w:szCs w:val="22"/>
              </w:rPr>
            </w:pPr>
          </w:p>
        </w:tc>
      </w:tr>
      <w:tr w:rsidR="007707B1" w:rsidTr="007707B1">
        <w:trPr>
          <w:trHeight w:val="120"/>
        </w:trPr>
        <w:tc>
          <w:tcPr>
            <w:tcW w:w="1155" w:type="dxa"/>
            <w:tcBorders>
              <w:top w:val="single" w:color="000000" w:sz="6" w:space="0"/>
              <w:left w:val="single" w:color="000000" w:sz="2" w:space="0"/>
              <w:bottom w:val="single" w:color="000000" w:sz="6" w:space="0"/>
              <w:right w:val="single" w:color="000000" w:sz="6" w:space="0"/>
            </w:tcBorders>
            <w:tcMar>
              <w:top w:w="0" w:type="dxa"/>
              <w:left w:w="105" w:type="dxa"/>
              <w:bottom w:w="0" w:type="dxa"/>
              <w:right w:w="105" w:type="dxa"/>
            </w:tcMar>
            <w:hideMark/>
          </w:tcPr>
          <w:p w:rsidR="007707B1" w:rsidP="0016573E" w:rsidRDefault="007707B1">
            <w:pPr>
              <w:jc w:val="right"/>
              <w:rPr>
                <w:rFonts w:ascii="Times New Roman" w:hAnsi="Times New Roman" w:cs="Times New Roman"/>
                <w:sz w:val="24"/>
              </w:rPr>
            </w:pPr>
            <w:r>
              <w:rPr>
                <w:b/>
                <w:bCs/>
                <w:sz w:val="15"/>
                <w:szCs w:val="15"/>
              </w:rPr>
              <w:t>Gemiddeld</w:t>
            </w:r>
          </w:p>
        </w:tc>
        <w:tc>
          <w:tcPr>
            <w:tcW w:w="139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hideMark/>
          </w:tcPr>
          <w:p w:rsidR="007707B1" w:rsidP="0016573E" w:rsidRDefault="007707B1">
            <w:pPr>
              <w:rPr>
                <w:rFonts w:ascii="Times New Roman" w:hAnsi="Times New Roman" w:cs="Times New Roman"/>
                <w:sz w:val="24"/>
              </w:rPr>
            </w:pPr>
            <w:r>
              <w:rPr>
                <w:sz w:val="15"/>
                <w:szCs w:val="15"/>
              </w:rPr>
              <w:t>Algemeen</w:t>
            </w:r>
          </w:p>
        </w:tc>
        <w:tc>
          <w:tcPr>
            <w:tcW w:w="105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hideMark/>
          </w:tcPr>
          <w:p w:rsidR="007707B1" w:rsidP="0016573E" w:rsidRDefault="007707B1">
            <w:pPr>
              <w:rPr>
                <w:rFonts w:ascii="Times New Roman" w:hAnsi="Times New Roman" w:cs="Times New Roman"/>
                <w:sz w:val="24"/>
              </w:rPr>
            </w:pPr>
            <w:r>
              <w:rPr>
                <w:sz w:val="15"/>
                <w:szCs w:val="15"/>
              </w:rPr>
              <w:t>1473</w:t>
            </w:r>
            <w:r>
              <w:t xml:space="preserve"> </w:t>
            </w:r>
          </w:p>
        </w:tc>
        <w:tc>
          <w:tcPr>
            <w:tcW w:w="105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hideMark/>
          </w:tcPr>
          <w:p w:rsidR="007707B1" w:rsidP="0016573E" w:rsidRDefault="007707B1">
            <w:pPr>
              <w:rPr>
                <w:rFonts w:ascii="Times New Roman" w:hAnsi="Times New Roman" w:cs="Times New Roman"/>
                <w:sz w:val="24"/>
              </w:rPr>
            </w:pPr>
            <w:r>
              <w:rPr>
                <w:sz w:val="15"/>
                <w:szCs w:val="15"/>
              </w:rPr>
              <w:t>1451</w:t>
            </w:r>
          </w:p>
        </w:tc>
        <w:tc>
          <w:tcPr>
            <w:tcW w:w="105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hideMark/>
          </w:tcPr>
          <w:p w:rsidR="007707B1" w:rsidP="0016573E" w:rsidRDefault="007707B1">
            <w:pPr>
              <w:rPr>
                <w:rFonts w:ascii="Times New Roman" w:hAnsi="Times New Roman" w:cs="Times New Roman"/>
                <w:sz w:val="24"/>
              </w:rPr>
            </w:pPr>
            <w:r>
              <w:rPr>
                <w:sz w:val="15"/>
                <w:szCs w:val="15"/>
              </w:rPr>
              <w:t xml:space="preserve">1131 </w:t>
            </w:r>
          </w:p>
        </w:tc>
        <w:tc>
          <w:tcPr>
            <w:tcW w:w="615" w:type="dxa"/>
            <w:tcBorders>
              <w:top w:val="single" w:color="000000" w:sz="6" w:space="0"/>
              <w:left w:val="single" w:color="000000" w:sz="6" w:space="0"/>
              <w:bottom w:val="single" w:color="000000" w:sz="6" w:space="0"/>
              <w:right w:val="single" w:color="000000" w:sz="2" w:space="0"/>
            </w:tcBorders>
            <w:tcMar>
              <w:top w:w="0" w:type="dxa"/>
              <w:left w:w="105" w:type="dxa"/>
              <w:bottom w:w="0" w:type="dxa"/>
              <w:right w:w="105" w:type="dxa"/>
            </w:tcMar>
            <w:hideMark/>
          </w:tcPr>
          <w:p w:rsidRPr="00742E54" w:rsidR="007707B1" w:rsidP="0016573E" w:rsidRDefault="00742E54">
            <w:pPr>
              <w:rPr>
                <w:rFonts w:cs="Times New Roman"/>
                <w:sz w:val="15"/>
                <w:szCs w:val="15"/>
              </w:rPr>
            </w:pPr>
            <w:r>
              <w:rPr>
                <w:rFonts w:cs="Times New Roman"/>
                <w:sz w:val="15"/>
                <w:szCs w:val="15"/>
              </w:rPr>
              <w:t>1185</w:t>
            </w:r>
          </w:p>
        </w:tc>
      </w:tr>
      <w:tr w:rsidR="007707B1" w:rsidTr="007707B1">
        <w:trPr>
          <w:trHeight w:val="120"/>
        </w:trPr>
        <w:tc>
          <w:tcPr>
            <w:tcW w:w="1155" w:type="dxa"/>
            <w:tcBorders>
              <w:top w:val="single" w:color="000000" w:sz="6" w:space="0"/>
              <w:left w:val="single" w:color="000000" w:sz="2" w:space="0"/>
              <w:bottom w:val="single" w:color="000000" w:sz="6" w:space="0"/>
              <w:right w:val="single" w:color="000000" w:sz="6" w:space="0"/>
            </w:tcBorders>
            <w:tcMar>
              <w:top w:w="0" w:type="dxa"/>
              <w:left w:w="105" w:type="dxa"/>
              <w:bottom w:w="0" w:type="dxa"/>
              <w:right w:w="105" w:type="dxa"/>
            </w:tcMar>
            <w:hideMark/>
          </w:tcPr>
          <w:p w:rsidR="007707B1" w:rsidP="0016573E" w:rsidRDefault="007707B1">
            <w:pPr>
              <w:rPr>
                <w:rFonts w:cs="Times New Roman" w:asciiTheme="minorHAnsi" w:hAnsiTheme="minorHAnsi" w:eastAsiaTheme="minorEastAsia"/>
                <w:sz w:val="22"/>
                <w:szCs w:val="22"/>
              </w:rPr>
            </w:pPr>
          </w:p>
        </w:tc>
        <w:tc>
          <w:tcPr>
            <w:tcW w:w="139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hideMark/>
          </w:tcPr>
          <w:p w:rsidR="007707B1" w:rsidP="0016573E" w:rsidRDefault="007707B1">
            <w:pPr>
              <w:rPr>
                <w:rFonts w:ascii="Times New Roman" w:hAnsi="Times New Roman" w:cs="Times New Roman"/>
                <w:sz w:val="24"/>
              </w:rPr>
            </w:pPr>
            <w:r>
              <w:rPr>
                <w:sz w:val="15"/>
                <w:szCs w:val="15"/>
              </w:rPr>
              <w:t>Overgewicht</w:t>
            </w:r>
          </w:p>
        </w:tc>
        <w:tc>
          <w:tcPr>
            <w:tcW w:w="105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hideMark/>
          </w:tcPr>
          <w:p w:rsidR="007707B1" w:rsidP="0016573E" w:rsidRDefault="007707B1">
            <w:pPr>
              <w:rPr>
                <w:rFonts w:ascii="Times New Roman" w:hAnsi="Times New Roman" w:cs="Times New Roman"/>
                <w:sz w:val="24"/>
              </w:rPr>
            </w:pPr>
            <w:r>
              <w:rPr>
                <w:sz w:val="15"/>
                <w:szCs w:val="15"/>
              </w:rPr>
              <w:t>457</w:t>
            </w:r>
            <w:r>
              <w:t xml:space="preserve"> </w:t>
            </w:r>
          </w:p>
        </w:tc>
        <w:tc>
          <w:tcPr>
            <w:tcW w:w="105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hideMark/>
          </w:tcPr>
          <w:p w:rsidR="007707B1" w:rsidP="0016573E" w:rsidRDefault="007707B1">
            <w:pPr>
              <w:rPr>
                <w:rFonts w:ascii="Times New Roman" w:hAnsi="Times New Roman" w:cs="Times New Roman"/>
                <w:sz w:val="24"/>
              </w:rPr>
            </w:pPr>
            <w:r>
              <w:rPr>
                <w:sz w:val="15"/>
                <w:szCs w:val="15"/>
              </w:rPr>
              <w:t>424</w:t>
            </w:r>
            <w:r>
              <w:t xml:space="preserve"> </w:t>
            </w:r>
          </w:p>
        </w:tc>
        <w:tc>
          <w:tcPr>
            <w:tcW w:w="105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hideMark/>
          </w:tcPr>
          <w:p w:rsidR="007707B1" w:rsidP="0016573E" w:rsidRDefault="007707B1">
            <w:pPr>
              <w:rPr>
                <w:rFonts w:ascii="Times New Roman" w:hAnsi="Times New Roman" w:cs="Times New Roman"/>
                <w:sz w:val="24"/>
              </w:rPr>
            </w:pPr>
            <w:r>
              <w:rPr>
                <w:sz w:val="15"/>
                <w:szCs w:val="15"/>
              </w:rPr>
              <w:t>318</w:t>
            </w:r>
            <w:r w:rsidR="00FE661F">
              <w:rPr>
                <w:sz w:val="15"/>
                <w:szCs w:val="15"/>
              </w:rPr>
              <w:t xml:space="preserve"> </w:t>
            </w:r>
          </w:p>
        </w:tc>
        <w:tc>
          <w:tcPr>
            <w:tcW w:w="615" w:type="dxa"/>
            <w:tcBorders>
              <w:top w:val="single" w:color="000000" w:sz="6" w:space="0"/>
              <w:left w:val="single" w:color="000000" w:sz="6" w:space="0"/>
              <w:bottom w:val="single" w:color="000000" w:sz="6" w:space="0"/>
              <w:right w:val="single" w:color="000000" w:sz="2" w:space="0"/>
            </w:tcBorders>
            <w:tcMar>
              <w:top w:w="0" w:type="dxa"/>
              <w:left w:w="105" w:type="dxa"/>
              <w:bottom w:w="0" w:type="dxa"/>
              <w:right w:w="105" w:type="dxa"/>
            </w:tcMar>
            <w:hideMark/>
          </w:tcPr>
          <w:p w:rsidRPr="00742E54" w:rsidR="007707B1" w:rsidP="0016573E" w:rsidRDefault="00742E54">
            <w:pPr>
              <w:rPr>
                <w:rFonts w:cs="Times New Roman"/>
                <w:sz w:val="15"/>
                <w:szCs w:val="15"/>
              </w:rPr>
            </w:pPr>
            <w:r>
              <w:rPr>
                <w:rFonts w:cs="Times New Roman"/>
                <w:sz w:val="15"/>
                <w:szCs w:val="15"/>
              </w:rPr>
              <w:t>502</w:t>
            </w:r>
          </w:p>
        </w:tc>
      </w:tr>
      <w:tr w:rsidR="007707B1" w:rsidTr="007707B1">
        <w:trPr>
          <w:trHeight w:val="120"/>
        </w:trPr>
        <w:tc>
          <w:tcPr>
            <w:tcW w:w="1155" w:type="dxa"/>
            <w:tcBorders>
              <w:top w:val="single" w:color="000000" w:sz="6" w:space="0"/>
              <w:left w:val="single" w:color="000000" w:sz="2" w:space="0"/>
              <w:bottom w:val="single" w:color="000000" w:sz="6" w:space="0"/>
              <w:right w:val="single" w:color="000000" w:sz="6" w:space="0"/>
            </w:tcBorders>
            <w:tcMar>
              <w:top w:w="0" w:type="dxa"/>
              <w:left w:w="105" w:type="dxa"/>
              <w:bottom w:w="0" w:type="dxa"/>
              <w:right w:w="105" w:type="dxa"/>
            </w:tcMar>
            <w:hideMark/>
          </w:tcPr>
          <w:p w:rsidR="007707B1" w:rsidP="0016573E" w:rsidRDefault="007707B1">
            <w:pPr>
              <w:rPr>
                <w:rFonts w:cs="Times New Roman" w:asciiTheme="minorHAnsi" w:hAnsiTheme="minorHAnsi" w:eastAsiaTheme="minorEastAsia"/>
                <w:sz w:val="22"/>
                <w:szCs w:val="22"/>
              </w:rPr>
            </w:pPr>
          </w:p>
        </w:tc>
        <w:tc>
          <w:tcPr>
            <w:tcW w:w="139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hideMark/>
          </w:tcPr>
          <w:p w:rsidR="007707B1" w:rsidP="0016573E" w:rsidRDefault="007707B1">
            <w:pPr>
              <w:rPr>
                <w:rFonts w:ascii="Times New Roman" w:hAnsi="Times New Roman" w:cs="Times New Roman"/>
                <w:sz w:val="24"/>
              </w:rPr>
            </w:pPr>
            <w:r>
              <w:rPr>
                <w:sz w:val="15"/>
                <w:szCs w:val="15"/>
              </w:rPr>
              <w:t>Roken</w:t>
            </w:r>
          </w:p>
        </w:tc>
        <w:tc>
          <w:tcPr>
            <w:tcW w:w="105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hideMark/>
          </w:tcPr>
          <w:p w:rsidR="007707B1" w:rsidP="0016573E" w:rsidRDefault="007707B1">
            <w:pPr>
              <w:rPr>
                <w:rFonts w:ascii="Times New Roman" w:hAnsi="Times New Roman" w:cs="Times New Roman"/>
                <w:sz w:val="24"/>
              </w:rPr>
            </w:pPr>
            <w:r>
              <w:rPr>
                <w:sz w:val="15"/>
                <w:szCs w:val="15"/>
              </w:rPr>
              <w:t>199</w:t>
            </w:r>
            <w:r>
              <w:t xml:space="preserve"> </w:t>
            </w:r>
          </w:p>
        </w:tc>
        <w:tc>
          <w:tcPr>
            <w:tcW w:w="105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hideMark/>
          </w:tcPr>
          <w:p w:rsidR="007707B1" w:rsidP="0016573E" w:rsidRDefault="007707B1">
            <w:pPr>
              <w:rPr>
                <w:rFonts w:ascii="Times New Roman" w:hAnsi="Times New Roman" w:cs="Times New Roman"/>
                <w:sz w:val="24"/>
              </w:rPr>
            </w:pPr>
            <w:r>
              <w:rPr>
                <w:sz w:val="15"/>
                <w:szCs w:val="15"/>
              </w:rPr>
              <w:t>183</w:t>
            </w:r>
          </w:p>
        </w:tc>
        <w:tc>
          <w:tcPr>
            <w:tcW w:w="105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hideMark/>
          </w:tcPr>
          <w:p w:rsidR="007707B1" w:rsidP="0016573E" w:rsidRDefault="007707B1">
            <w:pPr>
              <w:rPr>
                <w:rFonts w:ascii="Times New Roman" w:hAnsi="Times New Roman" w:cs="Times New Roman"/>
                <w:sz w:val="24"/>
              </w:rPr>
            </w:pPr>
            <w:r>
              <w:rPr>
                <w:sz w:val="15"/>
                <w:szCs w:val="15"/>
              </w:rPr>
              <w:t>129</w:t>
            </w:r>
          </w:p>
        </w:tc>
        <w:tc>
          <w:tcPr>
            <w:tcW w:w="615" w:type="dxa"/>
            <w:tcBorders>
              <w:top w:val="single" w:color="000000" w:sz="6" w:space="0"/>
              <w:left w:val="single" w:color="000000" w:sz="6" w:space="0"/>
              <w:bottom w:val="single" w:color="000000" w:sz="6" w:space="0"/>
              <w:right w:val="single" w:color="000000" w:sz="2" w:space="0"/>
            </w:tcBorders>
            <w:tcMar>
              <w:top w:w="0" w:type="dxa"/>
              <w:left w:w="105" w:type="dxa"/>
              <w:bottom w:w="0" w:type="dxa"/>
              <w:right w:w="105" w:type="dxa"/>
            </w:tcMar>
            <w:hideMark/>
          </w:tcPr>
          <w:p w:rsidRPr="00742E54" w:rsidR="007707B1" w:rsidP="0016573E" w:rsidRDefault="00742E54">
            <w:pPr>
              <w:rPr>
                <w:rFonts w:cs="Times New Roman"/>
                <w:sz w:val="15"/>
                <w:szCs w:val="15"/>
              </w:rPr>
            </w:pPr>
            <w:r>
              <w:rPr>
                <w:rFonts w:cs="Times New Roman"/>
                <w:sz w:val="15"/>
                <w:szCs w:val="15"/>
              </w:rPr>
              <w:t>185</w:t>
            </w:r>
          </w:p>
        </w:tc>
      </w:tr>
      <w:tr w:rsidR="007707B1" w:rsidTr="007707B1">
        <w:trPr>
          <w:trHeight w:val="120"/>
        </w:trPr>
        <w:tc>
          <w:tcPr>
            <w:tcW w:w="1155" w:type="dxa"/>
            <w:tcBorders>
              <w:top w:val="single" w:color="000000" w:sz="6" w:space="0"/>
              <w:left w:val="single" w:color="000000" w:sz="2" w:space="0"/>
              <w:bottom w:val="single" w:color="000000" w:sz="6" w:space="0"/>
              <w:right w:val="single" w:color="000000" w:sz="6" w:space="0"/>
            </w:tcBorders>
            <w:tcMar>
              <w:top w:w="0" w:type="dxa"/>
              <w:left w:w="105" w:type="dxa"/>
              <w:bottom w:w="0" w:type="dxa"/>
              <w:right w:w="105" w:type="dxa"/>
            </w:tcMar>
            <w:hideMark/>
          </w:tcPr>
          <w:p w:rsidR="007707B1" w:rsidP="0016573E" w:rsidRDefault="007707B1">
            <w:pPr>
              <w:rPr>
                <w:rFonts w:cs="Times New Roman" w:asciiTheme="minorHAnsi" w:hAnsiTheme="minorHAnsi" w:eastAsiaTheme="minorEastAsia"/>
                <w:sz w:val="22"/>
                <w:szCs w:val="22"/>
              </w:rPr>
            </w:pPr>
          </w:p>
        </w:tc>
        <w:tc>
          <w:tcPr>
            <w:tcW w:w="139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hideMark/>
          </w:tcPr>
          <w:p w:rsidR="007707B1" w:rsidP="0016573E" w:rsidRDefault="007707B1">
            <w:pPr>
              <w:rPr>
                <w:rFonts w:ascii="Times New Roman" w:hAnsi="Times New Roman" w:cs="Times New Roman"/>
                <w:sz w:val="24"/>
              </w:rPr>
            </w:pPr>
            <w:r>
              <w:rPr>
                <w:sz w:val="15"/>
                <w:szCs w:val="15"/>
              </w:rPr>
              <w:t>Alcohol</w:t>
            </w:r>
          </w:p>
        </w:tc>
        <w:tc>
          <w:tcPr>
            <w:tcW w:w="105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hideMark/>
          </w:tcPr>
          <w:p w:rsidR="007707B1" w:rsidP="0016573E" w:rsidRDefault="007707B1">
            <w:pPr>
              <w:rPr>
                <w:rFonts w:ascii="Times New Roman" w:hAnsi="Times New Roman" w:cs="Times New Roman"/>
                <w:sz w:val="24"/>
              </w:rPr>
            </w:pPr>
            <w:r>
              <w:rPr>
                <w:sz w:val="15"/>
                <w:szCs w:val="15"/>
              </w:rPr>
              <w:t>255</w:t>
            </w:r>
            <w:r>
              <w:t xml:space="preserve"> </w:t>
            </w:r>
          </w:p>
        </w:tc>
        <w:tc>
          <w:tcPr>
            <w:tcW w:w="105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hideMark/>
          </w:tcPr>
          <w:p w:rsidR="007707B1" w:rsidP="0016573E" w:rsidRDefault="007707B1">
            <w:pPr>
              <w:rPr>
                <w:rFonts w:ascii="Times New Roman" w:hAnsi="Times New Roman" w:cs="Times New Roman"/>
                <w:sz w:val="24"/>
              </w:rPr>
            </w:pPr>
            <w:r>
              <w:rPr>
                <w:sz w:val="15"/>
                <w:szCs w:val="15"/>
              </w:rPr>
              <w:t>277</w:t>
            </w:r>
          </w:p>
        </w:tc>
        <w:tc>
          <w:tcPr>
            <w:tcW w:w="105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hideMark/>
          </w:tcPr>
          <w:p w:rsidR="007707B1" w:rsidP="0016573E" w:rsidRDefault="007707B1">
            <w:pPr>
              <w:rPr>
                <w:rFonts w:ascii="Times New Roman" w:hAnsi="Times New Roman" w:cs="Times New Roman"/>
                <w:sz w:val="24"/>
              </w:rPr>
            </w:pPr>
            <w:r>
              <w:rPr>
                <w:sz w:val="15"/>
                <w:szCs w:val="15"/>
              </w:rPr>
              <w:t>250</w:t>
            </w:r>
          </w:p>
        </w:tc>
        <w:tc>
          <w:tcPr>
            <w:tcW w:w="615" w:type="dxa"/>
            <w:tcBorders>
              <w:top w:val="single" w:color="000000" w:sz="6" w:space="0"/>
              <w:left w:val="single" w:color="000000" w:sz="6" w:space="0"/>
              <w:bottom w:val="single" w:color="000000" w:sz="6" w:space="0"/>
              <w:right w:val="single" w:color="000000" w:sz="2" w:space="0"/>
            </w:tcBorders>
            <w:tcMar>
              <w:top w:w="0" w:type="dxa"/>
              <w:left w:w="105" w:type="dxa"/>
              <w:bottom w:w="0" w:type="dxa"/>
              <w:right w:w="105" w:type="dxa"/>
            </w:tcMar>
            <w:hideMark/>
          </w:tcPr>
          <w:p w:rsidRPr="00742E54" w:rsidR="007707B1" w:rsidP="0016573E" w:rsidRDefault="00742E54">
            <w:pPr>
              <w:rPr>
                <w:rFonts w:cs="Times New Roman"/>
                <w:sz w:val="15"/>
                <w:szCs w:val="15"/>
              </w:rPr>
            </w:pPr>
            <w:r>
              <w:rPr>
                <w:rFonts w:cs="Times New Roman"/>
                <w:sz w:val="15"/>
                <w:szCs w:val="15"/>
              </w:rPr>
              <w:t>392</w:t>
            </w:r>
          </w:p>
        </w:tc>
      </w:tr>
      <w:tr w:rsidR="007707B1" w:rsidTr="007707B1">
        <w:trPr>
          <w:trHeight w:val="120"/>
        </w:trPr>
        <w:tc>
          <w:tcPr>
            <w:tcW w:w="1155" w:type="dxa"/>
            <w:tcBorders>
              <w:top w:val="single" w:color="000000" w:sz="6" w:space="0"/>
              <w:left w:val="single" w:color="000000" w:sz="2" w:space="0"/>
              <w:bottom w:val="single" w:color="000000" w:sz="6" w:space="0"/>
              <w:right w:val="single" w:color="000000" w:sz="6" w:space="0"/>
            </w:tcBorders>
            <w:tcMar>
              <w:top w:w="0" w:type="dxa"/>
              <w:left w:w="105" w:type="dxa"/>
              <w:bottom w:w="0" w:type="dxa"/>
              <w:right w:w="105" w:type="dxa"/>
            </w:tcMar>
            <w:hideMark/>
          </w:tcPr>
          <w:p w:rsidR="007707B1" w:rsidP="0016573E" w:rsidRDefault="007707B1">
            <w:pPr>
              <w:rPr>
                <w:rFonts w:cs="Times New Roman" w:asciiTheme="minorHAnsi" w:hAnsiTheme="minorHAnsi" w:eastAsiaTheme="minorEastAsia"/>
                <w:sz w:val="22"/>
                <w:szCs w:val="22"/>
              </w:rPr>
            </w:pPr>
          </w:p>
        </w:tc>
        <w:tc>
          <w:tcPr>
            <w:tcW w:w="139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hideMark/>
          </w:tcPr>
          <w:p w:rsidR="007707B1" w:rsidP="0016573E" w:rsidRDefault="007707B1">
            <w:pPr>
              <w:rPr>
                <w:rFonts w:ascii="Times New Roman" w:hAnsi="Times New Roman" w:cs="Times New Roman"/>
                <w:sz w:val="24"/>
              </w:rPr>
            </w:pPr>
            <w:r>
              <w:rPr>
                <w:sz w:val="15"/>
                <w:szCs w:val="15"/>
              </w:rPr>
              <w:t>Depressie</w:t>
            </w:r>
          </w:p>
        </w:tc>
        <w:tc>
          <w:tcPr>
            <w:tcW w:w="105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hideMark/>
          </w:tcPr>
          <w:p w:rsidR="007707B1" w:rsidP="0016573E" w:rsidRDefault="007707B1">
            <w:pPr>
              <w:rPr>
                <w:rFonts w:ascii="Times New Roman" w:hAnsi="Times New Roman" w:cs="Times New Roman"/>
                <w:sz w:val="24"/>
              </w:rPr>
            </w:pPr>
            <w:r>
              <w:rPr>
                <w:sz w:val="15"/>
                <w:szCs w:val="15"/>
              </w:rPr>
              <w:t>213</w:t>
            </w:r>
            <w:r>
              <w:t xml:space="preserve"> </w:t>
            </w:r>
          </w:p>
        </w:tc>
        <w:tc>
          <w:tcPr>
            <w:tcW w:w="105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hideMark/>
          </w:tcPr>
          <w:p w:rsidR="007707B1" w:rsidP="0016573E" w:rsidRDefault="007707B1">
            <w:pPr>
              <w:rPr>
                <w:rFonts w:ascii="Times New Roman" w:hAnsi="Times New Roman" w:cs="Times New Roman"/>
                <w:sz w:val="24"/>
              </w:rPr>
            </w:pPr>
            <w:r>
              <w:rPr>
                <w:sz w:val="15"/>
                <w:szCs w:val="15"/>
              </w:rPr>
              <w:t>218</w:t>
            </w:r>
            <w:r>
              <w:t xml:space="preserve"> </w:t>
            </w:r>
          </w:p>
        </w:tc>
        <w:tc>
          <w:tcPr>
            <w:tcW w:w="105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hideMark/>
          </w:tcPr>
          <w:p w:rsidR="007707B1" w:rsidP="0016573E" w:rsidRDefault="007707B1">
            <w:pPr>
              <w:rPr>
                <w:rFonts w:ascii="Times New Roman" w:hAnsi="Times New Roman" w:cs="Times New Roman"/>
                <w:sz w:val="24"/>
              </w:rPr>
            </w:pPr>
            <w:r>
              <w:rPr>
                <w:sz w:val="15"/>
                <w:szCs w:val="15"/>
              </w:rPr>
              <w:t>161</w:t>
            </w:r>
          </w:p>
        </w:tc>
        <w:tc>
          <w:tcPr>
            <w:tcW w:w="615" w:type="dxa"/>
            <w:tcBorders>
              <w:top w:val="single" w:color="000000" w:sz="6" w:space="0"/>
              <w:left w:val="single" w:color="000000" w:sz="6" w:space="0"/>
              <w:bottom w:val="single" w:color="000000" w:sz="6" w:space="0"/>
              <w:right w:val="single" w:color="000000" w:sz="2" w:space="0"/>
            </w:tcBorders>
            <w:tcMar>
              <w:top w:w="0" w:type="dxa"/>
              <w:left w:w="105" w:type="dxa"/>
              <w:bottom w:w="0" w:type="dxa"/>
              <w:right w:w="105" w:type="dxa"/>
            </w:tcMar>
            <w:hideMark/>
          </w:tcPr>
          <w:p w:rsidRPr="00742E54" w:rsidR="007707B1" w:rsidP="0016573E" w:rsidRDefault="00742E54">
            <w:pPr>
              <w:rPr>
                <w:rFonts w:cs="Times New Roman"/>
                <w:sz w:val="15"/>
                <w:szCs w:val="15"/>
              </w:rPr>
            </w:pPr>
            <w:r>
              <w:rPr>
                <w:rFonts w:cs="Times New Roman"/>
                <w:sz w:val="15"/>
                <w:szCs w:val="15"/>
              </w:rPr>
              <w:t>251</w:t>
            </w:r>
          </w:p>
        </w:tc>
      </w:tr>
      <w:tr w:rsidR="007707B1" w:rsidTr="007707B1">
        <w:trPr>
          <w:trHeight w:val="120"/>
        </w:trPr>
        <w:tc>
          <w:tcPr>
            <w:tcW w:w="1155" w:type="dxa"/>
            <w:tcBorders>
              <w:top w:val="single" w:color="000000" w:sz="6" w:space="0"/>
              <w:left w:val="single" w:color="000000" w:sz="2" w:space="0"/>
              <w:bottom w:val="single" w:color="000000" w:sz="6" w:space="0"/>
              <w:right w:val="single" w:color="000000" w:sz="6" w:space="0"/>
            </w:tcBorders>
            <w:tcMar>
              <w:top w:w="0" w:type="dxa"/>
              <w:left w:w="105" w:type="dxa"/>
              <w:bottom w:w="0" w:type="dxa"/>
              <w:right w:w="105" w:type="dxa"/>
            </w:tcMar>
            <w:hideMark/>
          </w:tcPr>
          <w:p w:rsidR="007707B1" w:rsidP="0016573E" w:rsidRDefault="007707B1">
            <w:pPr>
              <w:rPr>
                <w:rFonts w:cs="Times New Roman" w:asciiTheme="minorHAnsi" w:hAnsiTheme="minorHAnsi" w:eastAsiaTheme="minorEastAsia"/>
                <w:sz w:val="22"/>
                <w:szCs w:val="22"/>
              </w:rPr>
            </w:pPr>
          </w:p>
        </w:tc>
        <w:tc>
          <w:tcPr>
            <w:tcW w:w="139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hideMark/>
          </w:tcPr>
          <w:p w:rsidR="007707B1" w:rsidP="0016573E" w:rsidRDefault="007707B1">
            <w:pPr>
              <w:rPr>
                <w:rFonts w:ascii="Times New Roman" w:hAnsi="Times New Roman" w:cs="Times New Roman"/>
                <w:sz w:val="24"/>
              </w:rPr>
            </w:pPr>
            <w:r>
              <w:rPr>
                <w:sz w:val="15"/>
                <w:szCs w:val="15"/>
              </w:rPr>
              <w:t>Seksuele gezondheid</w:t>
            </w:r>
          </w:p>
        </w:tc>
        <w:tc>
          <w:tcPr>
            <w:tcW w:w="105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hideMark/>
          </w:tcPr>
          <w:p w:rsidR="007707B1" w:rsidP="0016573E" w:rsidRDefault="007707B1">
            <w:pPr>
              <w:rPr>
                <w:rFonts w:ascii="Times New Roman" w:hAnsi="Times New Roman" w:cs="Times New Roman"/>
                <w:sz w:val="24"/>
              </w:rPr>
            </w:pPr>
            <w:r>
              <w:rPr>
                <w:sz w:val="15"/>
                <w:szCs w:val="15"/>
              </w:rPr>
              <w:t>178</w:t>
            </w:r>
            <w:r>
              <w:t xml:space="preserve"> </w:t>
            </w:r>
          </w:p>
        </w:tc>
        <w:tc>
          <w:tcPr>
            <w:tcW w:w="105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hideMark/>
          </w:tcPr>
          <w:p w:rsidR="007707B1" w:rsidP="0016573E" w:rsidRDefault="007707B1">
            <w:pPr>
              <w:rPr>
                <w:rFonts w:ascii="Times New Roman" w:hAnsi="Times New Roman" w:cs="Times New Roman"/>
                <w:sz w:val="24"/>
              </w:rPr>
            </w:pPr>
            <w:r>
              <w:rPr>
                <w:sz w:val="15"/>
                <w:szCs w:val="15"/>
              </w:rPr>
              <w:t>156</w:t>
            </w:r>
          </w:p>
        </w:tc>
        <w:tc>
          <w:tcPr>
            <w:tcW w:w="105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hideMark/>
          </w:tcPr>
          <w:p w:rsidR="007707B1" w:rsidP="0016573E" w:rsidRDefault="007707B1">
            <w:pPr>
              <w:rPr>
                <w:rFonts w:ascii="Times New Roman" w:hAnsi="Times New Roman" w:cs="Times New Roman"/>
                <w:sz w:val="24"/>
              </w:rPr>
            </w:pPr>
            <w:r>
              <w:rPr>
                <w:sz w:val="15"/>
                <w:szCs w:val="15"/>
              </w:rPr>
              <w:t>112</w:t>
            </w:r>
          </w:p>
        </w:tc>
        <w:tc>
          <w:tcPr>
            <w:tcW w:w="615" w:type="dxa"/>
            <w:tcBorders>
              <w:top w:val="single" w:color="000000" w:sz="6" w:space="0"/>
              <w:left w:val="single" w:color="000000" w:sz="6" w:space="0"/>
              <w:bottom w:val="single" w:color="000000" w:sz="6" w:space="0"/>
              <w:right w:val="single" w:color="000000" w:sz="2" w:space="0"/>
            </w:tcBorders>
            <w:tcMar>
              <w:top w:w="0" w:type="dxa"/>
              <w:left w:w="105" w:type="dxa"/>
              <w:bottom w:w="0" w:type="dxa"/>
              <w:right w:w="105" w:type="dxa"/>
            </w:tcMar>
            <w:hideMark/>
          </w:tcPr>
          <w:p w:rsidRPr="00742E54" w:rsidR="007707B1" w:rsidP="0016573E" w:rsidRDefault="00742E54">
            <w:pPr>
              <w:rPr>
                <w:rFonts w:cs="Times New Roman"/>
                <w:sz w:val="15"/>
                <w:szCs w:val="15"/>
              </w:rPr>
            </w:pPr>
            <w:r>
              <w:rPr>
                <w:rFonts w:cs="Times New Roman"/>
                <w:sz w:val="15"/>
                <w:szCs w:val="15"/>
              </w:rPr>
              <w:t>188</w:t>
            </w:r>
          </w:p>
        </w:tc>
      </w:tr>
      <w:tr w:rsidR="007707B1" w:rsidTr="007707B1">
        <w:trPr>
          <w:trHeight w:val="120"/>
        </w:trPr>
        <w:tc>
          <w:tcPr>
            <w:tcW w:w="1155" w:type="dxa"/>
            <w:tcBorders>
              <w:top w:val="single" w:color="000000" w:sz="6" w:space="0"/>
              <w:left w:val="single" w:color="000000" w:sz="2" w:space="0"/>
              <w:bottom w:val="single" w:color="000000" w:sz="2" w:space="0"/>
              <w:right w:val="single" w:color="000000" w:sz="6" w:space="0"/>
            </w:tcBorders>
            <w:tcMar>
              <w:top w:w="0" w:type="dxa"/>
              <w:left w:w="105" w:type="dxa"/>
              <w:bottom w:w="0" w:type="dxa"/>
              <w:right w:w="105" w:type="dxa"/>
            </w:tcMar>
            <w:hideMark/>
          </w:tcPr>
          <w:p w:rsidR="007707B1" w:rsidP="0016573E" w:rsidRDefault="007707B1">
            <w:pPr>
              <w:rPr>
                <w:rFonts w:cs="Times New Roman" w:asciiTheme="minorHAnsi" w:hAnsiTheme="minorHAnsi" w:eastAsiaTheme="minorEastAsia"/>
                <w:sz w:val="22"/>
                <w:szCs w:val="22"/>
              </w:rPr>
            </w:pPr>
          </w:p>
        </w:tc>
        <w:tc>
          <w:tcPr>
            <w:tcW w:w="1395" w:type="dxa"/>
            <w:tcBorders>
              <w:top w:val="single" w:color="000000" w:sz="6" w:space="0"/>
              <w:left w:val="single" w:color="000000" w:sz="6" w:space="0"/>
              <w:bottom w:val="single" w:color="000000" w:sz="2" w:space="0"/>
              <w:right w:val="single" w:color="000000" w:sz="6" w:space="0"/>
            </w:tcBorders>
            <w:tcMar>
              <w:top w:w="0" w:type="dxa"/>
              <w:left w:w="105" w:type="dxa"/>
              <w:bottom w:w="0" w:type="dxa"/>
              <w:right w:w="105" w:type="dxa"/>
            </w:tcMar>
            <w:hideMark/>
          </w:tcPr>
          <w:p w:rsidR="007707B1" w:rsidP="0016573E" w:rsidRDefault="007707B1">
            <w:pPr>
              <w:rPr>
                <w:rFonts w:ascii="Times New Roman" w:hAnsi="Times New Roman" w:cs="Times New Roman"/>
                <w:sz w:val="24"/>
              </w:rPr>
            </w:pPr>
            <w:r>
              <w:rPr>
                <w:sz w:val="15"/>
                <w:szCs w:val="15"/>
              </w:rPr>
              <w:t>Letsel</w:t>
            </w:r>
          </w:p>
        </w:tc>
        <w:tc>
          <w:tcPr>
            <w:tcW w:w="1050" w:type="dxa"/>
            <w:tcBorders>
              <w:top w:val="single" w:color="000000" w:sz="6" w:space="0"/>
              <w:left w:val="single" w:color="000000" w:sz="6" w:space="0"/>
              <w:bottom w:val="single" w:color="000000" w:sz="2" w:space="0"/>
              <w:right w:val="single" w:color="000000" w:sz="6" w:space="0"/>
            </w:tcBorders>
            <w:tcMar>
              <w:top w:w="0" w:type="dxa"/>
              <w:left w:w="105" w:type="dxa"/>
              <w:bottom w:w="0" w:type="dxa"/>
              <w:right w:w="105" w:type="dxa"/>
            </w:tcMar>
            <w:hideMark/>
          </w:tcPr>
          <w:p w:rsidR="007707B1" w:rsidP="0016573E" w:rsidRDefault="007707B1">
            <w:pPr>
              <w:rPr>
                <w:rFonts w:ascii="Times New Roman" w:hAnsi="Times New Roman" w:cs="Times New Roman"/>
                <w:sz w:val="24"/>
              </w:rPr>
            </w:pPr>
            <w:r>
              <w:rPr>
                <w:sz w:val="15"/>
                <w:szCs w:val="15"/>
              </w:rPr>
              <w:t>106</w:t>
            </w:r>
            <w:r>
              <w:t xml:space="preserve"> </w:t>
            </w:r>
          </w:p>
        </w:tc>
        <w:tc>
          <w:tcPr>
            <w:tcW w:w="1050" w:type="dxa"/>
            <w:tcBorders>
              <w:top w:val="single" w:color="000000" w:sz="6" w:space="0"/>
              <w:left w:val="single" w:color="000000" w:sz="6" w:space="0"/>
              <w:bottom w:val="single" w:color="000000" w:sz="2" w:space="0"/>
              <w:right w:val="single" w:color="000000" w:sz="6" w:space="0"/>
            </w:tcBorders>
            <w:tcMar>
              <w:top w:w="0" w:type="dxa"/>
              <w:left w:w="105" w:type="dxa"/>
              <w:bottom w:w="0" w:type="dxa"/>
              <w:right w:w="105" w:type="dxa"/>
            </w:tcMar>
            <w:hideMark/>
          </w:tcPr>
          <w:p w:rsidR="007707B1" w:rsidP="0016573E" w:rsidRDefault="007707B1">
            <w:pPr>
              <w:rPr>
                <w:rFonts w:ascii="Times New Roman" w:hAnsi="Times New Roman" w:cs="Times New Roman"/>
                <w:sz w:val="24"/>
              </w:rPr>
            </w:pPr>
            <w:r>
              <w:rPr>
                <w:sz w:val="15"/>
                <w:szCs w:val="15"/>
              </w:rPr>
              <w:t>105</w:t>
            </w:r>
            <w:r>
              <w:t xml:space="preserve"> </w:t>
            </w:r>
          </w:p>
        </w:tc>
        <w:tc>
          <w:tcPr>
            <w:tcW w:w="1050" w:type="dxa"/>
            <w:tcBorders>
              <w:top w:val="single" w:color="000000" w:sz="6" w:space="0"/>
              <w:left w:val="single" w:color="000000" w:sz="6" w:space="0"/>
              <w:bottom w:val="single" w:color="000000" w:sz="2" w:space="0"/>
              <w:right w:val="single" w:color="000000" w:sz="6" w:space="0"/>
            </w:tcBorders>
            <w:tcMar>
              <w:top w:w="0" w:type="dxa"/>
              <w:left w:w="105" w:type="dxa"/>
              <w:bottom w:w="0" w:type="dxa"/>
              <w:right w:w="105" w:type="dxa"/>
            </w:tcMar>
            <w:hideMark/>
          </w:tcPr>
          <w:p w:rsidR="007707B1" w:rsidP="0016573E" w:rsidRDefault="007707B1">
            <w:pPr>
              <w:rPr>
                <w:rFonts w:ascii="Times New Roman" w:hAnsi="Times New Roman" w:cs="Times New Roman"/>
                <w:sz w:val="24"/>
              </w:rPr>
            </w:pPr>
            <w:r>
              <w:rPr>
                <w:sz w:val="15"/>
                <w:szCs w:val="15"/>
              </w:rPr>
              <w:t>61</w:t>
            </w:r>
            <w:r>
              <w:t xml:space="preserve"> </w:t>
            </w:r>
          </w:p>
        </w:tc>
        <w:tc>
          <w:tcPr>
            <w:tcW w:w="615" w:type="dxa"/>
            <w:tcBorders>
              <w:top w:val="single" w:color="000000" w:sz="6" w:space="0"/>
              <w:left w:val="single" w:color="000000" w:sz="6" w:space="0"/>
              <w:bottom w:val="single" w:color="000000" w:sz="2" w:space="0"/>
              <w:right w:val="single" w:color="000000" w:sz="2" w:space="0"/>
            </w:tcBorders>
            <w:tcMar>
              <w:top w:w="0" w:type="dxa"/>
              <w:left w:w="105" w:type="dxa"/>
              <w:bottom w:w="0" w:type="dxa"/>
              <w:right w:w="105" w:type="dxa"/>
            </w:tcMar>
            <w:hideMark/>
          </w:tcPr>
          <w:p w:rsidRPr="00742E54" w:rsidR="007707B1" w:rsidP="0016573E" w:rsidRDefault="00742E54">
            <w:pPr>
              <w:rPr>
                <w:rFonts w:cs="Times New Roman"/>
                <w:sz w:val="15"/>
                <w:szCs w:val="15"/>
              </w:rPr>
            </w:pPr>
            <w:r>
              <w:rPr>
                <w:rFonts w:cs="Times New Roman"/>
                <w:sz w:val="15"/>
                <w:szCs w:val="15"/>
              </w:rPr>
              <w:t>117</w:t>
            </w:r>
          </w:p>
        </w:tc>
      </w:tr>
    </w:tbl>
    <w:p w:rsidR="007707B1" w:rsidP="0016573E" w:rsidRDefault="007707B1">
      <w:pPr>
        <w:spacing w:line="240" w:lineRule="auto"/>
        <w:rPr>
          <w:i/>
          <w:iCs/>
          <w:sz w:val="15"/>
          <w:szCs w:val="15"/>
        </w:rPr>
      </w:pPr>
      <w:r>
        <w:rPr>
          <w:i/>
          <w:iCs/>
          <w:sz w:val="15"/>
          <w:szCs w:val="15"/>
        </w:rPr>
        <w:t>Cijfers uit het eerste kwartaal 2011 zijn niet beschikbaar omdat de handreiking pas in het tweede kwartaal van 2011 online is</w:t>
      </w:r>
      <w:r w:rsidR="00742E54">
        <w:rPr>
          <w:i/>
          <w:iCs/>
          <w:sz w:val="15"/>
          <w:szCs w:val="15"/>
        </w:rPr>
        <w:t xml:space="preserve"> gegaan</w:t>
      </w:r>
    </w:p>
    <w:p w:rsidR="00742E54" w:rsidP="0016573E" w:rsidRDefault="00742E54">
      <w:pPr>
        <w:spacing w:line="240" w:lineRule="auto"/>
        <w:rPr>
          <w:i/>
          <w:iCs/>
          <w:sz w:val="15"/>
          <w:szCs w:val="15"/>
        </w:rPr>
      </w:pPr>
      <w:r>
        <w:rPr>
          <w:i/>
          <w:iCs/>
          <w:sz w:val="15"/>
          <w:szCs w:val="15"/>
        </w:rPr>
        <w:t>* Het betreft hier het aantal unieke browsers, maar voor de leesbaarheid spreken we over bezoekers.</w:t>
      </w:r>
    </w:p>
    <w:p w:rsidRPr="001566CC" w:rsidR="007707B1" w:rsidP="0016573E" w:rsidRDefault="007707B1">
      <w:pPr>
        <w:spacing w:line="240" w:lineRule="auto"/>
        <w:rPr>
          <w:rFonts w:cs="Verdana"/>
          <w:szCs w:val="18"/>
        </w:rPr>
      </w:pPr>
      <w:r>
        <w:rPr>
          <w:i/>
          <w:iCs/>
          <w:sz w:val="15"/>
          <w:szCs w:val="15"/>
        </w:rPr>
        <w:t xml:space="preserve">** </w:t>
      </w:r>
      <w:r w:rsidR="00742E54">
        <w:rPr>
          <w:i/>
          <w:iCs/>
          <w:sz w:val="15"/>
          <w:szCs w:val="15"/>
        </w:rPr>
        <w:t xml:space="preserve">Berekend op basis van twee maanden (november en december), omdat dit themadeel pas in november </w:t>
      </w:r>
      <w:r>
        <w:rPr>
          <w:i/>
          <w:iCs/>
          <w:sz w:val="15"/>
          <w:szCs w:val="15"/>
        </w:rPr>
        <w:t>2011 online</w:t>
      </w:r>
      <w:r w:rsidR="00742E54">
        <w:rPr>
          <w:i/>
          <w:iCs/>
          <w:sz w:val="15"/>
          <w:szCs w:val="15"/>
        </w:rPr>
        <w:t xml:space="preserve"> is gegaan.</w:t>
      </w:r>
    </w:p>
    <w:p w:rsidR="007707B1" w:rsidP="0016573E" w:rsidRDefault="007707B1">
      <w:pPr>
        <w:rPr>
          <w:rFonts w:eastAsia="Times New Roman" w:cs="Times New Roman"/>
          <w:color w:val="000000"/>
          <w:kern w:val="0"/>
          <w:szCs w:val="18"/>
          <w:lang w:eastAsia="nl-NL"/>
        </w:rPr>
      </w:pPr>
    </w:p>
    <w:p w:rsidR="007707B1" w:rsidP="0016573E" w:rsidRDefault="006329B4">
      <w:r>
        <w:rPr>
          <w:rFonts w:eastAsia="Times New Roman" w:cs="Times New Roman"/>
          <w:color w:val="000000"/>
          <w:kern w:val="0"/>
          <w:szCs w:val="18"/>
          <w:lang w:eastAsia="nl-NL"/>
        </w:rPr>
        <w:t xml:space="preserve">Uit de Quickscan letselpreventie in gemeentelijk beleid </w:t>
      </w:r>
      <w:r w:rsidR="005F0986">
        <w:rPr>
          <w:rFonts w:eastAsia="Times New Roman" w:cs="Times New Roman"/>
          <w:color w:val="000000"/>
          <w:kern w:val="0"/>
          <w:szCs w:val="18"/>
          <w:lang w:eastAsia="nl-NL"/>
        </w:rPr>
        <w:t>(</w:t>
      </w:r>
      <w:r>
        <w:rPr>
          <w:rFonts w:eastAsia="Times New Roman" w:cs="Times New Roman"/>
          <w:color w:val="000000"/>
          <w:kern w:val="0"/>
          <w:szCs w:val="18"/>
          <w:lang w:eastAsia="nl-NL"/>
        </w:rPr>
        <w:t>VeiligheidNL</w:t>
      </w:r>
      <w:r w:rsidR="005F0986">
        <w:rPr>
          <w:rFonts w:eastAsia="Times New Roman" w:cs="Times New Roman"/>
          <w:color w:val="000000"/>
          <w:kern w:val="0"/>
          <w:szCs w:val="18"/>
          <w:lang w:eastAsia="nl-NL"/>
        </w:rPr>
        <w:t xml:space="preserve">, 2012) </w:t>
      </w:r>
      <w:r>
        <w:rPr>
          <w:rFonts w:eastAsia="Times New Roman" w:cs="Times New Roman"/>
          <w:color w:val="000000"/>
          <w:kern w:val="0"/>
          <w:szCs w:val="18"/>
          <w:lang w:eastAsia="nl-NL"/>
        </w:rPr>
        <w:t>uitgevoerd eind 2011 blijkt dat 17 gemeenten aandacht besteden aan letselpreventie bij jeugd (0-</w:t>
      </w:r>
      <w:r w:rsidR="00F459DF">
        <w:rPr>
          <w:rFonts w:eastAsia="Times New Roman" w:cs="Times New Roman"/>
          <w:color w:val="000000"/>
          <w:kern w:val="0"/>
          <w:szCs w:val="18"/>
          <w:lang w:eastAsia="nl-NL"/>
        </w:rPr>
        <w:t>23), ouderen (55+) of sporters in hun nota lokaal gezondheidsbeleid.</w:t>
      </w:r>
      <w:r>
        <w:rPr>
          <w:rFonts w:eastAsia="Times New Roman" w:cs="Times New Roman"/>
          <w:color w:val="000000"/>
          <w:kern w:val="0"/>
          <w:szCs w:val="18"/>
          <w:lang w:eastAsia="nl-NL"/>
        </w:rPr>
        <w:t xml:space="preserve"> Met</w:t>
      </w:r>
      <w:r w:rsidR="00F459DF">
        <w:rPr>
          <w:rFonts w:eastAsia="Times New Roman" w:cs="Times New Roman"/>
          <w:color w:val="000000"/>
          <w:kern w:val="0"/>
          <w:szCs w:val="18"/>
          <w:lang w:eastAsia="nl-NL"/>
        </w:rPr>
        <w:t xml:space="preserve"> gemeenteambtenaren</w:t>
      </w:r>
      <w:r w:rsidRPr="009849D7" w:rsidR="009849D7">
        <w:rPr>
          <w:rFonts w:eastAsia="Times New Roman" w:cs="Times New Roman"/>
          <w:color w:val="000000"/>
          <w:kern w:val="0"/>
          <w:szCs w:val="18"/>
          <w:lang w:eastAsia="nl-NL"/>
        </w:rPr>
        <w:t xml:space="preserve"> </w:t>
      </w:r>
      <w:r w:rsidR="009849D7">
        <w:rPr>
          <w:rFonts w:eastAsia="Times New Roman" w:cs="Times New Roman"/>
          <w:color w:val="000000"/>
          <w:kern w:val="0"/>
          <w:szCs w:val="18"/>
          <w:lang w:eastAsia="nl-NL"/>
        </w:rPr>
        <w:t xml:space="preserve">van zeven gemeenten, betrokken bij deze nota, </w:t>
      </w:r>
      <w:r w:rsidR="00F459DF">
        <w:rPr>
          <w:rFonts w:eastAsia="Times New Roman" w:cs="Times New Roman"/>
          <w:color w:val="000000"/>
          <w:kern w:val="0"/>
          <w:szCs w:val="18"/>
          <w:lang w:eastAsia="nl-NL"/>
        </w:rPr>
        <w:t xml:space="preserve">zijn interviews gehouden. Uit deze </w:t>
      </w:r>
      <w:r w:rsidR="00DD6665">
        <w:rPr>
          <w:rFonts w:eastAsia="Times New Roman" w:cs="Times New Roman"/>
          <w:color w:val="000000"/>
          <w:kern w:val="0"/>
          <w:szCs w:val="18"/>
          <w:lang w:eastAsia="nl-NL"/>
        </w:rPr>
        <w:t>interviews</w:t>
      </w:r>
      <w:r w:rsidR="00F459DF">
        <w:rPr>
          <w:rFonts w:eastAsia="Times New Roman" w:cs="Times New Roman"/>
          <w:color w:val="000000"/>
          <w:kern w:val="0"/>
          <w:szCs w:val="18"/>
          <w:lang w:eastAsia="nl-NL"/>
        </w:rPr>
        <w:t xml:space="preserve"> blijkt dat </w:t>
      </w:r>
      <w:r w:rsidR="00C12499">
        <w:rPr>
          <w:rFonts w:eastAsia="Times New Roman" w:cs="Times New Roman"/>
          <w:color w:val="000000"/>
          <w:kern w:val="0"/>
          <w:szCs w:val="18"/>
          <w:lang w:eastAsia="nl-NL"/>
        </w:rPr>
        <w:t xml:space="preserve">de keuze om aandacht te besteden aan </w:t>
      </w:r>
      <w:r w:rsidR="009849D7">
        <w:rPr>
          <w:rFonts w:eastAsia="Times New Roman" w:cs="Times New Roman"/>
          <w:color w:val="000000"/>
          <w:kern w:val="0"/>
          <w:szCs w:val="18"/>
          <w:lang w:eastAsia="nl-NL"/>
        </w:rPr>
        <w:t>ee</w:t>
      </w:r>
      <w:r w:rsidR="00C12499">
        <w:rPr>
          <w:rFonts w:eastAsia="Times New Roman" w:cs="Times New Roman"/>
          <w:color w:val="000000"/>
          <w:kern w:val="0"/>
          <w:szCs w:val="18"/>
          <w:lang w:eastAsia="nl-NL"/>
        </w:rPr>
        <w:t xml:space="preserve">n van de doelgroepen </w:t>
      </w:r>
      <w:r w:rsidR="009849D7">
        <w:rPr>
          <w:rFonts w:eastAsia="Times New Roman" w:cs="Times New Roman"/>
          <w:color w:val="000000"/>
          <w:kern w:val="0"/>
          <w:szCs w:val="18"/>
          <w:lang w:eastAsia="nl-NL"/>
        </w:rPr>
        <w:t xml:space="preserve">is gemaakt </w:t>
      </w:r>
      <w:r w:rsidR="00C12499">
        <w:rPr>
          <w:rFonts w:eastAsia="Times New Roman" w:cs="Times New Roman"/>
          <w:color w:val="000000"/>
          <w:kern w:val="0"/>
          <w:szCs w:val="18"/>
          <w:lang w:eastAsia="nl-NL"/>
        </w:rPr>
        <w:t xml:space="preserve">op basis van lokale cijfers, meestal afkomstig van </w:t>
      </w:r>
      <w:r w:rsidR="009849D7">
        <w:rPr>
          <w:rFonts w:eastAsia="Times New Roman" w:cs="Times New Roman"/>
          <w:color w:val="000000"/>
          <w:kern w:val="0"/>
          <w:szCs w:val="18"/>
          <w:lang w:eastAsia="nl-NL"/>
        </w:rPr>
        <w:t xml:space="preserve">in overleg met </w:t>
      </w:r>
      <w:r w:rsidR="00C12499">
        <w:rPr>
          <w:rFonts w:eastAsia="Times New Roman" w:cs="Times New Roman"/>
          <w:color w:val="000000"/>
          <w:kern w:val="0"/>
          <w:szCs w:val="18"/>
          <w:lang w:eastAsia="nl-NL"/>
        </w:rPr>
        <w:t>de GGD. Sommige gemeenten beste</w:t>
      </w:r>
      <w:r w:rsidR="00DD6665">
        <w:rPr>
          <w:rFonts w:eastAsia="Times New Roman" w:cs="Times New Roman"/>
          <w:color w:val="000000"/>
          <w:kern w:val="0"/>
          <w:szCs w:val="18"/>
          <w:lang w:eastAsia="nl-NL"/>
        </w:rPr>
        <w:t>ed</w:t>
      </w:r>
      <w:r w:rsidR="00C12499">
        <w:rPr>
          <w:rFonts w:eastAsia="Times New Roman" w:cs="Times New Roman"/>
          <w:color w:val="000000"/>
          <w:kern w:val="0"/>
          <w:szCs w:val="18"/>
          <w:lang w:eastAsia="nl-NL"/>
        </w:rPr>
        <w:t xml:space="preserve">den aandacht aan valpreventie, omdat de thuiszorgorganisatie(s) dit hadden aangedragen. De meeste ondervraagde gemeenteambtenaren geven aan dat het thema letselpreventie niet opnieuw is benoemd </w:t>
      </w:r>
      <w:r w:rsidR="00535F40">
        <w:rPr>
          <w:rFonts w:eastAsia="Times New Roman" w:cs="Times New Roman"/>
          <w:color w:val="000000"/>
          <w:kern w:val="0"/>
          <w:szCs w:val="18"/>
          <w:lang w:eastAsia="nl-NL"/>
        </w:rPr>
        <w:t xml:space="preserve">of benoemd </w:t>
      </w:r>
      <w:r w:rsidR="00E04180">
        <w:rPr>
          <w:rFonts w:eastAsia="Times New Roman" w:cs="Times New Roman"/>
          <w:color w:val="000000"/>
          <w:kern w:val="0"/>
          <w:szCs w:val="18"/>
          <w:lang w:eastAsia="nl-NL"/>
        </w:rPr>
        <w:t xml:space="preserve">zal worden </w:t>
      </w:r>
      <w:r w:rsidR="00C12499">
        <w:rPr>
          <w:rFonts w:eastAsia="Times New Roman" w:cs="Times New Roman"/>
          <w:color w:val="000000"/>
          <w:kern w:val="0"/>
          <w:szCs w:val="18"/>
          <w:lang w:eastAsia="nl-NL"/>
        </w:rPr>
        <w:t>in de nota lokaal gezondheidsbeleid. Belangrijkste reden daarvoor is dat gemeenten meer focus (minder onderwerpen) aan willen brengen en letselpreventie dan minder prioriteit heeft, ook al omdat letselpreventie niet één van de speerpunten is in de landelijke nota. Als gemeenten een keuze moeten maken voor een interventie, raadplegen ze nagenoeg altijd de GGD, die heeft daar meer zicht op en expertise in. De ondervraagde gemeenteambtenaren maken zelf weinig gebruik van het loket Gezond Leven van het Centrum Gezond Leven</w:t>
      </w:r>
      <w:r w:rsidR="00DD6665">
        <w:rPr>
          <w:rFonts w:eastAsia="Times New Roman" w:cs="Times New Roman"/>
          <w:color w:val="000000"/>
          <w:kern w:val="0"/>
          <w:szCs w:val="18"/>
          <w:lang w:eastAsia="nl-NL"/>
        </w:rPr>
        <w:t>. Z</w:t>
      </w:r>
      <w:r w:rsidR="00C12499">
        <w:rPr>
          <w:rFonts w:eastAsia="Times New Roman" w:cs="Times New Roman"/>
          <w:color w:val="000000"/>
          <w:kern w:val="0"/>
          <w:szCs w:val="18"/>
          <w:lang w:eastAsia="nl-NL"/>
        </w:rPr>
        <w:t xml:space="preserve">e kennen het wel, maar gaan er vanuit dat GGD’en deze informatie kennen en gebruiken bij hun advisering naar gemeenten. </w:t>
      </w:r>
    </w:p>
    <w:p w:rsidR="005F0986" w:rsidP="0016573E" w:rsidRDefault="005F0986">
      <w:pPr>
        <w:rPr>
          <w:szCs w:val="18"/>
        </w:rPr>
      </w:pPr>
    </w:p>
    <w:p w:rsidRPr="00D44FC2" w:rsidR="005F0986" w:rsidP="0016573E" w:rsidRDefault="005F0986">
      <w:pPr>
        <w:rPr>
          <w:szCs w:val="18"/>
        </w:rPr>
      </w:pPr>
    </w:p>
    <w:p w:rsidRPr="003D4369" w:rsidR="006D3DC6" w:rsidP="0016573E" w:rsidRDefault="006D3DC6">
      <w:pPr>
        <w:rPr>
          <w:b/>
        </w:rPr>
      </w:pPr>
      <w:r w:rsidRPr="003D4369">
        <w:rPr>
          <w:b/>
        </w:rPr>
        <w:t>Interdepartementale samenwerking</w:t>
      </w:r>
    </w:p>
    <w:p w:rsidR="006D3DC6" w:rsidP="0016573E" w:rsidRDefault="006D3DC6">
      <w:pPr>
        <w:rPr>
          <w:szCs w:val="18"/>
        </w:rPr>
      </w:pPr>
    </w:p>
    <w:p w:rsidRPr="003D4369" w:rsidR="006D3DC6" w:rsidP="0016573E" w:rsidRDefault="006D3DC6">
      <w:pPr>
        <w:rPr>
          <w:i/>
        </w:rPr>
      </w:pPr>
      <w:r w:rsidRPr="003D4369">
        <w:rPr>
          <w:i/>
        </w:rPr>
        <w:t>Specifieke informatie over de drie samenwerkingsprojecten</w:t>
      </w:r>
    </w:p>
    <w:p w:rsidR="006D3DC6" w:rsidP="0016573E" w:rsidRDefault="006D3DC6">
      <w:pPr>
        <w:rPr>
          <w:szCs w:val="18"/>
        </w:rPr>
      </w:pPr>
      <w:r>
        <w:rPr>
          <w:szCs w:val="18"/>
        </w:rPr>
        <w:t xml:space="preserve">Het eerste project betrof een samenwerking tussen het ministerie van VWS en het ministerie van SZW over de preventie van valgevaar. In dit project heeft VeiligheidNL een onderzoek uitgevoerd naar de mogelijke risico’s, beschermingsmaatregelen en gedrag van het werken op hoogte, zowel op de werkvloer als in de privésituatie. Ook is gekeken naar de overeenkomsten en verschillen in een professionele omgeving (werkgevers en werknemers) en een privéomgeving (doe-het-zelvers). De uitkomsten </w:t>
      </w:r>
      <w:r w:rsidR="007C52CF">
        <w:rPr>
          <w:szCs w:val="18"/>
        </w:rPr>
        <w:t>zij</w:t>
      </w:r>
      <w:r>
        <w:rPr>
          <w:szCs w:val="18"/>
        </w:rPr>
        <w:t xml:space="preserve">n als basis gebruikt voor gedragscampagnes om de veiligheid te bevorderen, zowel binnen de werk- als de privésector. </w:t>
      </w:r>
      <w:r w:rsidR="007C52CF">
        <w:rPr>
          <w:szCs w:val="18"/>
        </w:rPr>
        <w:t xml:space="preserve">Voor het domein arbeid heeft dit onder meer geleid tot de Alerta-campagne en –de latere- Sjaak- en Werkbuddiescampagnes. Deze campagnes maken onderdeel uit van het project’Versterking gedragscommunicatie arbeidsveiligheid (2010-2013), dat zich richt op ongevalsreductie door concrete gedrags- en cultuurinterventies op de werkvloer. Eén van de prioritaire risico’s in de aanpak was valgevaar en het voorkomen daarvan. </w:t>
      </w:r>
      <w:r>
        <w:rPr>
          <w:szCs w:val="18"/>
        </w:rPr>
        <w:t>De gegenereerde kennis over werken op hoogte in de privésituatie is verwerkt in de doe-het-zelven campagnes, die VeiligheidNL uitvoert in samenwerking met o.a. de bouwmarkten.</w:t>
      </w:r>
    </w:p>
    <w:p w:rsidR="006D3DC6" w:rsidP="0016573E" w:rsidRDefault="006D3DC6">
      <w:pPr>
        <w:rPr>
          <w:szCs w:val="18"/>
        </w:rPr>
      </w:pPr>
      <w:r>
        <w:rPr>
          <w:szCs w:val="18"/>
        </w:rPr>
        <w:t xml:space="preserve">Het tweede project betrof een samenwerking tussen het ministerie van VWS en het ministerie van V&amp;J. Het betrof een aantal pilotprojecten met Diagnose Behandel Combinaties (DBC’s) voor geweldplegers die de gemeente Rotterdam heeft uitgevoerd in het kader van de Persoonsgerichte Aanpak (PGA) van geweld. Het doel van deze pilots was te komen tot zinvolle behandeling van geweldplegers, zodat zij hun gewelddadige gedrag veranderen of in ieder geval leren te beheersen en daarmee het aantal door hen toegebrachte letsels te verminderen. </w:t>
      </w:r>
    </w:p>
    <w:p w:rsidR="006D3DC6" w:rsidP="0016573E" w:rsidRDefault="006D3DC6">
      <w:pPr>
        <w:rPr>
          <w:szCs w:val="18"/>
        </w:rPr>
      </w:pPr>
      <w:r>
        <w:rPr>
          <w:szCs w:val="18"/>
        </w:rPr>
        <w:t>Het derde en laatste project betrof een samenwerking tussen het ministerie van VWS en het ministerie van I&amp;M. In dit project is een aantal lokale projecten ter verbetering van de fietsveiligheid gefinancierd. In de provincie Limburg is succesvol het project “Op weg naar school” uitgevoerd, waarbij op basis van meningen van scholieren van de middelbare school over het school-thuistraject knelpunten zijn opgespoord en aangepakt. Deze aanpak heeft inmiddels ook op andere scholen in Nederland navolging gekregen. In de gemeente Dronten betrof het een gecombineerd maatregelenpakket van kleine infrastructurele aanpassingen in combinatie met snelheidshandhaving en educatie (instructiemiddagen en lesbrief) door de Fietsersbond. In Rotterdam is met inzet van een Vakleerkracht Verkeerseducatie Voortgezet Onderwijs en een module fietsvaardigheid middelbare scholieren niet alleen geleerd zelfstandig en veilig te fietsen, maar ook geleerd te reflecteren op hun eigen verkeersgedrag en dat van anderen en zich bewust te worden van het feit dat fietsen gezond is.</w:t>
      </w:r>
    </w:p>
    <w:p w:rsidR="006D3DC6" w:rsidP="0016573E" w:rsidRDefault="006D3DC6">
      <w:pPr>
        <w:rPr>
          <w:szCs w:val="18"/>
        </w:rPr>
      </w:pPr>
    </w:p>
    <w:p w:rsidR="00F97FE3" w:rsidP="0016573E" w:rsidRDefault="00F97FE3">
      <w:pPr>
        <w:rPr>
          <w:szCs w:val="18"/>
        </w:rPr>
      </w:pPr>
      <w:r>
        <w:rPr>
          <w:szCs w:val="18"/>
        </w:rPr>
        <w:t>Daarnaast hebben de verschillende ministeries ook nog specifieke actieplannen of impulsen ontwikkeld ten behoeve van letselpreventie op hun domeinen.</w:t>
      </w:r>
    </w:p>
    <w:p w:rsidRPr="001507F2" w:rsidR="00F97FE3" w:rsidP="0016573E" w:rsidRDefault="00F97FE3">
      <w:pPr>
        <w:pStyle w:val="Huisstijl-Colofon"/>
      </w:pPr>
      <w:r w:rsidRPr="001507F2">
        <w:t xml:space="preserve">Het ministerie van V&amp;J </w:t>
      </w:r>
      <w:r>
        <w:t xml:space="preserve">bijvoorbeeld </w:t>
      </w:r>
      <w:r w:rsidRPr="001507F2">
        <w:t>heeft specifiek beleid ontwikkeld ten aanzien van geweld. Dit betreft het interdepartementale Actieplan tegen geweld (2005-2008) en het programma Aanpak expressief geweld in het (semi)publieke domein (2008 – 2011). Implementatie van het landelijke politiekprogramma Antwoord op geweld (2012-2015) vindt nu plaats.</w:t>
      </w:r>
    </w:p>
    <w:p w:rsidR="005F0986" w:rsidP="0016573E" w:rsidRDefault="005F0986">
      <w:pPr>
        <w:spacing w:line="240" w:lineRule="auto"/>
        <w:rPr>
          <w:b/>
        </w:rPr>
      </w:pPr>
    </w:p>
    <w:p w:rsidR="005F0986" w:rsidP="0016573E" w:rsidRDefault="005F0986">
      <w:pPr>
        <w:spacing w:line="240" w:lineRule="auto"/>
        <w:rPr>
          <w:b/>
        </w:rPr>
      </w:pPr>
    </w:p>
    <w:p w:rsidRPr="003D4369" w:rsidR="007707B1" w:rsidP="0016573E" w:rsidRDefault="007707B1">
      <w:pPr>
        <w:spacing w:line="240" w:lineRule="auto"/>
        <w:rPr>
          <w:b/>
        </w:rPr>
      </w:pPr>
      <w:r w:rsidRPr="003D4369">
        <w:rPr>
          <w:b/>
        </w:rPr>
        <w:t>Specifieke thema’s</w:t>
      </w:r>
    </w:p>
    <w:p w:rsidR="007707B1" w:rsidP="0016573E" w:rsidRDefault="007707B1">
      <w:pPr>
        <w:ind w:hanging="1134"/>
      </w:pPr>
    </w:p>
    <w:p w:rsidRPr="003D4369" w:rsidR="007707B1" w:rsidP="0016573E" w:rsidRDefault="007707B1">
      <w:pPr>
        <w:rPr>
          <w:i/>
        </w:rPr>
      </w:pPr>
      <w:r w:rsidRPr="003D4369">
        <w:rPr>
          <w:i/>
        </w:rPr>
        <w:t>Valpreventie</w:t>
      </w:r>
    </w:p>
    <w:p w:rsidR="007707B1" w:rsidP="0016573E" w:rsidRDefault="007707B1">
      <w:r>
        <w:t xml:space="preserve">Vallen bij senioren (55+) veroorzaakt verreweg de hoogste sterfte en ziektelast van alle letselcategorieën. In de beleidsbrief wordt daarom een aantal voornemens rondom valpreventie benoemd. </w:t>
      </w:r>
    </w:p>
    <w:p w:rsidR="007707B1" w:rsidP="0016573E" w:rsidRDefault="007707B1">
      <w:r>
        <w:t xml:space="preserve">De minister wilde de ketenbenadering van valpreventie stimuleren door thuiswonende ouderen met een verhoogd risico op vallen te identificeren en door te verwijzen naar verschillende organisaties die vallen helpen te voorkomen. </w:t>
      </w:r>
    </w:p>
    <w:p w:rsidRPr="00DD1F7D" w:rsidR="00DD1F7D" w:rsidP="0016573E" w:rsidRDefault="00DD1F7D">
      <w:pPr>
        <w:pStyle w:val="Tekstzonderopmaak"/>
        <w:spacing w:line="240" w:lineRule="atLeast"/>
        <w:rPr>
          <w:sz w:val="18"/>
          <w:szCs w:val="18"/>
        </w:rPr>
      </w:pPr>
      <w:r w:rsidRPr="00DD1F7D">
        <w:rPr>
          <w:sz w:val="18"/>
          <w:szCs w:val="18"/>
        </w:rPr>
        <w:t xml:space="preserve">In 2007 </w:t>
      </w:r>
      <w:r w:rsidR="00DD6665">
        <w:rPr>
          <w:sz w:val="18"/>
          <w:szCs w:val="18"/>
        </w:rPr>
        <w:t>heeft</w:t>
      </w:r>
      <w:r w:rsidR="00FB0171">
        <w:rPr>
          <w:sz w:val="18"/>
          <w:szCs w:val="18"/>
        </w:rPr>
        <w:t xml:space="preserve"> VeiligheidNL </w:t>
      </w:r>
      <w:r w:rsidRPr="00DD1F7D">
        <w:rPr>
          <w:sz w:val="18"/>
          <w:szCs w:val="18"/>
        </w:rPr>
        <w:t>een pilotproject uitgevoerd</w:t>
      </w:r>
      <w:r>
        <w:rPr>
          <w:sz w:val="18"/>
          <w:szCs w:val="18"/>
        </w:rPr>
        <w:t xml:space="preserve"> </w:t>
      </w:r>
      <w:r w:rsidRPr="00DD1F7D">
        <w:rPr>
          <w:sz w:val="18"/>
          <w:szCs w:val="18"/>
        </w:rPr>
        <w:t>waarbij in twee regio's (Nijmegen en Dirksland) gestreefd is naar een</w:t>
      </w:r>
      <w:r>
        <w:rPr>
          <w:sz w:val="18"/>
          <w:szCs w:val="18"/>
        </w:rPr>
        <w:t xml:space="preserve"> </w:t>
      </w:r>
      <w:r w:rsidR="00FB0171">
        <w:rPr>
          <w:sz w:val="18"/>
          <w:szCs w:val="18"/>
        </w:rPr>
        <w:t xml:space="preserve">ketenbenadering van valpreventie </w:t>
      </w:r>
      <w:r w:rsidRPr="00DD1F7D">
        <w:rPr>
          <w:sz w:val="18"/>
          <w:szCs w:val="18"/>
        </w:rPr>
        <w:t>waarbij een valkli</w:t>
      </w:r>
      <w:r w:rsidR="00FB0171">
        <w:rPr>
          <w:sz w:val="18"/>
          <w:szCs w:val="18"/>
        </w:rPr>
        <w:t>niek de spil is. Na deze pilot heeft VeiligheidNL b</w:t>
      </w:r>
      <w:r w:rsidRPr="00DD1F7D">
        <w:rPr>
          <w:sz w:val="18"/>
          <w:szCs w:val="18"/>
        </w:rPr>
        <w:t>esloten om niet door te gaan met</w:t>
      </w:r>
      <w:r>
        <w:rPr>
          <w:sz w:val="18"/>
          <w:szCs w:val="18"/>
        </w:rPr>
        <w:t xml:space="preserve"> </w:t>
      </w:r>
      <w:r w:rsidRPr="00DD1F7D">
        <w:rPr>
          <w:sz w:val="18"/>
          <w:szCs w:val="18"/>
        </w:rPr>
        <w:t>het actief stimuleren en ondersteunen van de vorming van valnetwerke</w:t>
      </w:r>
      <w:r>
        <w:rPr>
          <w:sz w:val="18"/>
          <w:szCs w:val="18"/>
        </w:rPr>
        <w:t>n</w:t>
      </w:r>
      <w:r w:rsidR="00DD6665">
        <w:rPr>
          <w:sz w:val="18"/>
          <w:szCs w:val="18"/>
        </w:rPr>
        <w:t>,</w:t>
      </w:r>
      <w:r>
        <w:rPr>
          <w:sz w:val="18"/>
          <w:szCs w:val="18"/>
        </w:rPr>
        <w:t xml:space="preserve"> </w:t>
      </w:r>
      <w:r w:rsidRPr="00DD1F7D">
        <w:rPr>
          <w:sz w:val="18"/>
          <w:szCs w:val="18"/>
        </w:rPr>
        <w:t>aangezien de kosten hiervan niet op blijken te wegen tegen de baten</w:t>
      </w:r>
      <w:r w:rsidR="00FB0171">
        <w:rPr>
          <w:rStyle w:val="Voetnootmarkering"/>
          <w:sz w:val="18"/>
          <w:szCs w:val="18"/>
        </w:rPr>
        <w:footnoteReference w:id="18"/>
      </w:r>
      <w:r w:rsidRPr="00DD1F7D">
        <w:rPr>
          <w:sz w:val="18"/>
          <w:szCs w:val="18"/>
        </w:rPr>
        <w:t>.</w:t>
      </w:r>
      <w:r>
        <w:rPr>
          <w:sz w:val="18"/>
          <w:szCs w:val="18"/>
        </w:rPr>
        <w:t xml:space="preserve"> </w:t>
      </w:r>
      <w:r w:rsidRPr="00DD1F7D">
        <w:rPr>
          <w:sz w:val="18"/>
          <w:szCs w:val="18"/>
        </w:rPr>
        <w:t>Naast de</w:t>
      </w:r>
      <w:r w:rsidR="00FB0171">
        <w:rPr>
          <w:sz w:val="18"/>
          <w:szCs w:val="18"/>
        </w:rPr>
        <w:t xml:space="preserve">ze pilot zijn </w:t>
      </w:r>
      <w:r w:rsidRPr="00DD1F7D">
        <w:rPr>
          <w:sz w:val="18"/>
          <w:szCs w:val="18"/>
        </w:rPr>
        <w:t>initiatieven</w:t>
      </w:r>
      <w:r>
        <w:rPr>
          <w:sz w:val="18"/>
          <w:szCs w:val="18"/>
        </w:rPr>
        <w:t xml:space="preserve"> </w:t>
      </w:r>
      <w:r w:rsidRPr="00DD1F7D">
        <w:rPr>
          <w:sz w:val="18"/>
          <w:szCs w:val="18"/>
        </w:rPr>
        <w:t xml:space="preserve">ontplooid </w:t>
      </w:r>
      <w:r w:rsidR="00DD6665">
        <w:rPr>
          <w:sz w:val="18"/>
          <w:szCs w:val="18"/>
        </w:rPr>
        <w:t>voor</w:t>
      </w:r>
      <w:r w:rsidRPr="00DD1F7D">
        <w:rPr>
          <w:sz w:val="18"/>
          <w:szCs w:val="18"/>
        </w:rPr>
        <w:t xml:space="preserve"> twee belangrijke beroepsgroepen bij het signaleren van</w:t>
      </w:r>
      <w:r>
        <w:rPr>
          <w:sz w:val="18"/>
          <w:szCs w:val="18"/>
        </w:rPr>
        <w:t xml:space="preserve"> </w:t>
      </w:r>
      <w:r w:rsidRPr="00DD1F7D">
        <w:rPr>
          <w:sz w:val="18"/>
          <w:szCs w:val="18"/>
        </w:rPr>
        <w:t>hoog valrisico bij ouderen: de praktijkondersteuners van huisartsen (POH)</w:t>
      </w:r>
      <w:r>
        <w:rPr>
          <w:sz w:val="18"/>
          <w:szCs w:val="18"/>
        </w:rPr>
        <w:t xml:space="preserve"> </w:t>
      </w:r>
      <w:r w:rsidRPr="00DD1F7D">
        <w:rPr>
          <w:sz w:val="18"/>
          <w:szCs w:val="18"/>
        </w:rPr>
        <w:t>en de medewerkers van consultatiebureaus voor ouderen (CbO). POH</w:t>
      </w:r>
      <w:r>
        <w:rPr>
          <w:sz w:val="18"/>
          <w:szCs w:val="18"/>
        </w:rPr>
        <w:t>’</w:t>
      </w:r>
      <w:r w:rsidRPr="00DD1F7D">
        <w:rPr>
          <w:sz w:val="18"/>
          <w:szCs w:val="18"/>
        </w:rPr>
        <w:t>s en</w:t>
      </w:r>
      <w:r>
        <w:rPr>
          <w:sz w:val="18"/>
          <w:szCs w:val="18"/>
        </w:rPr>
        <w:t xml:space="preserve"> </w:t>
      </w:r>
      <w:r w:rsidRPr="00DD1F7D">
        <w:rPr>
          <w:sz w:val="18"/>
          <w:szCs w:val="18"/>
        </w:rPr>
        <w:t>medewerkers van een CbO zitten in dezelfde schakel van de valketen;</w:t>
      </w:r>
      <w:r>
        <w:rPr>
          <w:sz w:val="18"/>
          <w:szCs w:val="18"/>
        </w:rPr>
        <w:t xml:space="preserve"> </w:t>
      </w:r>
      <w:r w:rsidRPr="00DD1F7D">
        <w:rPr>
          <w:sz w:val="18"/>
          <w:szCs w:val="18"/>
        </w:rPr>
        <w:t>voornamelijk de signalering en aansluitend daarop advisering en</w:t>
      </w:r>
      <w:r>
        <w:rPr>
          <w:sz w:val="18"/>
          <w:szCs w:val="18"/>
        </w:rPr>
        <w:t xml:space="preserve"> </w:t>
      </w:r>
      <w:r w:rsidRPr="00DD1F7D">
        <w:rPr>
          <w:sz w:val="18"/>
          <w:szCs w:val="18"/>
        </w:rPr>
        <w:t>doorverwijzing. Beide beroepsgroepen kunnen ervoor zorgen dat eerder wordt</w:t>
      </w:r>
      <w:r>
        <w:rPr>
          <w:sz w:val="18"/>
          <w:szCs w:val="18"/>
        </w:rPr>
        <w:t xml:space="preserve"> </w:t>
      </w:r>
      <w:r w:rsidRPr="00DD1F7D">
        <w:rPr>
          <w:sz w:val="18"/>
          <w:szCs w:val="18"/>
        </w:rPr>
        <w:t>ingegrepen bij een verhoogde valkans. Uit onderzoek onder POH's, dat in</w:t>
      </w:r>
      <w:r>
        <w:rPr>
          <w:sz w:val="18"/>
          <w:szCs w:val="18"/>
        </w:rPr>
        <w:t xml:space="preserve"> </w:t>
      </w:r>
      <w:r w:rsidRPr="00DD1F7D">
        <w:rPr>
          <w:sz w:val="18"/>
          <w:szCs w:val="18"/>
        </w:rPr>
        <w:t>2008 heeft plaatsgevonden, blijkt dat veel behoefte bestaat aan meer kennis</w:t>
      </w:r>
      <w:r>
        <w:rPr>
          <w:sz w:val="18"/>
          <w:szCs w:val="18"/>
        </w:rPr>
        <w:t xml:space="preserve"> </w:t>
      </w:r>
      <w:r w:rsidRPr="00DD1F7D">
        <w:rPr>
          <w:sz w:val="18"/>
          <w:szCs w:val="18"/>
        </w:rPr>
        <w:t xml:space="preserve">over en ondersteuning </w:t>
      </w:r>
      <w:r w:rsidRPr="00FB0171">
        <w:rPr>
          <w:rFonts w:cs="Arial"/>
          <w:sz w:val="18"/>
          <w:szCs w:val="18"/>
        </w:rPr>
        <w:t xml:space="preserve">bij valpreventie. </w:t>
      </w:r>
      <w:r w:rsidRPr="00FB0171" w:rsidR="00FB0171">
        <w:rPr>
          <w:rFonts w:cs="Arial"/>
          <w:sz w:val="18"/>
          <w:szCs w:val="18"/>
        </w:rPr>
        <w:t>VeiligheidNL heeft daarom de interventie Valanalyse 65+ ontwikkeld. Deze interventie heeft als doel eerstelijnszorgverleners</w:t>
      </w:r>
      <w:r w:rsidRPr="00E66639" w:rsidR="00FB0171">
        <w:rPr>
          <w:rFonts w:cs="Arial"/>
          <w:sz w:val="18"/>
          <w:szCs w:val="18"/>
        </w:rPr>
        <w:t xml:space="preserve"> </w:t>
      </w:r>
      <w:r w:rsidRPr="00E66639" w:rsidR="00E66639">
        <w:rPr>
          <w:rFonts w:cs="Arial"/>
          <w:sz w:val="18"/>
          <w:szCs w:val="18"/>
        </w:rPr>
        <w:t>(</w:t>
      </w:r>
      <w:r w:rsidR="00E66639">
        <w:rPr>
          <w:rFonts w:cs="Arial"/>
          <w:sz w:val="18"/>
          <w:szCs w:val="18"/>
        </w:rPr>
        <w:t>i</w:t>
      </w:r>
      <w:r w:rsidRPr="00E66639" w:rsidR="00E66639">
        <w:rPr>
          <w:rFonts w:eastAsia="Calibri" w:cs="Arial"/>
          <w:sz w:val="18"/>
          <w:szCs w:val="18"/>
        </w:rPr>
        <w:t>n de eerste plaats praktijkondersteuners van huisartsen en medewerkers van een consultatiebureau voor oude</w:t>
      </w:r>
      <w:r w:rsidR="008D35C0">
        <w:rPr>
          <w:rFonts w:eastAsia="Calibri" w:cs="Arial"/>
          <w:sz w:val="18"/>
          <w:szCs w:val="18"/>
        </w:rPr>
        <w:t>ren, m</w:t>
      </w:r>
      <w:r w:rsidRPr="00E66639" w:rsidR="00E66639">
        <w:rPr>
          <w:rFonts w:eastAsia="Calibri" w:cs="Arial"/>
          <w:sz w:val="18"/>
          <w:szCs w:val="18"/>
        </w:rPr>
        <w:t>aar ook voor thuiszorgmedewerkers, fysiotherapeuten, ergotherapeuten en andere paramedici die ouderen zien</w:t>
      </w:r>
      <w:r w:rsidRPr="00E66639" w:rsidR="00E66639">
        <w:rPr>
          <w:rFonts w:cs="Arial"/>
          <w:sz w:val="18"/>
          <w:szCs w:val="18"/>
        </w:rPr>
        <w:t xml:space="preserve">) </w:t>
      </w:r>
      <w:r w:rsidRPr="00FB0171" w:rsidR="00FB0171">
        <w:rPr>
          <w:rFonts w:cs="Arial"/>
          <w:sz w:val="18"/>
          <w:szCs w:val="18"/>
        </w:rPr>
        <w:t>ondersteunen bij het opsporen van ouderen met een verhoogd valrisico en het geven van een advies op maat aan deze ouderen zodat meer zelfstandig wonende ouderen valpreventieve maatregelen nemen en het risico op een val, en daardoor ook het aantal valongevallen, bij deze groep verminderd wordt.</w:t>
      </w:r>
      <w:r w:rsidR="00E66639">
        <w:rPr>
          <w:rFonts w:cs="Arial"/>
          <w:sz w:val="18"/>
          <w:szCs w:val="18"/>
        </w:rPr>
        <w:t xml:space="preserve"> De interventie Valanalyse 65+ is onder voorbehoud erkend als theoretisch goed onderbouwd door de Erkenningscommissie Interventies en wordt momenteel landelijk geïmplementeerd door VeiligheidNL. </w:t>
      </w:r>
    </w:p>
    <w:p w:rsidR="007707B1" w:rsidP="0016573E" w:rsidRDefault="007707B1"/>
    <w:p w:rsidR="007707B1" w:rsidP="0016573E" w:rsidRDefault="007707B1">
      <w:r>
        <w:t>Gebrek aan voldoende en structurele financiering voor valpreventieprogramma’s, vooral via de zorgverzekering, wordt in de praktijk gezien als een belangrijke belemmerende factor door het (lokale) werkveld. De minister heeft daarom het voornemen geformuleerd om v</w:t>
      </w:r>
      <w:r w:rsidRPr="0014720F">
        <w:t xml:space="preserve">alpreventie </w:t>
      </w:r>
      <w:r>
        <w:t xml:space="preserve">te </w:t>
      </w:r>
      <w:r w:rsidRPr="0014720F">
        <w:t>agenderen in de lopende verkenning van de preventieve rol van verzekeraars om hun mogelijke rol daarbij optimaal te benutten.</w:t>
      </w:r>
      <w:r>
        <w:t xml:space="preserve"> Zorgverzekeraars Nederland heeft in afgelopen jaren getracht om valpreventie in een gezamenlijk project op te pakken, maar omdat preventie valt in het concurrerende domein van de zorgverzekeraars bleek dat niet haalbaar.</w:t>
      </w:r>
      <w:r w:rsidR="000B72B9">
        <w:t xml:space="preserve"> Uit een inventarisatie onder zorgkantoren en zorgverzekeraars</w:t>
      </w:r>
      <w:r>
        <w:t xml:space="preserve"> </w:t>
      </w:r>
      <w:r w:rsidR="000B72B9">
        <w:t xml:space="preserve">blijkt dat valpreventie een thema is. Zorgkantoren geven aan dat leefstijl waaronder valpreventie steeds belangrijk wordt in de Verpleging en Verzorging bijvoorbeeld door het kwaliteitskader voor thuiszorg en intramurale ouderenzorg. De inkoopprocedures van zorgkantoren zijn daar op aangepast. Vanuit de Zorgverzekeringswet is het lastig om aandacht te besteden aan valpreventie. Zorgverzekeraars </w:t>
      </w:r>
      <w:r w:rsidR="00DD1F7D">
        <w:t xml:space="preserve">erkennen wel dat het huidige zorgstelsel vraag om verandering, de financiering is een steeds nijpender probleem. Zij ontplooien daarom initiatieven bijvoorbeeld via de aanvullende verzekering en/of in samenwerking met gemeenten. </w:t>
      </w:r>
    </w:p>
    <w:p w:rsidR="00DD1F7D" w:rsidP="0016573E" w:rsidRDefault="00DD1F7D"/>
    <w:p w:rsidR="00CD6E0A" w:rsidP="0016573E" w:rsidRDefault="007707B1">
      <w:pPr>
        <w:rPr>
          <w:szCs w:val="18"/>
        </w:rPr>
      </w:pPr>
      <w:r>
        <w:t>Het registreren van letsels in de eerste lijn gezondheidszorg (waar huisartsenpraktijken toe behoren) is essentieel om groepen met een verhoogd risico te kunnen opsporen. Daarom heeft de minister het voornemen om d</w:t>
      </w:r>
      <w:r w:rsidRPr="0014720F">
        <w:t xml:space="preserve">e mogelijkheid </w:t>
      </w:r>
      <w:r>
        <w:t xml:space="preserve">te </w:t>
      </w:r>
      <w:r w:rsidRPr="0014720F">
        <w:t xml:space="preserve">laten onderzoeken om letsel door vallen te registreren in de eerstelijnszorg, om meer inzicht </w:t>
      </w:r>
      <w:r>
        <w:t xml:space="preserve">te krijgen in de risicofactoren, opgenomen in de beleidsbrief. </w:t>
      </w:r>
      <w:r w:rsidRPr="00C11FD7">
        <w:rPr>
          <w:szCs w:val="18"/>
        </w:rPr>
        <w:t>E</w:t>
      </w:r>
      <w:r>
        <w:rPr>
          <w:szCs w:val="18"/>
        </w:rPr>
        <w:t>en lastig punt in deze is dat l</w:t>
      </w:r>
      <w:r w:rsidRPr="00C11FD7">
        <w:rPr>
          <w:szCs w:val="18"/>
        </w:rPr>
        <w:t>etsels als zodanig niet</w:t>
      </w:r>
      <w:r>
        <w:rPr>
          <w:szCs w:val="18"/>
        </w:rPr>
        <w:t xml:space="preserve"> routinematig</w:t>
      </w:r>
      <w:r w:rsidRPr="00C11FD7">
        <w:rPr>
          <w:szCs w:val="18"/>
        </w:rPr>
        <w:t xml:space="preserve"> in de registraties</w:t>
      </w:r>
      <w:r>
        <w:rPr>
          <w:szCs w:val="18"/>
        </w:rPr>
        <w:t xml:space="preserve"> van huisartsen</w:t>
      </w:r>
      <w:r w:rsidRPr="00C11FD7">
        <w:rPr>
          <w:szCs w:val="18"/>
        </w:rPr>
        <w:t xml:space="preserve"> terecht komen, maar alleen de gevolgen. Dus een heupfactuur</w:t>
      </w:r>
      <w:r>
        <w:rPr>
          <w:szCs w:val="18"/>
        </w:rPr>
        <w:t xml:space="preserve"> van een patiënt wordt geregistreerd, maar niet </w:t>
      </w:r>
      <w:r w:rsidRPr="00C11FD7">
        <w:rPr>
          <w:szCs w:val="18"/>
        </w:rPr>
        <w:t xml:space="preserve">dat deze heupfractuur het gevolg is van een val. Een nieuwe (derde) nationale studie </w:t>
      </w:r>
      <w:r>
        <w:rPr>
          <w:szCs w:val="18"/>
        </w:rPr>
        <w:t xml:space="preserve">van het NIVEL </w:t>
      </w:r>
      <w:r w:rsidRPr="00C11FD7">
        <w:rPr>
          <w:szCs w:val="18"/>
        </w:rPr>
        <w:t xml:space="preserve">waarin een registratie van valletsels mee had kunnen worden genomen, is nooit van de grond gekomen vanwege financiering. </w:t>
      </w:r>
    </w:p>
    <w:p w:rsidR="00CD6E0A" w:rsidP="0016573E" w:rsidRDefault="00CD6E0A">
      <w:pPr>
        <w:rPr>
          <w:szCs w:val="18"/>
        </w:rPr>
      </w:pPr>
    </w:p>
    <w:p w:rsidR="004B132C" w:rsidP="0016573E" w:rsidRDefault="004B132C">
      <w:pPr>
        <w:rPr>
          <w:szCs w:val="18"/>
        </w:rPr>
      </w:pPr>
      <w:r>
        <w:rPr>
          <w:szCs w:val="18"/>
        </w:rPr>
        <w:t>In de langdurige zorg zijn diverse initiatieven rondom valpreventie geweest, deze worden hieronder kort toegelicht.</w:t>
      </w:r>
    </w:p>
    <w:p w:rsidRPr="002940AF" w:rsidR="004B132C" w:rsidP="0016573E" w:rsidRDefault="004B132C">
      <w:pPr>
        <w:rPr>
          <w:szCs w:val="18"/>
        </w:rPr>
      </w:pPr>
      <w:r>
        <w:rPr>
          <w:szCs w:val="18"/>
        </w:rPr>
        <w:t xml:space="preserve">Sinds 2007 is </w:t>
      </w:r>
      <w:r w:rsidRPr="001B1708">
        <w:rPr>
          <w:szCs w:val="18"/>
        </w:rPr>
        <w:t>er een kwaliteitskader voor thuiszorg en intramurale ouderenzorg</w:t>
      </w:r>
      <w:r>
        <w:rPr>
          <w:szCs w:val="18"/>
        </w:rPr>
        <w:t xml:space="preserve">, waarbij organisaties </w:t>
      </w:r>
      <w:r w:rsidRPr="001B1708">
        <w:rPr>
          <w:szCs w:val="18"/>
        </w:rPr>
        <w:t xml:space="preserve">elk jaar </w:t>
      </w:r>
      <w:r>
        <w:rPr>
          <w:szCs w:val="18"/>
        </w:rPr>
        <w:t>proces</w:t>
      </w:r>
      <w:r w:rsidRPr="001B1708">
        <w:rPr>
          <w:szCs w:val="18"/>
        </w:rPr>
        <w:t xml:space="preserve">indicatoren meten </w:t>
      </w:r>
      <w:r>
        <w:rPr>
          <w:szCs w:val="18"/>
        </w:rPr>
        <w:t xml:space="preserve">waaronder het aantal valincidenten. Deze </w:t>
      </w:r>
      <w:r w:rsidRPr="001B1708">
        <w:rPr>
          <w:szCs w:val="18"/>
        </w:rPr>
        <w:t xml:space="preserve">informatie komt beschikbaar op kiesbeter.nl, zodat burgers de organisaties kunnen vergelijken op deze kwaliteitsaspecten. De inspectie gebruikt deze informatie voor toetsing van de organisaties en Zorgverzekeraars Nederland gebruikt deze informatie om inkoopafspraken te maken. Organisaties zijn daarnaast verplicht om individuele valincidenten te melden bij de inspectie, de inspectie toetst daarbij ook of de organisatie voldoende gedaan heeft om valincident (in de toekomst) te voorkomen. De zorgorganisaties gebruiken deze informatie ter verbetering van hun eigen processen, zodat ze bijvoorbeeld het volgende jaar beter scoren op dat onderwerp en daarmee laten </w:t>
      </w:r>
      <w:r w:rsidRPr="002940AF">
        <w:rPr>
          <w:szCs w:val="18"/>
        </w:rPr>
        <w:t xml:space="preserve">ze zien dat ze verbeteren. </w:t>
      </w:r>
    </w:p>
    <w:p w:rsidR="007707B1" w:rsidP="0016573E" w:rsidRDefault="00251823">
      <w:pPr>
        <w:rPr>
          <w:szCs w:val="18"/>
        </w:rPr>
      </w:pPr>
      <w:r w:rsidRPr="002940AF">
        <w:rPr>
          <w:szCs w:val="18"/>
        </w:rPr>
        <w:t xml:space="preserve">Van </w:t>
      </w:r>
      <w:r w:rsidRPr="002940AF" w:rsidR="004B132C">
        <w:rPr>
          <w:szCs w:val="18"/>
        </w:rPr>
        <w:t xml:space="preserve">2005 </w:t>
      </w:r>
      <w:r w:rsidRPr="002940AF">
        <w:rPr>
          <w:szCs w:val="18"/>
        </w:rPr>
        <w:t xml:space="preserve">tot 2011 </w:t>
      </w:r>
      <w:r w:rsidRPr="002940AF" w:rsidR="004B132C">
        <w:rPr>
          <w:szCs w:val="18"/>
        </w:rPr>
        <w:t>l</w:t>
      </w:r>
      <w:r w:rsidRPr="002940AF">
        <w:rPr>
          <w:szCs w:val="18"/>
        </w:rPr>
        <w:t>iep</w:t>
      </w:r>
      <w:r w:rsidRPr="002940AF" w:rsidR="004B132C">
        <w:rPr>
          <w:szCs w:val="18"/>
        </w:rPr>
        <w:t xml:space="preserve"> het initiatief Zorg voor Beter van het ministerie van VWS in </w:t>
      </w:r>
      <w:r w:rsidRPr="002940AF">
        <w:rPr>
          <w:szCs w:val="18"/>
        </w:rPr>
        <w:t>samenspraak met brancheorganisaties, beroepsverenigingen en cliëntenorganisaties onder regie van ZonMW</w:t>
      </w:r>
      <w:r w:rsidRPr="002940AF">
        <w:rPr>
          <w:rStyle w:val="Voetnootmarkering"/>
          <w:szCs w:val="18"/>
        </w:rPr>
        <w:footnoteReference w:id="19"/>
      </w:r>
      <w:r w:rsidRPr="002940AF">
        <w:rPr>
          <w:szCs w:val="18"/>
        </w:rPr>
        <w:t xml:space="preserve">. </w:t>
      </w:r>
      <w:r w:rsidRPr="002940AF" w:rsidR="002940AF">
        <w:rPr>
          <w:szCs w:val="18"/>
        </w:rPr>
        <w:t>Zorg voor Beter is een implementatieprogramma dat zich richt op verbetering en innovatie in de langdurende zorg, gehandicaptenzorg, langdurende geestelijke gezondheidszorg, verpleging, verzorging en thuiszorg. Het programma richt zich op het verspreiden, implementeren en borgen van succesvolle diensten en producten voor zorgverleners (werkwijzen, instrumenten) die kwaliteitsverbetering en innovatie in de langdurende zorg ondersteunen.</w:t>
      </w:r>
      <w:r w:rsidR="001A1FD7">
        <w:rPr>
          <w:szCs w:val="18"/>
        </w:rPr>
        <w:t xml:space="preserve"> Valpreventie was één van de onderwerpen die in Zorg voor Beter aan bod kwam.</w:t>
      </w:r>
    </w:p>
    <w:p w:rsidRPr="002940AF" w:rsidR="001A1FD7" w:rsidP="0016573E" w:rsidRDefault="001A1FD7">
      <w:pPr>
        <w:rPr>
          <w:szCs w:val="18"/>
        </w:rPr>
      </w:pPr>
      <w:r>
        <w:rPr>
          <w:szCs w:val="18"/>
        </w:rPr>
        <w:t xml:space="preserve">De inspectie voor de Gezondheidszorg heeft effectievere preventie als één van de permanente aandachtspunten opgenomen in het meerjarenbeleid. De inspectie selecteerde voor de Staat van de Gezondheidszorg 2012 als één van de zes doelgroepen ouderen in verpleeg- en verzorgingshuizen met als doel begeleiding gericht op meer bewegen om op die manier leefstijlbegeleiding structureel te verankeren in de zorg. </w:t>
      </w:r>
      <w:r w:rsidR="008528E0">
        <w:rPr>
          <w:szCs w:val="18"/>
        </w:rPr>
        <w:t>In het inspectieonderzoek is onderzocht wat een redelijke inspanning is voor instellingen in de intramurale ouderen om beweegstimulering bij ouderen die in deze instellingen verblijven, structureel onderdeel van de zorgverlening te maken. De resultaten van het onderzoek hebben er toe geleid dat</w:t>
      </w:r>
      <w:r>
        <w:rPr>
          <w:szCs w:val="18"/>
        </w:rPr>
        <w:t xml:space="preserve"> </w:t>
      </w:r>
      <w:r w:rsidR="008528E0">
        <w:rPr>
          <w:szCs w:val="18"/>
        </w:rPr>
        <w:t>verzorgings- en verpleeghuizen nog 2 jaar de tijd hebben om beweegstimulering structureel te implementeren. Vanaf 2015 toetst de inspectie de naleving en treedt waar nodig handhavend op.</w:t>
      </w:r>
    </w:p>
    <w:p w:rsidRPr="00CD6E0A" w:rsidR="007707B1" w:rsidP="0016573E" w:rsidRDefault="007707B1"/>
    <w:p w:rsidR="00DE0545" w:rsidP="0016573E" w:rsidRDefault="00DE0545">
      <w:pPr>
        <w:shd w:val="clear" w:color="auto" w:fill="FFFFFF"/>
        <w:rPr>
          <w:szCs w:val="18"/>
        </w:rPr>
      </w:pPr>
      <w:r>
        <w:rPr>
          <w:szCs w:val="18"/>
        </w:rPr>
        <w:t>In de beleidsbrief heeft de minister aangeven v</w:t>
      </w:r>
      <w:r w:rsidR="007707B1">
        <w:rPr>
          <w:szCs w:val="18"/>
        </w:rPr>
        <w:t>alpreventie onder senioren als prioriteit op laten nemen bij programma’s van ZonMw.</w:t>
      </w:r>
      <w:r>
        <w:rPr>
          <w:szCs w:val="18"/>
        </w:rPr>
        <w:t xml:space="preserve"> Van 2007 tot 2009 liep het ZonMW-programma Preventiekracht Thuiszorg en van 2009 tot 2011 het ZonMW-programma PreventieKracht dichtbij huis</w:t>
      </w:r>
      <w:r w:rsidR="00D66D4D">
        <w:rPr>
          <w:rStyle w:val="Voetnootmarkering"/>
          <w:szCs w:val="18"/>
        </w:rPr>
        <w:footnoteReference w:id="20"/>
      </w:r>
      <w:r>
        <w:rPr>
          <w:szCs w:val="18"/>
        </w:rPr>
        <w:t>. Het voorkomen van valincidenten is als één van de speerpunten</w:t>
      </w:r>
      <w:r w:rsidR="00CD6E0A">
        <w:rPr>
          <w:szCs w:val="18"/>
        </w:rPr>
        <w:t xml:space="preserve"> in deze programma’s</w:t>
      </w:r>
      <w:r>
        <w:rPr>
          <w:szCs w:val="18"/>
        </w:rPr>
        <w:t xml:space="preserve"> benoemd. </w:t>
      </w:r>
    </w:p>
    <w:p w:rsidR="00D66D4D" w:rsidP="0016573E" w:rsidRDefault="00D66D4D">
      <w:pPr>
        <w:shd w:val="clear" w:color="auto" w:fill="FFFFFF"/>
        <w:rPr>
          <w:szCs w:val="18"/>
        </w:rPr>
      </w:pPr>
    </w:p>
    <w:p w:rsidR="00CD6E0A" w:rsidP="0016573E" w:rsidRDefault="00CD6E0A">
      <w:pPr>
        <w:pStyle w:val="Geenafstand"/>
        <w:tabs>
          <w:tab w:val="left" w:pos="709"/>
        </w:tabs>
        <w:spacing w:line="276" w:lineRule="auto"/>
        <w:rPr>
          <w:rFonts w:ascii="Verdana" w:hAnsi="Verdana"/>
          <w:sz w:val="18"/>
          <w:szCs w:val="18"/>
        </w:rPr>
      </w:pPr>
      <w:r>
        <w:rPr>
          <w:rFonts w:ascii="Verdana" w:hAnsi="Verdana"/>
          <w:sz w:val="18"/>
          <w:szCs w:val="18"/>
        </w:rPr>
        <w:t xml:space="preserve">In de toekomst wordt de verantwoordelijkheid ten aanzien van valpreventie, naast de verzekeraars, steeds meer neergelegd bij de gemeenten. </w:t>
      </w:r>
      <w:r w:rsidRPr="001B1708">
        <w:rPr>
          <w:rFonts w:ascii="Verdana" w:hAnsi="Verdana"/>
          <w:sz w:val="18"/>
          <w:szCs w:val="18"/>
        </w:rPr>
        <w:t xml:space="preserve">Zij zijn verantwoordelijk voor de zorg in </w:t>
      </w:r>
      <w:r>
        <w:rPr>
          <w:rFonts w:ascii="Verdana" w:hAnsi="Verdana"/>
          <w:sz w:val="18"/>
          <w:szCs w:val="18"/>
        </w:rPr>
        <w:t>de buurt met o.a. verzorging (volgens Regeerakkoord)</w:t>
      </w:r>
      <w:r w:rsidRPr="001B1708">
        <w:rPr>
          <w:rFonts w:ascii="Verdana" w:hAnsi="Verdana"/>
          <w:sz w:val="18"/>
          <w:szCs w:val="18"/>
        </w:rPr>
        <w:t>, welzijn, huishoudelijke verzorging, dagbesteding, vervoer</w:t>
      </w:r>
      <w:r>
        <w:rPr>
          <w:rFonts w:ascii="Verdana" w:hAnsi="Verdana"/>
          <w:sz w:val="18"/>
          <w:szCs w:val="18"/>
        </w:rPr>
        <w:t>.</w:t>
      </w:r>
    </w:p>
    <w:p w:rsidR="00CD6E0A" w:rsidP="0016573E" w:rsidRDefault="00CD6E0A">
      <w:pPr>
        <w:shd w:val="clear" w:color="auto" w:fill="FFFFFF"/>
        <w:rPr>
          <w:szCs w:val="18"/>
        </w:rPr>
      </w:pPr>
    </w:p>
    <w:p w:rsidRPr="003D4369" w:rsidR="007707B1" w:rsidP="0016573E" w:rsidRDefault="007707B1">
      <w:pPr>
        <w:rPr>
          <w:i/>
        </w:rPr>
      </w:pPr>
      <w:r w:rsidRPr="003D4369">
        <w:rPr>
          <w:i/>
        </w:rPr>
        <w:t>(Brom-)fietsongevallen</w:t>
      </w:r>
    </w:p>
    <w:p w:rsidRPr="00A7768D" w:rsidR="007707B1" w:rsidP="0016573E" w:rsidRDefault="007707B1">
      <w:pPr>
        <w:autoSpaceDE w:val="0"/>
        <w:adjustRightInd w:val="0"/>
        <w:rPr>
          <w:szCs w:val="18"/>
        </w:rPr>
      </w:pPr>
      <w:r w:rsidRPr="00A7768D">
        <w:rPr>
          <w:szCs w:val="18"/>
        </w:rPr>
        <w:t>Op 10 juli 2008 heeft de minister van Infrastructuur &amp; Milieu het Strategisch Plan Verkeersveiligheid (SPV) 2008-2020 aangeboden, zoals in de beleidsbrief is genoemd. In de periode 2009-2012 zijn twee tweejaarlijkse actieprogramma’s Verkeersveiligheid met concrete activiteiten uitgevoerd. In 2009-2010 vielen de gedefinieerde activiteiten uiteen in generieke activiteiten, gebaseerd op de drie pijlers va</w:t>
      </w:r>
      <w:r>
        <w:rPr>
          <w:szCs w:val="18"/>
        </w:rPr>
        <w:t>n het verkeersveiligheidsbeleid (</w:t>
      </w:r>
      <w:r w:rsidRPr="00A7768D">
        <w:rPr>
          <w:szCs w:val="18"/>
        </w:rPr>
        <w:t>samenwerking, integrale aanpak en Duurzaam Veilig</w:t>
      </w:r>
      <w:r>
        <w:rPr>
          <w:szCs w:val="18"/>
        </w:rPr>
        <w:t>)</w:t>
      </w:r>
      <w:r w:rsidRPr="00A7768D">
        <w:rPr>
          <w:szCs w:val="18"/>
        </w:rPr>
        <w:t xml:space="preserve"> en activiteiten per aandachtsgebied</w:t>
      </w:r>
      <w:r>
        <w:rPr>
          <w:szCs w:val="18"/>
        </w:rPr>
        <w:t xml:space="preserve"> (doelgroep, vervoersmiddel en/of type infrastructuur)</w:t>
      </w:r>
      <w:r w:rsidRPr="00A7768D">
        <w:rPr>
          <w:szCs w:val="18"/>
        </w:rPr>
        <w:t xml:space="preserve">. </w:t>
      </w:r>
      <w:r>
        <w:rPr>
          <w:szCs w:val="18"/>
        </w:rPr>
        <w:t>De aandachtsgebieden zijn:</w:t>
      </w:r>
      <w:r w:rsidRPr="00A7768D">
        <w:rPr>
          <w:szCs w:val="18"/>
        </w:rPr>
        <w:t xml:space="preserve"> voetgangers, fietsers, enkelvoudige ongevallen, kinderen, ouderen, beginnende bestuurders, berijders van brom-, snorfietsen en brommobielen, motorrijders, bestuurders onder invloed van alcohol, drugs, medicijnen of vermoeidheid, snelheidsovertreders, 50 en 80 km-wegen, vracht- en bestelverkeer. </w:t>
      </w:r>
      <w:r>
        <w:rPr>
          <w:szCs w:val="18"/>
        </w:rPr>
        <w:t>De ervaringen die met dit actieprogramma zijn opgedaan, zijn gebruikt om het actieprogramma 2011-2012 verder te optimaliseren. Dit heeft er toe geleid dat vier prioritaire thema’s zijn benoemd die extra aandacht krijgen: de verbetering van de veiligheid van fietsers, het terugdringen van het aantal enkelzijdige ongevallen, verbetering van de veiligheid van de oudere verkeersdeelnemer en die van de jonge beginnende bestuurders. In beide actieprogramma’s is en wordt mede invulling gegeven aan de aanbevelingen uit het RIVM</w:t>
      </w:r>
      <w:r w:rsidR="009E34A7">
        <w:rPr>
          <w:szCs w:val="18"/>
        </w:rPr>
        <w:t xml:space="preserve"> Thema</w:t>
      </w:r>
      <w:r>
        <w:rPr>
          <w:szCs w:val="18"/>
        </w:rPr>
        <w:t xml:space="preserve">rapport ‘Let op letsels’. </w:t>
      </w:r>
      <w:r w:rsidRPr="00BC6B5A">
        <w:rPr>
          <w:szCs w:val="18"/>
        </w:rPr>
        <w:t>Het ministerie van I&amp;M informeert de Tweede Kamer</w:t>
      </w:r>
      <w:r>
        <w:rPr>
          <w:szCs w:val="18"/>
        </w:rPr>
        <w:t xml:space="preserve"> jaarlijks</w:t>
      </w:r>
      <w:r w:rsidRPr="00BC6B5A">
        <w:rPr>
          <w:szCs w:val="18"/>
        </w:rPr>
        <w:t xml:space="preserve"> </w:t>
      </w:r>
      <w:r>
        <w:rPr>
          <w:szCs w:val="18"/>
        </w:rPr>
        <w:t>over de ontwikkelingen op het gebied van verkeersveiligheid, er vindt geen gedetailleerde monitoring van de actieprogramma’s plaats.</w:t>
      </w:r>
    </w:p>
    <w:p w:rsidR="007707B1" w:rsidP="0016573E" w:rsidRDefault="007707B1">
      <w:pPr>
        <w:pStyle w:val="Default"/>
        <w:spacing w:line="240" w:lineRule="exact"/>
        <w:rPr>
          <w:sz w:val="18"/>
          <w:szCs w:val="18"/>
        </w:rPr>
      </w:pPr>
    </w:p>
    <w:p w:rsidR="007707B1" w:rsidP="0016573E" w:rsidRDefault="007707B1">
      <w:pPr>
        <w:pStyle w:val="Default"/>
        <w:spacing w:line="240" w:lineRule="exact"/>
        <w:rPr>
          <w:sz w:val="18"/>
          <w:szCs w:val="18"/>
        </w:rPr>
      </w:pPr>
      <w:r>
        <w:rPr>
          <w:sz w:val="18"/>
          <w:szCs w:val="18"/>
        </w:rPr>
        <w:t xml:space="preserve">Wanneer </w:t>
      </w:r>
      <w:r w:rsidRPr="00F81F1A">
        <w:rPr>
          <w:sz w:val="18"/>
          <w:szCs w:val="18"/>
        </w:rPr>
        <w:t xml:space="preserve">de verkeershandhaving en verbeteringen van de infrastructuur op peil blijven, </w:t>
      </w:r>
      <w:r>
        <w:rPr>
          <w:sz w:val="18"/>
          <w:szCs w:val="18"/>
        </w:rPr>
        <w:t xml:space="preserve">zullen er </w:t>
      </w:r>
      <w:r w:rsidRPr="00F81F1A">
        <w:rPr>
          <w:sz w:val="18"/>
          <w:szCs w:val="18"/>
        </w:rPr>
        <w:t>500 tot 570 verkeersdoden en 16.700 tot 18.300 ernstig verke</w:t>
      </w:r>
      <w:r>
        <w:rPr>
          <w:sz w:val="18"/>
          <w:szCs w:val="18"/>
        </w:rPr>
        <w:t>ersgewonden te betreuren zijn</w:t>
      </w:r>
      <w:r w:rsidRPr="00F81F1A">
        <w:rPr>
          <w:sz w:val="18"/>
          <w:szCs w:val="18"/>
        </w:rPr>
        <w:t xml:space="preserve"> </w:t>
      </w:r>
      <w:r>
        <w:rPr>
          <w:sz w:val="18"/>
          <w:szCs w:val="18"/>
        </w:rPr>
        <w:t xml:space="preserve">in 2020. Deze cijfers komen uit </w:t>
      </w:r>
      <w:r w:rsidRPr="00F81F1A">
        <w:rPr>
          <w:sz w:val="18"/>
          <w:szCs w:val="18"/>
        </w:rPr>
        <w:t xml:space="preserve">de prognoses </w:t>
      </w:r>
      <w:r>
        <w:rPr>
          <w:sz w:val="18"/>
          <w:szCs w:val="18"/>
        </w:rPr>
        <w:t xml:space="preserve">van de SWOV 2012. Daarmee zijn de doelstellingen voor 2020 (het aantal verkeersdoden maximaal 500 en het aantal ernstig verkeersgewonden maximaal 10.600) nog niet in zicht. De prognoses waren </w:t>
      </w:r>
      <w:r w:rsidRPr="00F81F1A">
        <w:rPr>
          <w:sz w:val="18"/>
          <w:szCs w:val="18"/>
        </w:rPr>
        <w:t xml:space="preserve">aanleiding </w:t>
      </w:r>
      <w:r>
        <w:rPr>
          <w:sz w:val="18"/>
          <w:szCs w:val="18"/>
        </w:rPr>
        <w:t xml:space="preserve">voor de minister </w:t>
      </w:r>
      <w:r w:rsidRPr="00F81F1A">
        <w:rPr>
          <w:sz w:val="18"/>
          <w:szCs w:val="18"/>
        </w:rPr>
        <w:t>om samen met decentrale en maatschappelijke partners aanvullende maatregelen te treffen. Het pakket nieuwe maatregelen in de Beleidsimpuls</w:t>
      </w:r>
      <w:r>
        <w:rPr>
          <w:sz w:val="18"/>
          <w:szCs w:val="18"/>
        </w:rPr>
        <w:t xml:space="preserve"> Verkeersveiligheid, medio 2012 opgetekend,</w:t>
      </w:r>
      <w:r w:rsidRPr="00F81F1A">
        <w:rPr>
          <w:sz w:val="18"/>
          <w:szCs w:val="18"/>
        </w:rPr>
        <w:t xml:space="preserve"> kan zorgen voor een extra reductie van maximaal 50 verkeersdoden en 1.000 tot 2.500 ernstig verkeersgewonden in 2020. </w:t>
      </w:r>
      <w:r>
        <w:rPr>
          <w:sz w:val="18"/>
          <w:szCs w:val="18"/>
        </w:rPr>
        <w:t xml:space="preserve">In de Beleidsimpuls staan dezelfde drie risicogroepen centraal die ook benoemd zijn in de beleidsbrief tav verkeersongevallen: fietsers, senioren en jonge beginnende bestuurders. Deze groepen zijn veelvuldig betrokken bij een ernstig letselongeval, al dan niet met dodelijke afloop. </w:t>
      </w:r>
    </w:p>
    <w:p w:rsidR="007707B1" w:rsidP="0016573E" w:rsidRDefault="007707B1">
      <w:pPr>
        <w:autoSpaceDE w:val="0"/>
        <w:adjustRightInd w:val="0"/>
        <w:rPr>
          <w:rFonts w:cs="RijksoverheidSerif-Bold"/>
          <w:b/>
          <w:bCs/>
          <w:szCs w:val="18"/>
        </w:rPr>
      </w:pPr>
    </w:p>
    <w:p w:rsidRPr="00C74187" w:rsidR="007707B1" w:rsidP="0016573E" w:rsidRDefault="007707B1">
      <w:pPr>
        <w:autoSpaceDE w:val="0"/>
        <w:adjustRightInd w:val="0"/>
        <w:rPr>
          <w:rFonts w:cs="RijksoverheidSerif-Regular"/>
          <w:szCs w:val="18"/>
        </w:rPr>
      </w:pPr>
      <w:r w:rsidRPr="00C74187">
        <w:rPr>
          <w:rFonts w:cs="RijksoverheidSerif-Regular"/>
          <w:szCs w:val="18"/>
        </w:rPr>
        <w:t>Sinds 1993 is het aantal fietskilometers door 50-plussers met maar liefst zestig procent gestegen. Het</w:t>
      </w:r>
      <w:r>
        <w:rPr>
          <w:rFonts w:cs="RijksoverheidSerif-Regular"/>
          <w:szCs w:val="18"/>
        </w:rPr>
        <w:t xml:space="preserve"> </w:t>
      </w:r>
      <w:r w:rsidRPr="00C74187">
        <w:rPr>
          <w:rFonts w:cs="RijksoverheidSerif-Regular"/>
          <w:szCs w:val="18"/>
        </w:rPr>
        <w:t>aantal ouderen is gegroeid en deze groep is meer gaan</w:t>
      </w:r>
      <w:r>
        <w:rPr>
          <w:rFonts w:cs="RijksoverheidSerif-Regular"/>
          <w:szCs w:val="18"/>
        </w:rPr>
        <w:t xml:space="preserve"> </w:t>
      </w:r>
      <w:r w:rsidRPr="00C74187">
        <w:rPr>
          <w:rFonts w:cs="RijksoverheidSerif-Regular"/>
          <w:szCs w:val="18"/>
        </w:rPr>
        <w:t xml:space="preserve">fietsen. Dat is </w:t>
      </w:r>
      <w:r>
        <w:rPr>
          <w:rFonts w:cs="RijksoverheidSerif-Regular"/>
          <w:szCs w:val="18"/>
        </w:rPr>
        <w:t>gunstig, h</w:t>
      </w:r>
      <w:r w:rsidRPr="00C74187">
        <w:rPr>
          <w:rFonts w:cs="RijksoverheidSerif-Regular"/>
          <w:szCs w:val="18"/>
        </w:rPr>
        <w:t>et</w:t>
      </w:r>
      <w:r>
        <w:rPr>
          <w:rFonts w:cs="RijksoverheidSerif-Regular"/>
          <w:szCs w:val="18"/>
        </w:rPr>
        <w:t xml:space="preserve"> </w:t>
      </w:r>
      <w:r w:rsidRPr="00C74187">
        <w:rPr>
          <w:rFonts w:cs="RijksoverheidSerif-Regular"/>
          <w:szCs w:val="18"/>
        </w:rPr>
        <w:t>houdt senioren gezond en in beweging. Maar er is helaas</w:t>
      </w:r>
      <w:r>
        <w:rPr>
          <w:rFonts w:cs="RijksoverheidSerif-Regular"/>
          <w:szCs w:val="18"/>
        </w:rPr>
        <w:t xml:space="preserve"> </w:t>
      </w:r>
      <w:r w:rsidRPr="00C74187">
        <w:rPr>
          <w:rFonts w:cs="RijksoverheidSerif-Regular"/>
          <w:szCs w:val="18"/>
        </w:rPr>
        <w:t>ook een keerzijde. Ouderen zijn kwetsbaar en belanden</w:t>
      </w:r>
      <w:r>
        <w:rPr>
          <w:rFonts w:cs="RijksoverheidSerif-Regular"/>
          <w:szCs w:val="18"/>
        </w:rPr>
        <w:t xml:space="preserve"> </w:t>
      </w:r>
      <w:r w:rsidRPr="00C74187">
        <w:rPr>
          <w:rFonts w:cs="RijksoverheidSerif-Regular"/>
          <w:szCs w:val="18"/>
        </w:rPr>
        <w:t>relatief vaak in het ziekenhuis na een fietsongeluk. Het</w:t>
      </w:r>
      <w:r>
        <w:rPr>
          <w:rFonts w:cs="RijksoverheidSerif-Regular"/>
          <w:szCs w:val="18"/>
        </w:rPr>
        <w:t xml:space="preserve"> </w:t>
      </w:r>
      <w:r w:rsidRPr="00C74187">
        <w:rPr>
          <w:rFonts w:cs="RijksoverheidSerif-Regular"/>
          <w:szCs w:val="18"/>
        </w:rPr>
        <w:t>aantal ouderen met ernstig letsel is sinds 2000 zelfs met</w:t>
      </w:r>
      <w:r>
        <w:rPr>
          <w:rFonts w:cs="RijksoverheidSerif-Regular"/>
          <w:szCs w:val="18"/>
        </w:rPr>
        <w:t xml:space="preserve"> </w:t>
      </w:r>
      <w:r w:rsidRPr="00C74187">
        <w:rPr>
          <w:rFonts w:cs="RijksoverheidSerif-Regular"/>
          <w:szCs w:val="18"/>
        </w:rPr>
        <w:t>vijftig procent toegenomen.</w:t>
      </w:r>
      <w:r>
        <w:rPr>
          <w:rFonts w:cs="RijksoverheidSerif-Regular"/>
          <w:szCs w:val="18"/>
        </w:rPr>
        <w:t xml:space="preserve"> E</w:t>
      </w:r>
      <w:r w:rsidRPr="00C74187">
        <w:rPr>
          <w:rFonts w:cs="RijksoverheidSerif-Regular"/>
          <w:szCs w:val="18"/>
        </w:rPr>
        <w:t xml:space="preserve">en groot deel van </w:t>
      </w:r>
      <w:r>
        <w:rPr>
          <w:rFonts w:cs="RijksoverheidSerif-Regular"/>
          <w:szCs w:val="18"/>
        </w:rPr>
        <w:t>de</w:t>
      </w:r>
      <w:r w:rsidRPr="00C74187">
        <w:rPr>
          <w:rFonts w:cs="RijksoverheidSerif-Regular"/>
          <w:szCs w:val="18"/>
        </w:rPr>
        <w:t xml:space="preserve"> maatregelen</w:t>
      </w:r>
      <w:r>
        <w:rPr>
          <w:rFonts w:cs="RijksoverheidSerif-Regular"/>
          <w:szCs w:val="18"/>
        </w:rPr>
        <w:t xml:space="preserve"> in de Beleidsimpuls richt zicht daarom </w:t>
      </w:r>
      <w:r w:rsidRPr="00C74187">
        <w:rPr>
          <w:rFonts w:cs="RijksoverheidSerif-Regular"/>
          <w:szCs w:val="18"/>
        </w:rPr>
        <w:t>op het terugdringen van fietsongevallen.</w:t>
      </w:r>
      <w:r>
        <w:rPr>
          <w:rFonts w:cs="RijksoverheidSerif-Regular"/>
          <w:szCs w:val="18"/>
        </w:rPr>
        <w:t xml:space="preserve"> Z</w:t>
      </w:r>
      <w:r w:rsidRPr="00C74187">
        <w:rPr>
          <w:rFonts w:cs="RijksoverheidSerif-Regular"/>
          <w:szCs w:val="18"/>
        </w:rPr>
        <w:t>o</w:t>
      </w:r>
      <w:r>
        <w:rPr>
          <w:rFonts w:cs="RijksoverheidSerif-Regular"/>
          <w:szCs w:val="18"/>
        </w:rPr>
        <w:t xml:space="preserve"> </w:t>
      </w:r>
      <w:r w:rsidRPr="00C74187">
        <w:rPr>
          <w:rFonts w:cs="RijksoverheidSerif-Regular"/>
          <w:szCs w:val="18"/>
        </w:rPr>
        <w:t>brengen gemeenten voor 2014 lokale fietsknelpunten in</w:t>
      </w:r>
      <w:r>
        <w:rPr>
          <w:rFonts w:cs="RijksoverheidSerif-Regular"/>
          <w:szCs w:val="18"/>
        </w:rPr>
        <w:t xml:space="preserve"> </w:t>
      </w:r>
      <w:r w:rsidRPr="00C74187">
        <w:rPr>
          <w:rFonts w:cs="RijksoverheidSerif-Regular"/>
          <w:szCs w:val="18"/>
        </w:rPr>
        <w:t>kaart, waaronder gevaarlijke oversteekplaatsen, paaltjes etcetera. En stellen ze een aanpak op om deze knelpunten op</w:t>
      </w:r>
      <w:r>
        <w:rPr>
          <w:rFonts w:cs="RijksoverheidSerif-Regular"/>
          <w:szCs w:val="18"/>
        </w:rPr>
        <w:t xml:space="preserve"> </w:t>
      </w:r>
      <w:r w:rsidRPr="00C74187">
        <w:rPr>
          <w:rFonts w:cs="RijksoverheidSerif-Regular"/>
          <w:szCs w:val="18"/>
        </w:rPr>
        <w:t>te lossen. Om het gemeenten makkelijker te maken,</w:t>
      </w:r>
      <w:r>
        <w:rPr>
          <w:rFonts w:cs="RijksoverheidSerif-Regular"/>
          <w:szCs w:val="18"/>
        </w:rPr>
        <w:t xml:space="preserve"> </w:t>
      </w:r>
      <w:r w:rsidRPr="00C74187">
        <w:rPr>
          <w:rFonts w:cs="RijksoverheidSerif-Regular"/>
          <w:szCs w:val="18"/>
        </w:rPr>
        <w:t>inventariseert het ministerie van Infrastructuur en Milieu</w:t>
      </w:r>
      <w:r>
        <w:rPr>
          <w:rFonts w:cs="RijksoverheidSerif-Regular"/>
          <w:szCs w:val="18"/>
        </w:rPr>
        <w:t xml:space="preserve"> </w:t>
      </w:r>
      <w:r w:rsidRPr="00C74187">
        <w:rPr>
          <w:rFonts w:cs="RijksoverheidSerif-Regular"/>
          <w:szCs w:val="18"/>
        </w:rPr>
        <w:t>samen met de VNG en het Fietsberaad welke gemeenten in</w:t>
      </w:r>
      <w:r>
        <w:rPr>
          <w:rFonts w:cs="RijksoverheidSerif-Regular"/>
          <w:szCs w:val="18"/>
        </w:rPr>
        <w:t xml:space="preserve"> </w:t>
      </w:r>
      <w:r w:rsidRPr="00C74187">
        <w:rPr>
          <w:rFonts w:cs="RijksoverheidSerif-Regular"/>
          <w:szCs w:val="18"/>
        </w:rPr>
        <w:t>Nederland al een goede verbeteraanpak fietsveiligheid (best</w:t>
      </w:r>
      <w:r>
        <w:rPr>
          <w:rFonts w:cs="RijksoverheidSerif-Regular"/>
          <w:szCs w:val="18"/>
        </w:rPr>
        <w:t xml:space="preserve"> </w:t>
      </w:r>
      <w:r w:rsidRPr="00C74187">
        <w:rPr>
          <w:rFonts w:cs="RijksoverheidSerif-Regular"/>
          <w:szCs w:val="18"/>
        </w:rPr>
        <w:t>practices) hebben. Op basis hiervan ontwikkelt het</w:t>
      </w:r>
      <w:r>
        <w:rPr>
          <w:rFonts w:cs="RijksoverheidSerif-Regular"/>
          <w:szCs w:val="18"/>
        </w:rPr>
        <w:t xml:space="preserve"> </w:t>
      </w:r>
      <w:r w:rsidRPr="00C74187">
        <w:rPr>
          <w:rFonts w:cs="RijksoverheidSerif-Regular"/>
          <w:szCs w:val="18"/>
        </w:rPr>
        <w:t>ministerie een modelaanpak die de VNG begin 2013 aan</w:t>
      </w:r>
      <w:r>
        <w:rPr>
          <w:rFonts w:cs="RijksoverheidSerif-Regular"/>
          <w:szCs w:val="18"/>
        </w:rPr>
        <w:t xml:space="preserve"> </w:t>
      </w:r>
      <w:r w:rsidRPr="00C74187">
        <w:rPr>
          <w:rFonts w:cs="RijksoverheidSerif-Regular"/>
          <w:szCs w:val="18"/>
        </w:rPr>
        <w:t>gemeenten beschikbaar stelt. Verder kunnen gemeenten de</w:t>
      </w:r>
      <w:r>
        <w:rPr>
          <w:rFonts w:cs="RijksoverheidSerif-Regular"/>
          <w:szCs w:val="18"/>
        </w:rPr>
        <w:t xml:space="preserve"> </w:t>
      </w:r>
      <w:r w:rsidRPr="00C74187">
        <w:rPr>
          <w:rFonts w:cs="RijksoverheidSerif-Regular"/>
          <w:szCs w:val="18"/>
        </w:rPr>
        <w:t>hulp inschakelen van partijen als de Fietsersbond, Veilig</w:t>
      </w:r>
      <w:r>
        <w:rPr>
          <w:rFonts w:cs="RijksoverheidSerif-Regular"/>
          <w:szCs w:val="18"/>
        </w:rPr>
        <w:t xml:space="preserve"> </w:t>
      </w:r>
      <w:r w:rsidRPr="00C74187">
        <w:rPr>
          <w:rFonts w:cs="RijksoverheidSerif-Regular"/>
          <w:szCs w:val="18"/>
        </w:rPr>
        <w:t>Verkeer Nederland en Blijf Veilig Mobiel bij het in beeld</w:t>
      </w:r>
      <w:r>
        <w:rPr>
          <w:rFonts w:cs="RijksoverheidSerif-Regular"/>
          <w:szCs w:val="18"/>
        </w:rPr>
        <w:t xml:space="preserve"> </w:t>
      </w:r>
      <w:r w:rsidRPr="00C74187">
        <w:rPr>
          <w:rFonts w:cs="RijksoverheidSerif-Regular"/>
          <w:szCs w:val="18"/>
        </w:rPr>
        <w:t>brengen van knelpunten en de keuze voor (doelgroep)</w:t>
      </w:r>
      <w:r>
        <w:rPr>
          <w:rFonts w:cs="RijksoverheidSerif-Regular"/>
          <w:szCs w:val="18"/>
        </w:rPr>
        <w:t xml:space="preserve"> </w:t>
      </w:r>
      <w:r w:rsidRPr="00C74187">
        <w:rPr>
          <w:rFonts w:cs="RijksoverheidSerif-Regular"/>
          <w:szCs w:val="18"/>
        </w:rPr>
        <w:t>maatregelen.</w:t>
      </w:r>
    </w:p>
    <w:p w:rsidR="007707B1" w:rsidP="0016573E" w:rsidRDefault="007707B1">
      <w:pPr>
        <w:autoSpaceDE w:val="0"/>
        <w:adjustRightInd w:val="0"/>
        <w:rPr>
          <w:rFonts w:cs="RijksoverheidSerif-Regular"/>
          <w:szCs w:val="18"/>
        </w:rPr>
      </w:pPr>
    </w:p>
    <w:p w:rsidRPr="008659CD" w:rsidR="007707B1" w:rsidP="0016573E" w:rsidRDefault="007707B1">
      <w:pPr>
        <w:autoSpaceDE w:val="0"/>
        <w:adjustRightInd w:val="0"/>
        <w:rPr>
          <w:rFonts w:cs="RijksoverheidSerif-Regular"/>
          <w:szCs w:val="18"/>
        </w:rPr>
      </w:pPr>
      <w:r w:rsidRPr="008659CD">
        <w:rPr>
          <w:rFonts w:cs="RijksoverheidSerif-Regular"/>
          <w:szCs w:val="18"/>
        </w:rPr>
        <w:t>Naast deze activiteiten zijn er nog extra maatregelen</w:t>
      </w:r>
      <w:r>
        <w:rPr>
          <w:rFonts w:cs="RijksoverheidSerif-Regular"/>
          <w:szCs w:val="18"/>
        </w:rPr>
        <w:t xml:space="preserve"> </w:t>
      </w:r>
      <w:r w:rsidRPr="008659CD">
        <w:rPr>
          <w:rFonts w:cs="RijksoverheidSerif-Regular"/>
          <w:szCs w:val="18"/>
        </w:rPr>
        <w:t>aangekondigd. Zo subsidieert het ministerie van</w:t>
      </w:r>
      <w:r>
        <w:rPr>
          <w:rFonts w:cs="RijksoverheidSerif-Regular"/>
          <w:szCs w:val="18"/>
        </w:rPr>
        <w:t xml:space="preserve"> </w:t>
      </w:r>
      <w:r w:rsidRPr="008659CD">
        <w:rPr>
          <w:rFonts w:cs="RijksoverheidSerif-Regular"/>
          <w:szCs w:val="18"/>
        </w:rPr>
        <w:t>Infrastructuur en Milieu de fietsverlichtingscampagne</w:t>
      </w:r>
      <w:r>
        <w:rPr>
          <w:rFonts w:cs="RijksoverheidSerif-Regular"/>
          <w:szCs w:val="18"/>
        </w:rPr>
        <w:t xml:space="preserve"> </w:t>
      </w:r>
      <w:r w:rsidRPr="008659CD">
        <w:rPr>
          <w:rFonts w:cs="RijksoverheidSerif-Regular"/>
          <w:szCs w:val="18"/>
        </w:rPr>
        <w:t>van de</w:t>
      </w:r>
      <w:r w:rsidR="00FE661F">
        <w:rPr>
          <w:rFonts w:cs="RijksoverheidSerif-Regular"/>
          <w:szCs w:val="18"/>
        </w:rPr>
        <w:t xml:space="preserve"> </w:t>
      </w:r>
      <w:r>
        <w:rPr>
          <w:rFonts w:cs="RijksoverheidSerif-Regular"/>
          <w:szCs w:val="18"/>
        </w:rPr>
        <w:t>f</w:t>
      </w:r>
      <w:r w:rsidRPr="008659CD">
        <w:rPr>
          <w:rFonts w:cs="RijksoverheidSerif-Regular"/>
          <w:szCs w:val="18"/>
        </w:rPr>
        <w:t>ietsersbond. En rolt de RAI</w:t>
      </w:r>
      <w:r>
        <w:rPr>
          <w:rFonts w:cs="RijksoverheidSerif-Regular"/>
          <w:szCs w:val="18"/>
        </w:rPr>
        <w:t xml:space="preserve"> </w:t>
      </w:r>
      <w:r w:rsidRPr="008659CD">
        <w:rPr>
          <w:rFonts w:cs="RijksoverheidSerif-Regular"/>
          <w:szCs w:val="18"/>
        </w:rPr>
        <w:t>Vereniging een kwaliteitssysteem voor fietsverlichting uit</w:t>
      </w:r>
      <w:r>
        <w:rPr>
          <w:rFonts w:cs="RijksoverheidSerif-Regular"/>
          <w:szCs w:val="18"/>
        </w:rPr>
        <w:t xml:space="preserve"> </w:t>
      </w:r>
      <w:r w:rsidRPr="008659CD">
        <w:rPr>
          <w:rFonts w:cs="RijksoverheidSerif-Regular"/>
          <w:szCs w:val="18"/>
        </w:rPr>
        <w:t>bij fietswinkels. Tot slot krijgt de kennisontwikkeling van</w:t>
      </w:r>
      <w:r>
        <w:rPr>
          <w:rFonts w:cs="RijksoverheidSerif-Regular"/>
          <w:szCs w:val="18"/>
        </w:rPr>
        <w:t xml:space="preserve"> </w:t>
      </w:r>
      <w:r w:rsidRPr="008659CD">
        <w:rPr>
          <w:rFonts w:cs="RijksoverheidSerif-Regular"/>
          <w:szCs w:val="18"/>
        </w:rPr>
        <w:t>fiets</w:t>
      </w:r>
      <w:r>
        <w:rPr>
          <w:rFonts w:cs="RijksoverheidSerif-Regular"/>
          <w:szCs w:val="18"/>
        </w:rPr>
        <w:t>veiligheid een extra stimulans, b</w:t>
      </w:r>
      <w:r w:rsidRPr="008659CD">
        <w:rPr>
          <w:rFonts w:cs="RijksoverheidSerif-Regular"/>
          <w:szCs w:val="18"/>
        </w:rPr>
        <w:t>ijvoorbeeld met de</w:t>
      </w:r>
      <w:r>
        <w:rPr>
          <w:rFonts w:cs="RijksoverheidSerif-Regular"/>
          <w:szCs w:val="18"/>
        </w:rPr>
        <w:t xml:space="preserve"> </w:t>
      </w:r>
      <w:r w:rsidRPr="008659CD">
        <w:rPr>
          <w:rFonts w:cs="RijksoverheidSerif-Regular"/>
          <w:szCs w:val="18"/>
        </w:rPr>
        <w:t>Nationale Onderzoeksagenda Fietsveiligheid. Deze</w:t>
      </w:r>
      <w:r>
        <w:rPr>
          <w:rFonts w:cs="RijksoverheidSerif-Regular"/>
          <w:szCs w:val="18"/>
        </w:rPr>
        <w:t xml:space="preserve"> </w:t>
      </w:r>
      <w:r w:rsidRPr="008659CD">
        <w:rPr>
          <w:rFonts w:cs="RijksoverheidSerif-Regular"/>
          <w:szCs w:val="18"/>
        </w:rPr>
        <w:t>onderzoeksagenda schenkt onder andere aandacht aan</w:t>
      </w:r>
      <w:r>
        <w:rPr>
          <w:rFonts w:cs="RijksoverheidSerif-Regular"/>
          <w:szCs w:val="18"/>
        </w:rPr>
        <w:t xml:space="preserve"> </w:t>
      </w:r>
      <w:r w:rsidRPr="008659CD">
        <w:rPr>
          <w:rFonts w:cs="RijksoverheidSerif-Regular"/>
          <w:szCs w:val="18"/>
        </w:rPr>
        <w:t>oudere fietsers, elektrische fietsen en veilige fietsontwerpen.</w:t>
      </w:r>
      <w:r>
        <w:rPr>
          <w:rFonts w:cs="RijksoverheidSerif-Regular"/>
          <w:szCs w:val="18"/>
        </w:rPr>
        <w:t xml:space="preserve"> </w:t>
      </w:r>
      <w:r w:rsidRPr="008659CD">
        <w:rPr>
          <w:rFonts w:cs="RijksoverheidSerif-Regular"/>
          <w:szCs w:val="18"/>
        </w:rPr>
        <w:t>Want de kennis over fietsveiligheid is nog niet op</w:t>
      </w:r>
      <w:r>
        <w:rPr>
          <w:rFonts w:cs="RijksoverheidSerif-Regular"/>
          <w:szCs w:val="18"/>
        </w:rPr>
        <w:t xml:space="preserve"> </w:t>
      </w:r>
      <w:r w:rsidRPr="008659CD">
        <w:rPr>
          <w:rFonts w:cs="RijksoverheidSerif-Regular"/>
          <w:szCs w:val="18"/>
        </w:rPr>
        <w:t>hetzelfde niveau als dat van de autoveiligheid.</w:t>
      </w:r>
    </w:p>
    <w:p w:rsidR="007707B1" w:rsidP="0016573E" w:rsidRDefault="007707B1">
      <w:pPr>
        <w:autoSpaceDE w:val="0"/>
        <w:adjustRightInd w:val="0"/>
        <w:rPr>
          <w:rFonts w:cs="RijksoverheidSerif-Regular"/>
          <w:szCs w:val="18"/>
        </w:rPr>
      </w:pPr>
    </w:p>
    <w:p w:rsidRPr="008659CD" w:rsidR="007707B1" w:rsidP="0016573E" w:rsidRDefault="007707B1">
      <w:pPr>
        <w:autoSpaceDE w:val="0"/>
        <w:adjustRightInd w:val="0"/>
        <w:rPr>
          <w:rFonts w:cs="RijksoverheidSerif-Regular"/>
          <w:szCs w:val="18"/>
        </w:rPr>
      </w:pPr>
      <w:r>
        <w:rPr>
          <w:rFonts w:cs="RijksoverheidSerif-Regular"/>
          <w:szCs w:val="18"/>
        </w:rPr>
        <w:t>Specifiek voor senioren werken b</w:t>
      </w:r>
      <w:r w:rsidRPr="008659CD">
        <w:rPr>
          <w:rFonts w:cs="RijksoverheidSerif-Regular"/>
          <w:szCs w:val="18"/>
        </w:rPr>
        <w:t>innen het activiteitenprogramma Blijf Veilig Mobiel negen partijen samen aan veiligheid voor senioren</w:t>
      </w:r>
      <w:r>
        <w:rPr>
          <w:rFonts w:cs="RijksoverheidSerif-Regular"/>
          <w:szCs w:val="18"/>
        </w:rPr>
        <w:t xml:space="preserve"> </w:t>
      </w:r>
      <w:r w:rsidRPr="008659CD">
        <w:rPr>
          <w:rFonts w:cs="RijksoverheidSerif-Regular"/>
          <w:szCs w:val="18"/>
        </w:rPr>
        <w:t>in het verkeer. Blijf Veilig Mobiel heeft de afgelopen jaren</w:t>
      </w:r>
      <w:r>
        <w:rPr>
          <w:rFonts w:cs="RijksoverheidSerif-Regular"/>
          <w:szCs w:val="18"/>
        </w:rPr>
        <w:t xml:space="preserve"> </w:t>
      </w:r>
      <w:r w:rsidRPr="008659CD">
        <w:rPr>
          <w:rFonts w:cs="RijksoverheidSerif-Regular"/>
          <w:szCs w:val="18"/>
        </w:rPr>
        <w:t>diverse succesvolle producten ontwikkeld, waaronder een</w:t>
      </w:r>
      <w:r>
        <w:rPr>
          <w:rFonts w:cs="RijksoverheidSerif-Regular"/>
          <w:szCs w:val="18"/>
        </w:rPr>
        <w:t xml:space="preserve"> </w:t>
      </w:r>
      <w:r w:rsidRPr="008659CD">
        <w:rPr>
          <w:rFonts w:cs="RijksoverheidSerif-Regular"/>
          <w:szCs w:val="18"/>
        </w:rPr>
        <w:t>scootmobielcursus, fietsactiviteiten en mobiliteitsdagen.</w:t>
      </w:r>
      <w:r>
        <w:rPr>
          <w:rFonts w:cs="RijksoverheidSerif-Regular"/>
          <w:szCs w:val="18"/>
        </w:rPr>
        <w:t xml:space="preserve"> </w:t>
      </w:r>
      <w:r w:rsidRPr="008659CD">
        <w:rPr>
          <w:rFonts w:cs="RijksoverheidSerif-Regular"/>
          <w:szCs w:val="18"/>
        </w:rPr>
        <w:t>De organisatie gaat deze producten nu onder een breder</w:t>
      </w:r>
      <w:r>
        <w:rPr>
          <w:rFonts w:cs="RijksoverheidSerif-Regular"/>
          <w:szCs w:val="18"/>
        </w:rPr>
        <w:t xml:space="preserve"> </w:t>
      </w:r>
      <w:r w:rsidRPr="008659CD">
        <w:rPr>
          <w:rFonts w:cs="RijksoverheidSerif-Regular"/>
          <w:szCs w:val="18"/>
        </w:rPr>
        <w:t>publiek onder de aandacht brengen en legt ook de</w:t>
      </w:r>
      <w:r>
        <w:rPr>
          <w:rFonts w:cs="RijksoverheidSerif-Regular"/>
          <w:szCs w:val="18"/>
        </w:rPr>
        <w:t xml:space="preserve"> </w:t>
      </w:r>
      <w:r w:rsidRPr="008659CD">
        <w:rPr>
          <w:rFonts w:cs="RijksoverheidSerif-Regular"/>
          <w:szCs w:val="18"/>
        </w:rPr>
        <w:t>verbinding met de gezondheidszorg. Ook neemt ze de</w:t>
      </w:r>
      <w:r>
        <w:rPr>
          <w:rFonts w:cs="RijksoverheidSerif-Regular"/>
          <w:szCs w:val="18"/>
        </w:rPr>
        <w:t xml:space="preserve"> </w:t>
      </w:r>
      <w:r w:rsidRPr="008659CD">
        <w:rPr>
          <w:rFonts w:cs="RijksoverheidSerif-Regular"/>
          <w:szCs w:val="18"/>
        </w:rPr>
        <w:t>uitvoering van diverse extra maatregelen op zich. In 2013</w:t>
      </w:r>
      <w:r>
        <w:rPr>
          <w:rFonts w:cs="RijksoverheidSerif-Regular"/>
          <w:szCs w:val="18"/>
        </w:rPr>
        <w:t xml:space="preserve"> </w:t>
      </w:r>
      <w:r w:rsidRPr="008659CD">
        <w:rPr>
          <w:rFonts w:cs="RijksoverheidSerif-Regular"/>
          <w:szCs w:val="18"/>
        </w:rPr>
        <w:t>stelt Blijf Veilig Mobiel onder meer een zebra-checklist</w:t>
      </w:r>
      <w:r>
        <w:rPr>
          <w:rFonts w:cs="RijksoverheidSerif-Regular"/>
          <w:szCs w:val="18"/>
        </w:rPr>
        <w:t xml:space="preserve"> </w:t>
      </w:r>
      <w:r w:rsidRPr="008659CD">
        <w:rPr>
          <w:rFonts w:cs="RijksoverheidSerif-Regular"/>
          <w:szCs w:val="18"/>
        </w:rPr>
        <w:t>beschikbaar aan gemeenten. Daarmee kunnen gemeenten</w:t>
      </w:r>
      <w:r>
        <w:rPr>
          <w:rFonts w:cs="RijksoverheidSerif-Regular"/>
          <w:szCs w:val="18"/>
        </w:rPr>
        <w:t xml:space="preserve"> </w:t>
      </w:r>
      <w:r w:rsidRPr="008659CD">
        <w:rPr>
          <w:rFonts w:cs="RijksoverheidSerif-Regular"/>
          <w:szCs w:val="18"/>
        </w:rPr>
        <w:t>nagaan of een zebra wel veilig is voor ouderen. Ook geeft ze</w:t>
      </w:r>
      <w:r>
        <w:rPr>
          <w:rFonts w:cs="RijksoverheidSerif-Regular"/>
          <w:szCs w:val="18"/>
        </w:rPr>
        <w:t xml:space="preserve"> </w:t>
      </w:r>
      <w:r w:rsidRPr="008659CD">
        <w:rPr>
          <w:rFonts w:cs="RijksoverheidSerif-Regular"/>
          <w:szCs w:val="18"/>
        </w:rPr>
        <w:t>een Aankoopwijzer Scootmobiel uit, voor het kiezen van de</w:t>
      </w:r>
      <w:r>
        <w:rPr>
          <w:rFonts w:cs="RijksoverheidSerif-Regular"/>
          <w:szCs w:val="18"/>
        </w:rPr>
        <w:t xml:space="preserve"> </w:t>
      </w:r>
      <w:r w:rsidRPr="008659CD">
        <w:rPr>
          <w:rFonts w:cs="RijksoverheidSerif-Regular"/>
          <w:szCs w:val="18"/>
        </w:rPr>
        <w:t>juiste scootmobiel. Daarnaast ontwikkelt ze nieuwe</w:t>
      </w:r>
      <w:r>
        <w:rPr>
          <w:rFonts w:cs="RijksoverheidSerif-Regular"/>
          <w:szCs w:val="18"/>
        </w:rPr>
        <w:t xml:space="preserve"> </w:t>
      </w:r>
      <w:r w:rsidRPr="008659CD">
        <w:rPr>
          <w:rFonts w:cs="RijksoverheidSerif-Regular"/>
          <w:szCs w:val="18"/>
        </w:rPr>
        <w:t>producten waaronder een online test voor zicht en gehoor.</w:t>
      </w:r>
    </w:p>
    <w:p w:rsidRPr="008659CD" w:rsidR="007707B1" w:rsidP="0016573E" w:rsidRDefault="007707B1">
      <w:pPr>
        <w:autoSpaceDE w:val="0"/>
        <w:adjustRightInd w:val="0"/>
        <w:rPr>
          <w:rFonts w:cs="RijksoverheidSerif-Regular"/>
          <w:szCs w:val="18"/>
        </w:rPr>
      </w:pPr>
      <w:r w:rsidRPr="008659CD">
        <w:rPr>
          <w:rFonts w:cs="RijksoverheidSerif-Regular"/>
          <w:szCs w:val="18"/>
        </w:rPr>
        <w:t>Verkeersongevallen zijn de belangrijkste doodsoorzaak</w:t>
      </w:r>
      <w:r>
        <w:rPr>
          <w:rFonts w:cs="RijksoverheidSerif-Regular"/>
          <w:szCs w:val="18"/>
        </w:rPr>
        <w:t xml:space="preserve"> </w:t>
      </w:r>
      <w:r w:rsidRPr="008659CD">
        <w:rPr>
          <w:rFonts w:cs="RijksoverheidSerif-Regular"/>
          <w:szCs w:val="18"/>
        </w:rPr>
        <w:t>onder jongeren. Overmoedig gedrag en gebrek aan ervaring</w:t>
      </w:r>
      <w:r>
        <w:rPr>
          <w:rFonts w:cs="RijksoverheidSerif-Regular"/>
          <w:szCs w:val="18"/>
        </w:rPr>
        <w:t xml:space="preserve"> </w:t>
      </w:r>
      <w:r w:rsidRPr="008659CD">
        <w:rPr>
          <w:rFonts w:cs="RijksoverheidSerif-Regular"/>
          <w:szCs w:val="18"/>
        </w:rPr>
        <w:t>leiden er toe dat jongeren vooral in de periode kort na het</w:t>
      </w:r>
      <w:r>
        <w:rPr>
          <w:rFonts w:cs="RijksoverheidSerif-Regular"/>
          <w:szCs w:val="18"/>
        </w:rPr>
        <w:t xml:space="preserve"> </w:t>
      </w:r>
      <w:r w:rsidRPr="008659CD">
        <w:rPr>
          <w:rFonts w:cs="RijksoverheidSerif-Regular"/>
          <w:szCs w:val="18"/>
        </w:rPr>
        <w:t>behalen van het rijbewijs vaker betrokken zijn bij verkeersongevallen.</w:t>
      </w:r>
      <w:r>
        <w:rPr>
          <w:rFonts w:cs="RijksoverheidSerif-Regular"/>
          <w:szCs w:val="18"/>
        </w:rPr>
        <w:t xml:space="preserve"> </w:t>
      </w:r>
      <w:r w:rsidRPr="008659CD">
        <w:rPr>
          <w:rFonts w:cs="RijksoverheidSerif-Regular"/>
          <w:szCs w:val="18"/>
        </w:rPr>
        <w:t>Het risico is vooral hoog onder jonge mannen.</w:t>
      </w:r>
      <w:r>
        <w:rPr>
          <w:rFonts w:cs="RijksoverheidSerif-Regular"/>
          <w:szCs w:val="18"/>
        </w:rPr>
        <w:t xml:space="preserve"> </w:t>
      </w:r>
      <w:r w:rsidRPr="008659CD">
        <w:rPr>
          <w:rFonts w:cs="RijksoverheidSerif-Regular"/>
          <w:szCs w:val="18"/>
        </w:rPr>
        <w:t>Het is belangrijk dat jongeren:</w:t>
      </w:r>
    </w:p>
    <w:p w:rsidRPr="00A74214" w:rsidR="007707B1" w:rsidP="00DF453C" w:rsidRDefault="007707B1">
      <w:pPr>
        <w:pStyle w:val="Lijstalinea"/>
        <w:numPr>
          <w:ilvl w:val="0"/>
          <w:numId w:val="13"/>
        </w:numPr>
        <w:autoSpaceDE w:val="0"/>
        <w:adjustRightInd w:val="0"/>
        <w:spacing w:after="0" w:line="240" w:lineRule="exact"/>
        <w:ind w:left="284" w:hanging="284"/>
        <w:rPr>
          <w:rFonts w:ascii="Verdana" w:hAnsi="Verdana" w:cs="RijksoverheidSerif-Regular"/>
          <w:sz w:val="18"/>
          <w:szCs w:val="18"/>
        </w:rPr>
      </w:pPr>
      <w:r w:rsidRPr="00A74214">
        <w:rPr>
          <w:rFonts w:ascii="Verdana" w:hAnsi="Verdana" w:cs="RijksoverheidSerif-Regular"/>
          <w:sz w:val="18"/>
          <w:szCs w:val="18"/>
        </w:rPr>
        <w:t>Grenzen leren kennen in het verkeer. Daarom is het Beginnersrijbewijs ingevoerd. Dit is een (straf )puntenstelsel voor beginnende automobilisten</w:t>
      </w:r>
      <w:r>
        <w:rPr>
          <w:rFonts w:ascii="Verdana" w:hAnsi="Verdana" w:cs="RijksoverheidSerif-Regular"/>
          <w:sz w:val="18"/>
          <w:szCs w:val="18"/>
        </w:rPr>
        <w:t>;</w:t>
      </w:r>
    </w:p>
    <w:p w:rsidRPr="00A74214" w:rsidR="007707B1" w:rsidP="00DF453C" w:rsidRDefault="007707B1">
      <w:pPr>
        <w:pStyle w:val="Lijstalinea"/>
        <w:numPr>
          <w:ilvl w:val="0"/>
          <w:numId w:val="13"/>
        </w:numPr>
        <w:autoSpaceDE w:val="0"/>
        <w:adjustRightInd w:val="0"/>
        <w:spacing w:after="0" w:line="240" w:lineRule="exact"/>
        <w:ind w:left="284" w:hanging="284"/>
        <w:rPr>
          <w:rFonts w:ascii="Verdana" w:hAnsi="Verdana" w:cs="RijksoverheidSerif-Regular"/>
          <w:sz w:val="18"/>
          <w:szCs w:val="18"/>
        </w:rPr>
      </w:pPr>
      <w:r w:rsidRPr="00A74214">
        <w:rPr>
          <w:rFonts w:ascii="Verdana" w:hAnsi="Verdana" w:cs="RijksoverheidSerif-Regular"/>
          <w:sz w:val="18"/>
          <w:szCs w:val="18"/>
        </w:rPr>
        <w:t>Rijervaring opdoen. Daarom is het experiment 2toDrive gestart. Daarmee kunnen jongeren al vanaf 16,5 jaar beginnen met rijlessen, vanaf 17 jaar rijexamen doen en tot 18 jaar alleen rijden onder begeleiding van een coach. Ook het praktijkexamen voor de bromfiets en een getrapte toegang voor het motorrijbewijs moeten ervoor zorgen dat jonge bestuurders op een veiligere manier meedoen in het verkeer</w:t>
      </w:r>
      <w:r>
        <w:rPr>
          <w:rFonts w:ascii="Verdana" w:hAnsi="Verdana" w:cs="RijksoverheidSerif-Regular"/>
          <w:sz w:val="18"/>
          <w:szCs w:val="18"/>
        </w:rPr>
        <w:t>;</w:t>
      </w:r>
    </w:p>
    <w:p w:rsidRPr="00A74214" w:rsidR="007707B1" w:rsidP="00DF453C" w:rsidRDefault="007707B1">
      <w:pPr>
        <w:pStyle w:val="Lijstalinea"/>
        <w:numPr>
          <w:ilvl w:val="0"/>
          <w:numId w:val="13"/>
        </w:numPr>
        <w:autoSpaceDE w:val="0"/>
        <w:adjustRightInd w:val="0"/>
        <w:spacing w:after="0" w:line="240" w:lineRule="exact"/>
        <w:ind w:left="284" w:hanging="284"/>
        <w:rPr>
          <w:rFonts w:ascii="Verdana" w:hAnsi="Verdana" w:cs="RijksoverheidSerif-Regular"/>
          <w:sz w:val="18"/>
          <w:szCs w:val="18"/>
        </w:rPr>
      </w:pPr>
      <w:r w:rsidRPr="00A74214">
        <w:rPr>
          <w:rFonts w:ascii="Verdana" w:hAnsi="Verdana" w:cs="RijksoverheidSerif-Regular"/>
          <w:sz w:val="18"/>
          <w:szCs w:val="18"/>
        </w:rPr>
        <w:t>Goede verkeersvoorlichting krijgen. De jongerenorganisatie TeamAlert verzorgt verkeerseducatie en voorlichtingscampagnes over bijvoorbeeld alcohol- en drugsgebruik in het verkeer.</w:t>
      </w:r>
    </w:p>
    <w:p w:rsidR="007707B1" w:rsidP="0016573E" w:rsidRDefault="007707B1">
      <w:pPr>
        <w:autoSpaceDE w:val="0"/>
        <w:adjustRightInd w:val="0"/>
        <w:rPr>
          <w:rFonts w:cs="RijksoverheidSerif-Regular"/>
          <w:szCs w:val="18"/>
        </w:rPr>
      </w:pPr>
    </w:p>
    <w:p w:rsidR="007707B1" w:rsidP="0016573E" w:rsidRDefault="007707B1">
      <w:pPr>
        <w:autoSpaceDE w:val="0"/>
        <w:adjustRightInd w:val="0"/>
        <w:rPr>
          <w:rFonts w:cs="RijksoverheidSerif-Regular"/>
          <w:szCs w:val="18"/>
        </w:rPr>
      </w:pPr>
      <w:r>
        <w:rPr>
          <w:rFonts w:cs="RijksoverheidSerif-Regular"/>
          <w:szCs w:val="18"/>
        </w:rPr>
        <w:t>Om de voortgang van de uitvoering van de Beleidsimpuls te bewaken en nieuwe inzichten vlot om te kunnen zetten in concrete maatregelen vindt halfjaarlijks overleg met alle betrokken partners plaats. Daarnaast monitort de SWOV jaarlijks hoe de verkeersveiligheid zicht ontwikkelt door trends in beeld te brengen, met speciale aandacht voor de risicogroepen.</w:t>
      </w:r>
      <w:r w:rsidR="00AB227C">
        <w:rPr>
          <w:rFonts w:cs="RijksoverheidSerif-Regular"/>
          <w:szCs w:val="18"/>
        </w:rPr>
        <w:t xml:space="preserve"> De eerste resultaten worden eind 2013 bekend gemaakt.</w:t>
      </w:r>
    </w:p>
    <w:p w:rsidRPr="002E2E64" w:rsidR="003D4369" w:rsidP="0016573E" w:rsidRDefault="003D4369">
      <w:pPr>
        <w:autoSpaceDE w:val="0"/>
        <w:adjustRightInd w:val="0"/>
        <w:rPr>
          <w:rFonts w:ascii="Univers" w:hAnsi="Univers" w:cs="Univers"/>
          <w:szCs w:val="18"/>
        </w:rPr>
      </w:pPr>
    </w:p>
    <w:p w:rsidRPr="003D4369" w:rsidR="007707B1" w:rsidP="0016573E" w:rsidRDefault="007707B1">
      <w:pPr>
        <w:rPr>
          <w:i/>
        </w:rPr>
      </w:pPr>
      <w:r w:rsidRPr="003D4369">
        <w:rPr>
          <w:i/>
        </w:rPr>
        <w:t>Suïcidepreventie</w:t>
      </w:r>
    </w:p>
    <w:p w:rsidR="007707B1" w:rsidP="0016573E" w:rsidRDefault="007707B1">
      <w:pPr>
        <w:rPr>
          <w:rFonts w:eastAsia="Times New Roman" w:cs="Times New Roman"/>
          <w:color w:val="000000"/>
          <w:szCs w:val="18"/>
        </w:rPr>
      </w:pPr>
      <w:r>
        <w:rPr>
          <w:rFonts w:eastAsia="Times New Roman" w:cs="Times New Roman"/>
          <w:color w:val="000000"/>
          <w:szCs w:val="18"/>
        </w:rPr>
        <w:t>Ten aanzien van suïcidepreventie was er al een standpunt bepaald in het Beleidsadvies ‘Verminderen van suïcidaliteit’ (Tweede Kamer, 2007-2008, 22 894, nr. 172). Daar wordt in de beleidsbrief letselpreventie naar verwezen. Zoals aangekondigd is er een overzicht gemaakt van al het onderzoek dat heeft plaatsgevonden en momenteel nog loopt op het gebied van suïcidepreventie</w:t>
      </w:r>
      <w:r w:rsidR="001A074D">
        <w:rPr>
          <w:rFonts w:eastAsia="Times New Roman" w:cs="Times New Roman"/>
          <w:color w:val="000000"/>
          <w:szCs w:val="18"/>
        </w:rPr>
        <w:t xml:space="preserve"> (Trimbos instituut, 2010)</w:t>
      </w:r>
      <w:r>
        <w:rPr>
          <w:rFonts w:eastAsia="Times New Roman" w:cs="Times New Roman"/>
          <w:color w:val="000000"/>
          <w:szCs w:val="18"/>
        </w:rPr>
        <w:t xml:space="preserve">. Dit met als doel dat onderzoekers goed inzicht hebben op welke (deel)gebieden al onderzoek loopt of heeft </w:t>
      </w:r>
      <w:r w:rsidR="001A074D">
        <w:rPr>
          <w:rFonts w:eastAsia="Times New Roman" w:cs="Times New Roman"/>
          <w:color w:val="000000"/>
          <w:szCs w:val="18"/>
        </w:rPr>
        <w:t>p</w:t>
      </w:r>
      <w:r>
        <w:rPr>
          <w:rFonts w:eastAsia="Times New Roman" w:cs="Times New Roman"/>
          <w:color w:val="000000"/>
          <w:szCs w:val="18"/>
        </w:rPr>
        <w:t>laatsgevonden. Ook de multidisciplinaire richtlijn diagnostiek en behandeling</w:t>
      </w:r>
      <w:r w:rsidR="00FE661F">
        <w:rPr>
          <w:rFonts w:eastAsia="Times New Roman" w:cs="Times New Roman"/>
          <w:color w:val="000000"/>
          <w:szCs w:val="18"/>
        </w:rPr>
        <w:t xml:space="preserve"> </w:t>
      </w:r>
      <w:r>
        <w:rPr>
          <w:rFonts w:eastAsia="Times New Roman" w:cs="Times New Roman"/>
          <w:color w:val="000000"/>
          <w:szCs w:val="18"/>
        </w:rPr>
        <w:t>van suïcidaal gedrag is medio 2012 uitgebracht. Deze wordt aanbevolen voor artsen, verpleegkundigen, psychologen en psychotherapeuten, die werkzaam zijn in de gezondheidszorg. Aan de derde aanbeveling toespitsing op belangrijke doelgroepen die nog niet worden bereikt is geen uitvoering gegeven.</w:t>
      </w:r>
    </w:p>
    <w:p w:rsidR="007707B1" w:rsidP="0016573E" w:rsidRDefault="007707B1">
      <w:pPr>
        <w:rPr>
          <w:rFonts w:eastAsia="Times New Roman" w:cs="Times New Roman"/>
          <w:color w:val="000000"/>
          <w:szCs w:val="18"/>
        </w:rPr>
      </w:pPr>
    </w:p>
    <w:p w:rsidR="007707B1" w:rsidP="0016573E" w:rsidRDefault="007707B1">
      <w:pPr>
        <w:rPr>
          <w:rFonts w:eastAsia="Times New Roman" w:cs="Times New Roman"/>
          <w:color w:val="000000"/>
          <w:szCs w:val="18"/>
        </w:rPr>
      </w:pPr>
      <w:r>
        <w:rPr>
          <w:rFonts w:eastAsia="Times New Roman" w:cs="Times New Roman"/>
          <w:color w:val="000000"/>
          <w:szCs w:val="18"/>
        </w:rPr>
        <w:t>De Tweede Kamer is jaarlijks geïnformeerd over de cijfers rondom suïcidaliteit en de uitvoering van de Beleidsagenda Suïcidaliteit middels de Jaarrapportages Vermindering Suïcidaliteit (Kamer</w:t>
      </w:r>
      <w:r w:rsidR="00E124EE">
        <w:rPr>
          <w:rFonts w:eastAsia="Times New Roman" w:cs="Times New Roman"/>
          <w:color w:val="000000"/>
          <w:szCs w:val="18"/>
        </w:rPr>
        <w:t>stuk 22 894 nr. 251, vergaderjaar</w:t>
      </w:r>
      <w:r>
        <w:rPr>
          <w:rFonts w:eastAsia="Times New Roman" w:cs="Times New Roman"/>
          <w:color w:val="000000"/>
          <w:szCs w:val="18"/>
        </w:rPr>
        <w:t xml:space="preserve"> 2009-2010; Kamer</w:t>
      </w:r>
      <w:r w:rsidR="00E124EE">
        <w:rPr>
          <w:rFonts w:eastAsia="Times New Roman" w:cs="Times New Roman"/>
          <w:color w:val="000000"/>
          <w:szCs w:val="18"/>
        </w:rPr>
        <w:t>stuk 22 894 nr. 296</w:t>
      </w:r>
      <w:r>
        <w:rPr>
          <w:rFonts w:eastAsia="Times New Roman" w:cs="Times New Roman"/>
          <w:color w:val="000000"/>
          <w:szCs w:val="18"/>
        </w:rPr>
        <w:t xml:space="preserve">, </w:t>
      </w:r>
      <w:r w:rsidR="00E124EE">
        <w:rPr>
          <w:rFonts w:eastAsia="Times New Roman" w:cs="Times New Roman"/>
          <w:color w:val="000000"/>
          <w:szCs w:val="18"/>
        </w:rPr>
        <w:t xml:space="preserve">vergaderjaar </w:t>
      </w:r>
      <w:r>
        <w:rPr>
          <w:rFonts w:eastAsia="Times New Roman" w:cs="Times New Roman"/>
          <w:color w:val="000000"/>
          <w:szCs w:val="18"/>
        </w:rPr>
        <w:t>2010-2011; Kamer</w:t>
      </w:r>
      <w:r w:rsidR="00E124EE">
        <w:rPr>
          <w:rFonts w:eastAsia="Times New Roman" w:cs="Times New Roman"/>
          <w:color w:val="000000"/>
          <w:szCs w:val="18"/>
        </w:rPr>
        <w:t>stuk 22 894 nr. 309</w:t>
      </w:r>
      <w:r>
        <w:rPr>
          <w:rFonts w:eastAsia="Times New Roman" w:cs="Times New Roman"/>
          <w:color w:val="000000"/>
          <w:szCs w:val="18"/>
        </w:rPr>
        <w:t xml:space="preserve">, </w:t>
      </w:r>
      <w:r w:rsidR="00002149">
        <w:rPr>
          <w:rFonts w:eastAsia="Times New Roman" w:cs="Times New Roman"/>
          <w:color w:val="000000"/>
          <w:szCs w:val="18"/>
        </w:rPr>
        <w:t xml:space="preserve">vergaderjaar </w:t>
      </w:r>
      <w:r>
        <w:rPr>
          <w:rFonts w:eastAsia="Times New Roman" w:cs="Times New Roman"/>
          <w:color w:val="000000"/>
          <w:szCs w:val="18"/>
        </w:rPr>
        <w:t>2011-2012;</w:t>
      </w:r>
      <w:r w:rsidR="00002149">
        <w:rPr>
          <w:rFonts w:eastAsia="Times New Roman" w:cs="Times New Roman"/>
          <w:color w:val="000000"/>
          <w:szCs w:val="18"/>
        </w:rPr>
        <w:t xml:space="preserve"> K</w:t>
      </w:r>
      <w:r w:rsidR="00DF453C">
        <w:rPr>
          <w:rFonts w:eastAsia="Times New Roman" w:cs="Times New Roman"/>
          <w:color w:val="000000"/>
          <w:szCs w:val="18"/>
        </w:rPr>
        <w:t>amer</w:t>
      </w:r>
      <w:r w:rsidR="00002149">
        <w:rPr>
          <w:rFonts w:eastAsia="Times New Roman" w:cs="Times New Roman"/>
          <w:color w:val="000000"/>
          <w:szCs w:val="18"/>
        </w:rPr>
        <w:t>stuk 22894 nr. 313</w:t>
      </w:r>
      <w:r w:rsidR="00DF453C">
        <w:rPr>
          <w:rFonts w:eastAsia="Times New Roman" w:cs="Times New Roman"/>
          <w:color w:val="000000"/>
          <w:szCs w:val="18"/>
        </w:rPr>
        <w:t xml:space="preserve">, </w:t>
      </w:r>
      <w:r w:rsidR="00002149">
        <w:rPr>
          <w:rFonts w:eastAsia="Times New Roman" w:cs="Times New Roman"/>
          <w:color w:val="000000"/>
          <w:szCs w:val="18"/>
        </w:rPr>
        <w:t xml:space="preserve">vergaderjaar </w:t>
      </w:r>
      <w:r w:rsidR="00DF453C">
        <w:rPr>
          <w:rFonts w:eastAsia="Times New Roman" w:cs="Times New Roman"/>
          <w:color w:val="000000"/>
          <w:szCs w:val="18"/>
        </w:rPr>
        <w:t>2012-2013</w:t>
      </w:r>
      <w:r>
        <w:rPr>
          <w:rFonts w:eastAsia="Times New Roman" w:cs="Times New Roman"/>
          <w:color w:val="000000"/>
          <w:szCs w:val="18"/>
        </w:rPr>
        <w:t>).</w:t>
      </w:r>
    </w:p>
    <w:p w:rsidR="007707B1" w:rsidP="0016573E" w:rsidRDefault="007707B1">
      <w:pPr>
        <w:rPr>
          <w:rFonts w:eastAsia="Times New Roman" w:cs="Times New Roman"/>
          <w:color w:val="000000"/>
          <w:szCs w:val="18"/>
        </w:rPr>
      </w:pPr>
    </w:p>
    <w:p w:rsidRPr="00331443" w:rsidR="00CD68DD" w:rsidP="0016573E" w:rsidRDefault="00CD68DD">
      <w:pPr>
        <w:spacing w:line="240" w:lineRule="auto"/>
        <w:rPr>
          <w:szCs w:val="18"/>
        </w:rPr>
      </w:pPr>
    </w:p>
    <w:p w:rsidRPr="00CD68DD" w:rsidR="00DD752B" w:rsidP="0016573E" w:rsidRDefault="00DD752B">
      <w:pPr>
        <w:rPr>
          <w:szCs w:val="18"/>
        </w:rPr>
      </w:pPr>
    </w:p>
    <w:sectPr w:rsidRPr="00CD68DD" w:rsidR="00DD752B" w:rsidSect="003A2B18">
      <w:pgSz w:w="11905" w:h="16837"/>
      <w:pgMar w:top="2835" w:right="1701" w:bottom="1134" w:left="1758" w:header="2750" w:footer="709" w:gutter="1134"/>
      <w:cols w:space="708"/>
      <w:docGrid w:linePitch="326"/>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63FA" w:rsidRDefault="005563FA">
      <w:r>
        <w:separator/>
      </w:r>
    </w:p>
  </w:endnote>
  <w:endnote w:type="continuationSeparator" w:id="0">
    <w:p w:rsidR="005563FA" w:rsidRDefault="005563FA">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20000287" w:usb1="00000000"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800001FF" w:csb1="00000000"/>
  </w:font>
  <w:font w:name="Lohit Hindi">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angal">
    <w:panose1 w:val="00000400000000000000"/>
    <w:charset w:val="00"/>
    <w:family w:val="auto"/>
    <w:pitch w:val="variable"/>
    <w:sig w:usb0="00008003" w:usb1="00000000" w:usb2="00000000" w:usb3="00000000" w:csb0="00000001" w:csb1="00000000"/>
  </w:font>
  <w:font w:name="RijksoverheidSerif-Regula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OpenSymbol">
    <w:charset w:val="00"/>
    <w:family w:val="auto"/>
    <w:pitch w:val="variable"/>
    <w:sig w:usb0="800000AF" w:usb1="1001ECEA" w:usb2="00000000" w:usb3="00000000" w:csb0="00000001" w:csb1="00000000"/>
  </w:font>
  <w:font w:name="Tahoma">
    <w:panose1 w:val="020B0604030504040204"/>
    <w:charset w:val="00"/>
    <w:family w:val="swiss"/>
    <w:pitch w:val="variable"/>
    <w:sig w:usb0="61002A87" w:usb1="80000000" w:usb2="00000008" w:usb3="00000000" w:csb0="000101FF" w:csb1="00000000"/>
  </w:font>
  <w:font w:name="UniversLTStd-Cn">
    <w:panose1 w:val="00000000000000000000"/>
    <w:charset w:val="00"/>
    <w:family w:val="swiss"/>
    <w:notTrueType/>
    <w:pitch w:val="default"/>
    <w:sig w:usb0="00000003" w:usb1="00000000" w:usb2="00000000" w:usb3="00000000" w:csb0="00000001" w:csb1="00000000"/>
  </w:font>
  <w:font w:name="Univers">
    <w:altName w:val="Arial"/>
    <w:panose1 w:val="00000000000000000000"/>
    <w:charset w:val="00"/>
    <w:family w:val="swiss"/>
    <w:notTrueType/>
    <w:pitch w:val="default"/>
    <w:sig w:usb0="00000003" w:usb1="00000000" w:usb2="00000000" w:usb3="00000000" w:csb0="00000001" w:csb1="00000000"/>
  </w:font>
  <w:font w:name="RIVMDemos">
    <w:panose1 w:val="00000000000000000000"/>
    <w:charset w:val="00"/>
    <w:family w:val="auto"/>
    <w:notTrueType/>
    <w:pitch w:val="default"/>
    <w:sig w:usb0="00000003" w:usb1="00000000" w:usb2="00000000" w:usb3="00000000" w:csb0="00000001" w:csb1="00000000"/>
  </w:font>
  <w:font w:name="RijksoverheidSerif-Bold">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3FA" w:rsidRDefault="005563FA">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63FA" w:rsidRDefault="005563FA">
      <w:r>
        <w:rPr>
          <w:color w:val="000000"/>
        </w:rPr>
        <w:separator/>
      </w:r>
    </w:p>
  </w:footnote>
  <w:footnote w:type="continuationSeparator" w:id="0">
    <w:p w:rsidR="005563FA" w:rsidRDefault="005563FA">
      <w:r>
        <w:continuationSeparator/>
      </w:r>
    </w:p>
  </w:footnote>
  <w:footnote w:id="1">
    <w:p w:rsidR="005563FA" w:rsidRDefault="005563FA" w:rsidP="00F73DAA">
      <w:pPr>
        <w:pStyle w:val="Voetnoottekst"/>
      </w:pPr>
      <w:r>
        <w:rPr>
          <w:rStyle w:val="Voetnootmarkering"/>
        </w:rPr>
        <w:footnoteRef/>
      </w:r>
      <w:r>
        <w:t xml:space="preserve"> </w:t>
      </w:r>
      <w:r w:rsidRPr="00505924">
        <w:rPr>
          <w:sz w:val="16"/>
          <w:szCs w:val="16"/>
        </w:rPr>
        <w:t xml:space="preserve">De DALY kwantificeert </w:t>
      </w:r>
      <w:r w:rsidRPr="00505924">
        <w:rPr>
          <w:rFonts w:eastAsia="Times New Roman" w:cs="Times New Roman"/>
          <w:color w:val="000000"/>
          <w:kern w:val="0"/>
          <w:sz w:val="16"/>
          <w:szCs w:val="16"/>
          <w:lang w:eastAsia="nl-NL" w:bidi="ar-SA"/>
        </w:rPr>
        <w:t>gezondheidsverlies en is opgebouwd uit twee componenten: verloren levensjaren en jaren geleefd met ziekte.</w:t>
      </w:r>
    </w:p>
  </w:footnote>
  <w:footnote w:id="2">
    <w:p w:rsidR="005563FA" w:rsidRPr="00255A37" w:rsidRDefault="005563FA">
      <w:pPr>
        <w:pStyle w:val="Voetnoottekst"/>
        <w:rPr>
          <w:sz w:val="16"/>
          <w:szCs w:val="16"/>
        </w:rPr>
      </w:pPr>
      <w:r w:rsidRPr="00255A37">
        <w:rPr>
          <w:rStyle w:val="Voetnootmarkering"/>
          <w:sz w:val="16"/>
          <w:szCs w:val="16"/>
        </w:rPr>
        <w:footnoteRef/>
      </w:r>
      <w:r w:rsidRPr="00255A37">
        <w:rPr>
          <w:sz w:val="16"/>
          <w:szCs w:val="16"/>
        </w:rPr>
        <w:t xml:space="preserve"> Met ingang van 2013 is artikel 41 veranderd in artikel 1.</w:t>
      </w:r>
    </w:p>
  </w:footnote>
  <w:footnote w:id="3">
    <w:p w:rsidR="005563FA" w:rsidRPr="009E34A7" w:rsidRDefault="005563FA">
      <w:pPr>
        <w:pStyle w:val="Voetnoottekst"/>
        <w:rPr>
          <w:sz w:val="16"/>
          <w:szCs w:val="16"/>
        </w:rPr>
      </w:pPr>
      <w:r w:rsidRPr="009E34A7">
        <w:rPr>
          <w:rStyle w:val="Voetnootmarkering"/>
          <w:sz w:val="16"/>
          <w:szCs w:val="16"/>
        </w:rPr>
        <w:footnoteRef/>
      </w:r>
      <w:r w:rsidRPr="009E34A7">
        <w:rPr>
          <w:sz w:val="16"/>
          <w:szCs w:val="16"/>
        </w:rPr>
        <w:t xml:space="preserve"> Per 1 mei 2012 heet Stichting Consument en Veiligheid Stichting VeiligheidNL. In verband met de leesbaarheid wordt in het rapport VeiligheidNL gebruikt.</w:t>
      </w:r>
    </w:p>
  </w:footnote>
  <w:footnote w:id="4">
    <w:p w:rsidR="005563FA" w:rsidRDefault="005563FA">
      <w:pPr>
        <w:pStyle w:val="Voetnoottekst"/>
      </w:pPr>
      <w:r>
        <w:rPr>
          <w:rStyle w:val="Voetnootmarkering"/>
        </w:rPr>
        <w:footnoteRef/>
      </w:r>
      <w:r>
        <w:t xml:space="preserve"> </w:t>
      </w:r>
      <w:r w:rsidRPr="007C442D">
        <w:rPr>
          <w:sz w:val="16"/>
          <w:szCs w:val="16"/>
        </w:rPr>
        <w:t>Regeling Periodiek Evaluatieonderzoek, Staatscourant, nr. 18352, september 2012</w:t>
      </w:r>
    </w:p>
  </w:footnote>
  <w:footnote w:id="5">
    <w:p w:rsidR="005563FA" w:rsidRDefault="005563FA">
      <w:pPr>
        <w:pStyle w:val="Voetnoottekst"/>
      </w:pPr>
      <w:r w:rsidRPr="002F4401">
        <w:rPr>
          <w:rStyle w:val="Voetnootmarkering"/>
          <w:sz w:val="18"/>
        </w:rPr>
        <w:footnoteRef/>
      </w:r>
      <w:r>
        <w:t xml:space="preserve"> </w:t>
      </w:r>
      <w:r w:rsidRPr="005A72C2">
        <w:rPr>
          <w:sz w:val="16"/>
          <w:szCs w:val="16"/>
        </w:rPr>
        <w:t>Lanting en Hoeymans</w:t>
      </w:r>
      <w:r>
        <w:rPr>
          <w:sz w:val="16"/>
          <w:szCs w:val="16"/>
        </w:rPr>
        <w:t xml:space="preserve"> (eindredactie)</w:t>
      </w:r>
      <w:r w:rsidRPr="005A72C2">
        <w:rPr>
          <w:sz w:val="16"/>
          <w:szCs w:val="16"/>
        </w:rPr>
        <w:t>, 2008</w:t>
      </w:r>
      <w:r>
        <w:rPr>
          <w:sz w:val="16"/>
          <w:szCs w:val="16"/>
        </w:rPr>
        <w:t>, Let op letsels.</w:t>
      </w:r>
    </w:p>
  </w:footnote>
  <w:footnote w:id="6">
    <w:p w:rsidR="005563FA" w:rsidRPr="005A72C2" w:rsidRDefault="005563FA">
      <w:pPr>
        <w:pStyle w:val="Voetnoottekst"/>
        <w:rPr>
          <w:sz w:val="16"/>
          <w:szCs w:val="16"/>
        </w:rPr>
      </w:pPr>
      <w:r w:rsidRPr="002F4401">
        <w:rPr>
          <w:rStyle w:val="Voetnootmarkering"/>
          <w:sz w:val="18"/>
        </w:rPr>
        <w:footnoteRef/>
      </w:r>
      <w:r w:rsidRPr="005A72C2">
        <w:rPr>
          <w:sz w:val="16"/>
          <w:szCs w:val="16"/>
        </w:rPr>
        <w:t xml:space="preserve"> Lanting en Hoeymans</w:t>
      </w:r>
      <w:r>
        <w:rPr>
          <w:sz w:val="16"/>
          <w:szCs w:val="16"/>
        </w:rPr>
        <w:t xml:space="preserve"> (eindredactie)</w:t>
      </w:r>
      <w:r w:rsidRPr="005A72C2">
        <w:rPr>
          <w:sz w:val="16"/>
          <w:szCs w:val="16"/>
        </w:rPr>
        <w:t>, 2008</w:t>
      </w:r>
      <w:r>
        <w:rPr>
          <w:sz w:val="16"/>
          <w:szCs w:val="16"/>
        </w:rPr>
        <w:t>, Let op letsels.</w:t>
      </w:r>
    </w:p>
  </w:footnote>
  <w:footnote w:id="7">
    <w:p w:rsidR="005563FA" w:rsidRDefault="005563FA" w:rsidP="002F4401">
      <w:pPr>
        <w:pStyle w:val="Normaalweb"/>
        <w:spacing w:before="0" w:beforeAutospacing="0" w:after="0" w:afterAutospacing="0"/>
      </w:pPr>
      <w:r w:rsidRPr="002F4401">
        <w:rPr>
          <w:rStyle w:val="Voetnootmarkering"/>
          <w:rFonts w:ascii="Verdana" w:hAnsi="Verdana"/>
          <w:sz w:val="18"/>
          <w:szCs w:val="18"/>
        </w:rPr>
        <w:footnoteRef/>
      </w:r>
      <w:r w:rsidRPr="002F4401">
        <w:rPr>
          <w:rFonts w:ascii="Verdana" w:hAnsi="Verdana"/>
          <w:sz w:val="18"/>
          <w:szCs w:val="18"/>
        </w:rPr>
        <w:t xml:space="preserve"> </w:t>
      </w:r>
      <w:r w:rsidRPr="007C442D">
        <w:rPr>
          <w:rFonts w:ascii="Verdana" w:hAnsi="Verdana"/>
          <w:sz w:val="16"/>
          <w:szCs w:val="16"/>
        </w:rPr>
        <w:t>Tot 1 december 2008 waren de taken en verantwoordelijkheden van de gemeente ten aanzien van collectieve preventie op het gebied van volksgezondheid vastgelegd in de Wet Collectieve Preventie Volksgezondheid (W</w:t>
      </w:r>
      <w:r>
        <w:rPr>
          <w:rFonts w:ascii="Verdana" w:hAnsi="Verdana"/>
          <w:sz w:val="16"/>
          <w:szCs w:val="16"/>
        </w:rPr>
        <w:t>cpv</w:t>
      </w:r>
      <w:r w:rsidRPr="007C442D">
        <w:rPr>
          <w:rFonts w:ascii="Verdana" w:hAnsi="Verdana"/>
          <w:sz w:val="16"/>
          <w:szCs w:val="16"/>
        </w:rPr>
        <w:t>). Sindsdien is de W</w:t>
      </w:r>
      <w:r>
        <w:rPr>
          <w:rFonts w:ascii="Verdana" w:hAnsi="Verdana"/>
          <w:sz w:val="16"/>
          <w:szCs w:val="16"/>
        </w:rPr>
        <w:t>cpv</w:t>
      </w:r>
      <w:r w:rsidRPr="007C442D">
        <w:rPr>
          <w:rFonts w:ascii="Verdana" w:hAnsi="Verdana"/>
          <w:sz w:val="16"/>
          <w:szCs w:val="16"/>
        </w:rPr>
        <w:t xml:space="preserve"> overgegaan in de Wet publieke g</w:t>
      </w:r>
      <w:r w:rsidRPr="007C442D">
        <w:rPr>
          <w:rFonts w:ascii="Verdana" w:hAnsi="Verdana"/>
          <w:sz w:val="16"/>
          <w:szCs w:val="16"/>
        </w:rPr>
        <w:t>e</w:t>
      </w:r>
      <w:r w:rsidRPr="007C442D">
        <w:rPr>
          <w:rFonts w:ascii="Verdana" w:hAnsi="Verdana"/>
          <w:sz w:val="16"/>
          <w:szCs w:val="16"/>
        </w:rPr>
        <w:t>zondheid (Wpg). Ook de Infectieziektewet en de Quarantainewet zijn hierin opgenomen. De taken en bevoegdheden, die tot kort nog versnipperd over deze drie wetten waren verdeeld</w:t>
      </w:r>
      <w:r>
        <w:rPr>
          <w:rFonts w:ascii="Verdana" w:hAnsi="Verdana"/>
          <w:sz w:val="16"/>
          <w:szCs w:val="16"/>
        </w:rPr>
        <w:t>, worden nu in één wet geregeld</w:t>
      </w:r>
      <w:r w:rsidRPr="007C442D">
        <w:rPr>
          <w:rFonts w:ascii="Verdana" w:hAnsi="Verdana"/>
          <w:sz w:val="16"/>
          <w:szCs w:val="16"/>
        </w:rPr>
        <w:t>.</w:t>
      </w:r>
      <w:r>
        <w:rPr>
          <w:rFonts w:ascii="Verdana" w:hAnsi="Verdana"/>
          <w:sz w:val="16"/>
          <w:szCs w:val="16"/>
        </w:rPr>
        <w:t xml:space="preserve"> Op 19 mei 2011 is de gewijzigde Wpg (zgn. Wpg 2</w:t>
      </w:r>
      <w:r w:rsidRPr="00804DFF">
        <w:rPr>
          <w:rFonts w:ascii="Verdana" w:hAnsi="Verdana"/>
          <w:sz w:val="16"/>
          <w:szCs w:val="16"/>
          <w:vertAlign w:val="superscript"/>
        </w:rPr>
        <w:t>e</w:t>
      </w:r>
      <w:r>
        <w:rPr>
          <w:rFonts w:ascii="Verdana" w:hAnsi="Verdana"/>
          <w:sz w:val="16"/>
          <w:szCs w:val="16"/>
        </w:rPr>
        <w:t xml:space="preserve"> tranche) vastgesteld. Hierin is onder andere de wisselwerking tussen het landelijk en lokaal gezondheid</w:t>
      </w:r>
      <w:r>
        <w:rPr>
          <w:rFonts w:ascii="Verdana" w:hAnsi="Verdana"/>
          <w:sz w:val="16"/>
          <w:szCs w:val="16"/>
        </w:rPr>
        <w:t>s</w:t>
      </w:r>
      <w:r>
        <w:rPr>
          <w:rFonts w:ascii="Verdana" w:hAnsi="Verdana"/>
          <w:sz w:val="16"/>
          <w:szCs w:val="16"/>
        </w:rPr>
        <w:t>beleid verankerd.</w:t>
      </w:r>
    </w:p>
    <w:p w:rsidR="005563FA" w:rsidRDefault="005563FA" w:rsidP="007C442D">
      <w:pPr>
        <w:pStyle w:val="Normaalweb"/>
      </w:pPr>
    </w:p>
    <w:p w:rsidR="005563FA" w:rsidRPr="00755FE4" w:rsidRDefault="005563FA" w:rsidP="00D5473A">
      <w:pPr>
        <w:pStyle w:val="Voettekst"/>
        <w:rPr>
          <w:vertAlign w:val="superscript"/>
        </w:rPr>
      </w:pPr>
    </w:p>
    <w:p w:rsidR="005563FA" w:rsidRDefault="005563FA">
      <w:pPr>
        <w:pStyle w:val="Voetnoottekst"/>
      </w:pPr>
    </w:p>
  </w:footnote>
  <w:footnote w:id="8">
    <w:p w:rsidR="005563FA" w:rsidRPr="00DA06E9" w:rsidRDefault="005563FA">
      <w:pPr>
        <w:pStyle w:val="Voetnoottekst"/>
        <w:rPr>
          <w:sz w:val="16"/>
          <w:szCs w:val="16"/>
        </w:rPr>
      </w:pPr>
      <w:r w:rsidRPr="009D3FE0">
        <w:rPr>
          <w:rStyle w:val="Voetnootmarkering"/>
          <w:sz w:val="18"/>
        </w:rPr>
        <w:footnoteRef/>
      </w:r>
      <w:r w:rsidRPr="009D3FE0">
        <w:rPr>
          <w:sz w:val="18"/>
        </w:rPr>
        <w:t xml:space="preserve"> </w:t>
      </w:r>
      <w:r w:rsidRPr="00DA06E9">
        <w:rPr>
          <w:sz w:val="16"/>
          <w:szCs w:val="16"/>
        </w:rPr>
        <w:t>Per 2013 is dit artikelnummer veranderd in artikel 1.</w:t>
      </w:r>
    </w:p>
  </w:footnote>
  <w:footnote w:id="9">
    <w:p w:rsidR="005563FA" w:rsidRDefault="005563FA">
      <w:pPr>
        <w:pStyle w:val="Voetnoottekst"/>
      </w:pPr>
      <w:r>
        <w:rPr>
          <w:rStyle w:val="Voetnootmarkering"/>
        </w:rPr>
        <w:footnoteRef/>
      </w:r>
      <w:r>
        <w:t xml:space="preserve"> </w:t>
      </w:r>
      <w:hyperlink r:id="rId1" w:history="1">
        <w:r w:rsidRPr="00C606EF">
          <w:rPr>
            <w:rStyle w:val="Hyperlink"/>
            <w:sz w:val="16"/>
            <w:szCs w:val="16"/>
          </w:rPr>
          <w:t>http://www.rijksbegroting.nl/2009/voorbereiding/begroting,kst119613b_5.html</w:t>
        </w:r>
      </w:hyperlink>
    </w:p>
  </w:footnote>
  <w:footnote w:id="10">
    <w:p w:rsidR="005563FA" w:rsidRDefault="005563FA" w:rsidP="005B380F">
      <w:pPr>
        <w:pStyle w:val="Voetnoottekst"/>
      </w:pPr>
      <w:r>
        <w:rPr>
          <w:rStyle w:val="Voetnootmarkering"/>
        </w:rPr>
        <w:footnoteRef/>
      </w:r>
      <w:r>
        <w:t xml:space="preserve"> </w:t>
      </w:r>
      <w:hyperlink r:id="rId2" w:history="1">
        <w:r w:rsidRPr="00C606EF">
          <w:rPr>
            <w:rStyle w:val="Hyperlink"/>
            <w:sz w:val="16"/>
            <w:szCs w:val="16"/>
          </w:rPr>
          <w:t>http://www.rijksbegroting.nl/2011/voorbereiding/begroting,kst148633_6.html</w:t>
        </w:r>
      </w:hyperlink>
    </w:p>
  </w:footnote>
  <w:footnote w:id="11">
    <w:p w:rsidR="005563FA" w:rsidRPr="00817D25" w:rsidRDefault="005563FA" w:rsidP="00817D25">
      <w:pPr>
        <w:pStyle w:val="Tekstzonderopmaak"/>
        <w:rPr>
          <w:sz w:val="16"/>
          <w:szCs w:val="16"/>
        </w:rPr>
      </w:pPr>
      <w:r w:rsidRPr="00817D25">
        <w:rPr>
          <w:rStyle w:val="Voetnootmarkering"/>
          <w:sz w:val="16"/>
          <w:szCs w:val="16"/>
        </w:rPr>
        <w:footnoteRef/>
      </w:r>
      <w:r w:rsidRPr="00817D25">
        <w:rPr>
          <w:sz w:val="16"/>
          <w:szCs w:val="16"/>
        </w:rPr>
        <w:t xml:space="preserve"> In het Letsel Informatie Systeem (LIS) van VeiligheidNL staan slachtoffers geregistreerd die na een ongeval, geweld of automutilatie zijn behandeld op een Spoedeisende Hulp (SEH) afdeling van een selectie van ziekenhuizen in Nederland. Deze ziekenhuizen vormen een representatieve steekproef van ziekenhuizen in Nederland met een continu bezette SEH-afdeling. Dit maakt een schatting van cijfers op nationaal niveau mogelijk.</w:t>
      </w:r>
    </w:p>
  </w:footnote>
  <w:footnote w:id="12">
    <w:p w:rsidR="005563FA" w:rsidRPr="00AE47FA" w:rsidRDefault="005563FA">
      <w:pPr>
        <w:pStyle w:val="Voetnoottekst"/>
        <w:rPr>
          <w:sz w:val="16"/>
          <w:szCs w:val="16"/>
        </w:rPr>
      </w:pPr>
      <w:r w:rsidRPr="00AE47FA">
        <w:rPr>
          <w:rStyle w:val="Voetnootmarkering"/>
          <w:sz w:val="16"/>
          <w:szCs w:val="16"/>
        </w:rPr>
        <w:footnoteRef/>
      </w:r>
      <w:r w:rsidRPr="00AE47FA">
        <w:rPr>
          <w:sz w:val="16"/>
          <w:szCs w:val="16"/>
        </w:rPr>
        <w:t xml:space="preserve"> In 2004 heeft VeiligheidNL een onderzoek uitgevoerd naar de representativiteit van LIS. </w:t>
      </w:r>
      <w:r>
        <w:rPr>
          <w:sz w:val="16"/>
          <w:szCs w:val="16"/>
        </w:rPr>
        <w:t xml:space="preserve">Op basis van dit onderzoek is geconcludeerd dat LIS in zijn totaliteit representatief is voor alle letselpatiënten die worden behandeld op de SEH-afdelingen van alle ziekenhuizen in Nederland. Jaarlijks wordt voor OBiN een verantwoordingsverslag geschreven door Ipsos, de organisatie die verantwoordelijk is voor de datacollectie, waarin zij verantwoording afleggen over de dataverzameling en de respons. </w:t>
      </w:r>
    </w:p>
  </w:footnote>
  <w:footnote w:id="13">
    <w:p w:rsidR="005563FA" w:rsidRPr="009E3A75" w:rsidRDefault="005563FA">
      <w:pPr>
        <w:pStyle w:val="Voetnoottekst"/>
        <w:rPr>
          <w:sz w:val="16"/>
          <w:szCs w:val="16"/>
        </w:rPr>
      </w:pPr>
      <w:r w:rsidRPr="009E3A75">
        <w:rPr>
          <w:rStyle w:val="Voetnootmarkering"/>
          <w:sz w:val="16"/>
          <w:szCs w:val="16"/>
        </w:rPr>
        <w:footnoteRef/>
      </w:r>
      <w:r w:rsidRPr="009E3A75">
        <w:rPr>
          <w:sz w:val="16"/>
          <w:szCs w:val="16"/>
        </w:rPr>
        <w:t xml:space="preserve"> De website </w:t>
      </w:r>
      <w:hyperlink r:id="rId3" w:history="1">
        <w:r w:rsidRPr="009E3A75">
          <w:rPr>
            <w:rStyle w:val="Hyperlink"/>
            <w:sz w:val="16"/>
            <w:szCs w:val="16"/>
          </w:rPr>
          <w:t>www.kiesbeter.nl</w:t>
        </w:r>
      </w:hyperlink>
      <w:r w:rsidRPr="009E3A75">
        <w:rPr>
          <w:sz w:val="16"/>
          <w:szCs w:val="16"/>
        </w:rPr>
        <w:t xml:space="preserve"> wordt per 2014 onderdeel van het Kwaliteitsinstituut.</w:t>
      </w:r>
    </w:p>
  </w:footnote>
  <w:footnote w:id="14">
    <w:p w:rsidR="005563FA" w:rsidRDefault="005563FA">
      <w:pPr>
        <w:pStyle w:val="Voetnoottekst"/>
      </w:pPr>
      <w:r>
        <w:rPr>
          <w:rStyle w:val="Voetnootmarkering"/>
        </w:rPr>
        <w:footnoteRef/>
      </w:r>
      <w:r>
        <w:t xml:space="preserve"> </w:t>
      </w:r>
      <w:r w:rsidRPr="00534E2A">
        <w:rPr>
          <w:rFonts w:cs="Arial"/>
          <w:sz w:val="16"/>
          <w:szCs w:val="16"/>
        </w:rPr>
        <w:t>De cijfers voor 2012 zijn nog niet bekend ten tijde van deze rapportage, daarom wordt de periode 2007-2011 beschreven. Dit wijkt dus af van de beleidsperiode 2008-2012.</w:t>
      </w:r>
    </w:p>
  </w:footnote>
  <w:footnote w:id="15">
    <w:p w:rsidR="005563FA" w:rsidRPr="008A0967" w:rsidRDefault="005563FA">
      <w:pPr>
        <w:pStyle w:val="Voetnoottekst"/>
        <w:rPr>
          <w:sz w:val="16"/>
          <w:szCs w:val="16"/>
        </w:rPr>
      </w:pPr>
      <w:r w:rsidRPr="008A0967">
        <w:rPr>
          <w:rStyle w:val="Voetnootmarkering"/>
          <w:sz w:val="16"/>
          <w:szCs w:val="16"/>
        </w:rPr>
        <w:footnoteRef/>
      </w:r>
      <w:r w:rsidRPr="008A0967">
        <w:rPr>
          <w:sz w:val="16"/>
          <w:szCs w:val="16"/>
        </w:rPr>
        <w:t xml:space="preserve"> Gebruikte tijdsperiode in het RIVM Themarapport ‘Let op letsels’</w:t>
      </w:r>
    </w:p>
  </w:footnote>
  <w:footnote w:id="16">
    <w:p w:rsidR="00AA625E" w:rsidRPr="00D729FA" w:rsidRDefault="00AA625E" w:rsidP="00AA625E">
      <w:pPr>
        <w:pStyle w:val="Voetnoottekst"/>
        <w:rPr>
          <w:sz w:val="16"/>
          <w:szCs w:val="16"/>
        </w:rPr>
      </w:pPr>
      <w:r w:rsidRPr="00B55662">
        <w:rPr>
          <w:rStyle w:val="Voetnootmarkering"/>
          <w:sz w:val="18"/>
        </w:rPr>
        <w:footnoteRef/>
      </w:r>
      <w:r w:rsidRPr="00D729FA">
        <w:rPr>
          <w:sz w:val="16"/>
          <w:szCs w:val="16"/>
        </w:rPr>
        <w:t xml:space="preserve"> De DALY kwantificeert </w:t>
      </w:r>
      <w:r w:rsidRPr="00D729FA">
        <w:rPr>
          <w:rFonts w:eastAsia="Times New Roman" w:cs="Times New Roman"/>
          <w:color w:val="000000"/>
          <w:kern w:val="0"/>
          <w:sz w:val="16"/>
          <w:szCs w:val="16"/>
          <w:lang w:eastAsia="nl-NL" w:bidi="ar-SA"/>
        </w:rPr>
        <w:t>gezondheidsverlies en is opgebouwd uit twee componenten: verloren levensjaren en jaren geleefd met ziekte.</w:t>
      </w:r>
    </w:p>
  </w:footnote>
  <w:footnote w:id="17">
    <w:p w:rsidR="005563FA" w:rsidRPr="00D24531" w:rsidRDefault="005563FA">
      <w:pPr>
        <w:pStyle w:val="Voetnoottekst"/>
      </w:pPr>
      <w:r>
        <w:rPr>
          <w:rStyle w:val="Voetnootmarkering"/>
        </w:rPr>
        <w:footnoteRef/>
      </w:r>
      <w:r w:rsidRPr="00D24531">
        <w:t xml:space="preserve"> </w:t>
      </w:r>
      <w:r w:rsidRPr="00D24531">
        <w:rPr>
          <w:sz w:val="18"/>
        </w:rPr>
        <w:t>Tot 31 december 2012</w:t>
      </w:r>
    </w:p>
  </w:footnote>
  <w:footnote w:id="18">
    <w:p w:rsidR="005563FA" w:rsidRPr="00FB0171" w:rsidRDefault="005563FA">
      <w:pPr>
        <w:pStyle w:val="Voetnoottekst"/>
        <w:rPr>
          <w:sz w:val="18"/>
        </w:rPr>
      </w:pPr>
      <w:r w:rsidRPr="00FB0171">
        <w:rPr>
          <w:rStyle w:val="Voetnootmarkering"/>
          <w:sz w:val="18"/>
        </w:rPr>
        <w:footnoteRef/>
      </w:r>
      <w:r w:rsidRPr="00FB0171">
        <w:rPr>
          <w:sz w:val="18"/>
        </w:rPr>
        <w:t xml:space="preserve"> Nog verwijzing toevoegen!</w:t>
      </w:r>
    </w:p>
  </w:footnote>
  <w:footnote w:id="19">
    <w:p w:rsidR="005563FA" w:rsidRPr="00251823" w:rsidRDefault="005563FA">
      <w:pPr>
        <w:pStyle w:val="Voetnoottekst"/>
        <w:rPr>
          <w:sz w:val="18"/>
        </w:rPr>
      </w:pPr>
      <w:r w:rsidRPr="00251823">
        <w:rPr>
          <w:rStyle w:val="Voetnootmarkering"/>
          <w:sz w:val="18"/>
        </w:rPr>
        <w:footnoteRef/>
      </w:r>
      <w:r w:rsidRPr="00251823">
        <w:rPr>
          <w:sz w:val="18"/>
        </w:rPr>
        <w:t xml:space="preserve"> </w:t>
      </w:r>
      <w:hyperlink r:id="rId4" w:history="1">
        <w:r w:rsidRPr="007D11DE">
          <w:rPr>
            <w:rStyle w:val="Hyperlink"/>
            <w:sz w:val="18"/>
          </w:rPr>
          <w:t>http://www.zonmw.nl/nl/programmas/programma-detail/zorg-voor-beter-ii</w:t>
        </w:r>
      </w:hyperlink>
      <w:r>
        <w:rPr>
          <w:sz w:val="18"/>
        </w:rPr>
        <w:t xml:space="preserve"> </w:t>
      </w:r>
    </w:p>
  </w:footnote>
  <w:footnote w:id="20">
    <w:p w:rsidR="005563FA" w:rsidRDefault="005563FA">
      <w:pPr>
        <w:pStyle w:val="Voetnoottekst"/>
      </w:pPr>
      <w:r w:rsidRPr="00251823">
        <w:rPr>
          <w:rStyle w:val="Voetnootmarkering"/>
          <w:sz w:val="18"/>
        </w:rPr>
        <w:footnoteRef/>
      </w:r>
      <w:r w:rsidRPr="00251823">
        <w:rPr>
          <w:sz w:val="18"/>
        </w:rPr>
        <w:t xml:space="preserve"> </w:t>
      </w:r>
      <w:hyperlink r:id="rId5" w:history="1">
        <w:r w:rsidRPr="007D11DE">
          <w:rPr>
            <w:rStyle w:val="Hyperlink"/>
            <w:sz w:val="18"/>
          </w:rPr>
          <w:t>http://www.zonmw.nl/nl/programmas/programma-detail/preventiekracht-thuiszorg</w:t>
        </w:r>
      </w:hyperlink>
      <w:r>
        <w:rPr>
          <w:sz w:val="18"/>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3FA" w:rsidRDefault="005563FA">
    <w:pPr>
      <w:pStyle w:val="Koptekst"/>
    </w:pPr>
    <w:r>
      <w:rPr>
        <w:noProof/>
        <w:lang w:val="en-US" w:eastAsia="en-US" w:bidi="ar-SA"/>
      </w:rPr>
      <w:drawing>
        <wp:anchor distT="0" distB="0" distL="114300" distR="114300" simplePos="0" relativeHeight="251696128" behindDoc="1" locked="0" layoutInCell="1" allowOverlap="1">
          <wp:simplePos x="0" y="0"/>
          <wp:positionH relativeFrom="page">
            <wp:posOffset>4010660</wp:posOffset>
          </wp:positionH>
          <wp:positionV relativeFrom="page">
            <wp:posOffset>0</wp:posOffset>
          </wp:positionV>
          <wp:extent cx="2332800" cy="1580400"/>
          <wp:effectExtent l="0" t="0" r="0" b="0"/>
          <wp:wrapNone/>
          <wp:docPr id="1"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2800" cy="1580400"/>
                  </a:xfrm>
                  <a:prstGeom prst="rect">
                    <a:avLst/>
                  </a:prstGeom>
                  <a:ln w="0">
                    <a:noFill/>
                  </a:ln>
                </pic:spPr>
              </pic:pic>
            </a:graphicData>
          </a:graphic>
        </wp:anchor>
      </w:drawing>
    </w:r>
    <w:r>
      <w:rPr>
        <w:noProof/>
        <w:lang w:val="en-US" w:eastAsia="en-US" w:bidi="ar-SA"/>
      </w:rPr>
      <w:drawing>
        <wp:anchor distT="0" distB="0" distL="114300" distR="114300" simplePos="0" relativeHeight="251694080" behindDoc="0" locked="0" layoutInCell="1" allowOverlap="1">
          <wp:simplePos x="0" y="0"/>
          <wp:positionH relativeFrom="page">
            <wp:posOffset>3542665</wp:posOffset>
          </wp:positionH>
          <wp:positionV relativeFrom="page">
            <wp:posOffset>0</wp:posOffset>
          </wp:positionV>
          <wp:extent cx="468000" cy="1580400"/>
          <wp:effectExtent l="0" t="0" r="0" b="0"/>
          <wp:wrapNone/>
          <wp:docPr id="2"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8000" cy="1580400"/>
                  </a:xfrm>
                  <a:prstGeom prst="rect">
                    <a:avLst/>
                  </a:prstGeom>
                  <a:ln w="3175">
                    <a:noFill/>
                  </a:ln>
                </pic:spPr>
              </pic:pic>
            </a:graphicData>
          </a:graphic>
        </wp:anchor>
      </w:drawing>
    </w:r>
    <w:r w:rsidR="003368B3" w:rsidRPr="003368B3">
      <w:rPr>
        <w:noProof/>
        <w:lang w:val="en-GB" w:eastAsia="en-GB" w:bidi="ar-SA"/>
      </w:rPr>
      <w:pict>
        <v:shapetype id="_x0000_t202" coordsize="21600,21600" o:spt="202" path="m,l,21600r21600,l21600,xe">
          <v:stroke joinstyle="miter"/>
          <v:path gradientshapeok="t" o:connecttype="rect"/>
        </v:shapetype>
        <v:shape id="Text Box 19" o:spid="_x0000_s4106" type="#_x0000_t202" style="position:absolute;margin-left:465.6pt;margin-top:800.8pt;width:99.2pt;height:32.1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" strokecolor="white [3212]" strokeweight="0">
          <v:textbox inset="0,0,0,0">
            <w:txbxContent>
              <w:p w:rsidR="005563FA" w:rsidRDefault="005563FA"/>
            </w:txbxContent>
          </v:textbox>
          <w10:wrap anchorx="page" anchory="page"/>
          <w10:anchorlock/>
        </v:shape>
      </w:pict>
    </w:r>
    <w:r w:rsidR="003368B3" w:rsidRPr="003368B3">
      <w:rPr>
        <w:noProof/>
        <w:lang w:val="en-GB" w:eastAsia="en-GB" w:bidi="ar-SA"/>
      </w:rPr>
      <w:pict>
        <v:shape id="Text Box 20" o:spid="_x0000_s4105" type="#_x0000_t202" style="position:absolute;margin-left:465.6pt;margin-top:51.25pt;width:99.2pt;height:65.1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" filled="f" strokecolor="white [3212]" strokeweight="0">
          <v:textbox inset="0,0,0,0">
            <w:txbxContent>
              <w:p w:rsidR="005563FA" w:rsidRDefault="005563FA"/>
            </w:txbxContent>
          </v:textbox>
          <w10:wrap anchorx="page" anchory="page"/>
          <w10:anchorlock/>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3FA" w:rsidRDefault="003368B3">
    <w:pPr>
      <w:pStyle w:val="Koptekst"/>
    </w:pPr>
    <w:r w:rsidRPr="003368B3">
      <w:rPr>
        <w:noProof/>
        <w:lang w:val="en-GB" w:eastAsia="en-GB" w:bidi="ar-SA"/>
      </w:rPr>
      <w:pict>
        <v:shapetype id="_x0000_t202" coordsize="21600,21600" o:spt="202" path="m,l,21600r21600,l21600,xe">
          <v:stroke joinstyle="miter"/>
          <v:path gradientshapeok="t" o:connecttype="rect"/>
        </v:shapetype>
        <v:shape id="Text Box 32" o:spid="_x0000_s4104" type="#_x0000_t202" style="position:absolute;margin-left:104.9pt;margin-top:53.85pt;width:99.2pt;height:55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" strokecolor="white [3212]" strokeweight="0">
          <v:textbox style="mso-next-textbox:#Text Box 32" inset="0,0,0,0">
            <w:txbxContent>
              <w:p w:rsidR="005563FA" w:rsidRDefault="005563FA"/>
            </w:txbxContent>
          </v:textbox>
          <w10:wrap anchorx="page" anchory="page"/>
          <w10:anchorlock/>
        </v:shape>
      </w:pict>
    </w:r>
    <w:r w:rsidRPr="003368B3">
      <w:rPr>
        <w:noProof/>
        <w:lang w:val="en-GB" w:eastAsia="en-GB" w:bidi="ar-SA"/>
      </w:rPr>
      <w:pict>
        <v:shape id="Text Box 31" o:spid="_x0000_s4103" type="#_x0000_t202" style="position:absolute;margin-left:104.9pt;margin-top:21.85pt;width:311.8pt;height:26.3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" strokecolor="white [3212]" strokeweight="0">
          <v:textbox style="mso-next-textbox:#Text Box 31" inset="0,0,0,0">
            <w:txbxContent>
              <w:p w:rsidR="005563FA" w:rsidRPr="00916BD7" w:rsidRDefault="005563FA" w:rsidP="00916BD7"/>
            </w:txbxContent>
          </v:textbox>
          <w10:wrap anchorx="page" anchory="page"/>
          <w10:anchorlock/>
        </v:shape>
      </w:pict>
    </w:r>
    <w:r w:rsidRPr="003368B3">
      <w:rPr>
        <w:noProof/>
        <w:lang w:val="en-GB" w:eastAsia="en-GB" w:bidi="ar-SA"/>
      </w:rPr>
      <w:pict>
        <v:shape id="Text Box 29" o:spid="_x0000_s4102" type="#_x0000_t202" style="position:absolute;margin-left:104.9pt;margin-top:800.05pt;width:99.2pt;height:33.8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" strokecolor="white [3212]" strokeweight="0">
          <v:textbox style="mso-next-textbox:#Text Box 29" inset="0,0,0,0">
            <w:txbxContent>
              <w:p w:rsidR="005563FA" w:rsidRDefault="005563FA"/>
            </w:txbxContent>
          </v:textbox>
          <w10:wrap anchorx="page" anchory="page"/>
          <w10:anchorlock/>
        </v:shape>
      </w:pict>
    </w:r>
    <w:r w:rsidRPr="003368B3">
      <w:rPr>
        <w:noProof/>
        <w:lang w:val="en-GB" w:eastAsia="en-GB" w:bidi="ar-SA"/>
      </w:rPr>
      <w:pict>
        <v:shape id="Text Box 28" o:spid="_x0000_s4101" type="#_x0000_t202" style="position:absolute;margin-left:284.65pt;margin-top:808.85pt;width:99.2pt;height:11.2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" strokecolor="white [3212]" strokeweight="0">
          <v:textbox style="mso-next-textbox:#Text Box 28" inset="0,0,0,0">
            <w:txbxContent>
              <w:p w:rsidR="005563FA" w:rsidRDefault="005563FA">
                <w:pPr>
                  <w:pStyle w:val="Huisstijl-Paginanummer"/>
                </w:pPr>
                <w:r>
                  <w:t xml:space="preserve">Pagina </w:t>
                </w:r>
                <w:fldSimple w:instr=" PAGE  \* Arabic  \* MERGEFORMAT ">
                  <w:r w:rsidR="002232BA">
                    <w:rPr>
                      <w:noProof/>
                    </w:rPr>
                    <w:t>10</w:t>
                  </w:r>
                </w:fldSimple>
                <w:r>
                  <w:t xml:space="preserve"> van </w:t>
                </w:r>
                <w:fldSimple w:instr=" NUMPAGES   \* MERGEFORMAT ">
                  <w:r w:rsidR="002232BA">
                    <w:rPr>
                      <w:noProof/>
                    </w:rPr>
                    <w:t>10</w:t>
                  </w:r>
                </w:fldSimple>
              </w:p>
            </w:txbxContent>
          </v:textbox>
          <w10:wrap anchorx="page" anchory="page"/>
          <w10:anchorlock/>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3FA" w:rsidRDefault="003368B3">
    <w:pPr>
      <w:pStyle w:val="Koptekst"/>
    </w:pPr>
    <w:r w:rsidRPr="003368B3">
      <w:rPr>
        <w:noProof/>
        <w:lang w:val="en-GB" w:eastAsia="en-GB" w:bidi="ar-SA"/>
      </w:rPr>
      <w:pict>
        <v:shapetype id="_x0000_t202" coordsize="21600,21600" o:spt="202" path="m,l,21600r21600,l21600,xe">
          <v:stroke joinstyle="miter"/>
          <v:path gradientshapeok="t" o:connecttype="rect"/>
        </v:shapetype>
        <v:shape id="Text Box 27" o:spid="_x0000_s4099" type="#_x0000_t202" style="position:absolute;margin-left:341.35pt;margin-top:808.85pt;width:99.2pt;height:11.2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" strokecolor="white [3212]" strokeweight="0">
          <v:textbox style="mso-next-textbox:#Text Box 27" inset="0,0,0,0">
            <w:txbxContent>
              <w:p w:rsidR="005563FA" w:rsidRDefault="005563FA">
                <w:pPr>
                  <w:pStyle w:val="Huisstijl-Paginanummer"/>
                </w:pPr>
                <w:r>
                  <w:t xml:space="preserve">Pagina </w:t>
                </w:r>
                <w:fldSimple w:instr=" PAGE  \* Arabic  \* MERGEFORMAT ">
                  <w:r w:rsidR="002232BA">
                    <w:rPr>
                      <w:noProof/>
                    </w:rPr>
                    <w:t>11</w:t>
                  </w:r>
                </w:fldSimple>
                <w:r>
                  <w:t xml:space="preserve"> van </w:t>
                </w:r>
                <w:fldSimple w:instr=" NUMPAGES   \* MERGEFORMAT ">
                  <w:r w:rsidR="002232BA">
                    <w:rPr>
                      <w:noProof/>
                    </w:rPr>
                    <w:t>11</w:t>
                  </w:r>
                </w:fldSimple>
              </w:p>
            </w:txbxContent>
          </v:textbox>
          <w10:wrap anchorx="page" anchory="page"/>
          <w10:anchorlock/>
        </v:shape>
      </w:pict>
    </w:r>
    <w:r w:rsidRPr="003368B3">
      <w:rPr>
        <w:noProof/>
        <w:lang w:val="en-GB" w:eastAsia="en-GB" w:bidi="ar-SA"/>
      </w:rPr>
      <w:pict>
        <v:shape id="Text Box 8" o:spid="_x0000_s4098" type="#_x0000_t202" style="position:absolute;margin-left:465.6pt;margin-top:799.95pt;width:99.2pt;height:32.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" strokecolor="white [3212]" strokeweight="0">
          <v:textbox style="mso-next-textbox:#Text Box 8" inset="0,0,0,0">
            <w:txbxContent>
              <w:p w:rsidR="005563FA" w:rsidRDefault="005563FA"/>
            </w:txbxContent>
          </v:textbox>
          <w10:wrap anchorx="page" anchory="page"/>
          <w10:anchorlock/>
        </v:shape>
      </w:pict>
    </w:r>
    <w:r w:rsidRPr="003368B3">
      <w:rPr>
        <w:noProof/>
        <w:lang w:val="en-GB" w:eastAsia="en-GB" w:bidi="ar-SA"/>
      </w:rPr>
      <w:pict>
        <v:shape id="Text Box 7" o:spid="_x0000_s4097" type="#_x0000_t202" style="position:absolute;margin-left:465.6pt;margin-top:51.25pt;width:99.2pt;height:59.2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" strokecolor="white [3212]" strokeweight="0">
          <v:textbox style="mso-next-textbox:#Text Box 7" inset="0,0,0,0">
            <w:txbxContent>
              <w:p w:rsidR="005563FA" w:rsidRDefault="005563FA"/>
            </w:txbxContent>
          </v:textbox>
          <w10:wrap anchorx="page"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03EFB"/>
    <w:multiLevelType w:val="hybridMultilevel"/>
    <w:tmpl w:val="9F94817C"/>
    <w:lvl w:ilvl="0" w:tplc="0524A880">
      <w:start w:val="1"/>
      <w:numFmt w:val="decimal"/>
      <w:pStyle w:val="Kop2"/>
      <w:lvlText w:val="%1"/>
      <w:lvlJc w:val="left"/>
      <w:pPr>
        <w:ind w:left="-774" w:hanging="360"/>
      </w:pPr>
      <w:rPr>
        <w:rFonts w:ascii="Verdana" w:hAnsi="Verdana" w:hint="default"/>
        <w:spacing w:val="114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8E73EE2"/>
    <w:multiLevelType w:val="hybridMultilevel"/>
    <w:tmpl w:val="972866D6"/>
    <w:lvl w:ilvl="0" w:tplc="D5EA2F8C">
      <w:start w:val="1"/>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9855DF1"/>
    <w:multiLevelType w:val="hybridMultilevel"/>
    <w:tmpl w:val="60B0AD00"/>
    <w:lvl w:ilvl="0" w:tplc="472856D0">
      <w:numFmt w:val="bullet"/>
      <w:lvlText w:val="·"/>
      <w:lvlJc w:val="left"/>
      <w:pPr>
        <w:ind w:left="2214" w:hanging="360"/>
      </w:pPr>
      <w:rPr>
        <w:rFonts w:ascii="Verdana" w:eastAsia="DejaVu Sans" w:hAnsi="Verdana"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09A35634"/>
    <w:multiLevelType w:val="hybridMultilevel"/>
    <w:tmpl w:val="3A58B088"/>
    <w:lvl w:ilvl="0" w:tplc="51AE14B4">
      <w:start w:val="243"/>
      <w:numFmt w:val="bullet"/>
      <w:lvlText w:val=""/>
      <w:lvlJc w:val="left"/>
      <w:pPr>
        <w:ind w:left="360" w:hanging="360"/>
      </w:pPr>
      <w:rPr>
        <w:rFonts w:ascii="Symbol" w:eastAsia="DejaVu Sans" w:hAnsi="Symbol"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0BE04734"/>
    <w:multiLevelType w:val="hybridMultilevel"/>
    <w:tmpl w:val="CE3084FE"/>
    <w:lvl w:ilvl="0" w:tplc="34308214">
      <w:start w:val="1"/>
      <w:numFmt w:val="decimal"/>
      <w:pStyle w:val="Kop1"/>
      <w:lvlText w:val="%1"/>
      <w:lvlJc w:val="left"/>
      <w:pPr>
        <w:ind w:left="-774" w:hanging="360"/>
      </w:pPr>
      <w:rPr>
        <w:rFonts w:ascii="Verdana" w:hAnsi="Verdana" w:hint="default"/>
        <w:b w:val="0"/>
        <w:i w:val="0"/>
        <w:caps w:val="0"/>
        <w:spacing w:val="210"/>
        <w:kern w:val="52"/>
        <w:position w:val="0"/>
        <w:sz w:val="24"/>
      </w:rPr>
    </w:lvl>
    <w:lvl w:ilvl="1" w:tplc="04130019" w:tentative="1">
      <w:start w:val="1"/>
      <w:numFmt w:val="lowerLetter"/>
      <w:lvlText w:val="%2."/>
      <w:lvlJc w:val="left"/>
      <w:pPr>
        <w:ind w:left="2100" w:hanging="360"/>
      </w:pPr>
    </w:lvl>
    <w:lvl w:ilvl="2" w:tplc="0413001B" w:tentative="1">
      <w:start w:val="1"/>
      <w:numFmt w:val="lowerRoman"/>
      <w:lvlText w:val="%3."/>
      <w:lvlJc w:val="right"/>
      <w:pPr>
        <w:ind w:left="2820" w:hanging="180"/>
      </w:pPr>
    </w:lvl>
    <w:lvl w:ilvl="3" w:tplc="0413000F" w:tentative="1">
      <w:start w:val="1"/>
      <w:numFmt w:val="decimal"/>
      <w:lvlText w:val="%4."/>
      <w:lvlJc w:val="left"/>
      <w:pPr>
        <w:ind w:left="3540" w:hanging="360"/>
      </w:pPr>
    </w:lvl>
    <w:lvl w:ilvl="4" w:tplc="04130019" w:tentative="1">
      <w:start w:val="1"/>
      <w:numFmt w:val="lowerLetter"/>
      <w:lvlText w:val="%5."/>
      <w:lvlJc w:val="left"/>
      <w:pPr>
        <w:ind w:left="4260" w:hanging="360"/>
      </w:pPr>
    </w:lvl>
    <w:lvl w:ilvl="5" w:tplc="0413001B" w:tentative="1">
      <w:start w:val="1"/>
      <w:numFmt w:val="lowerRoman"/>
      <w:lvlText w:val="%6."/>
      <w:lvlJc w:val="right"/>
      <w:pPr>
        <w:ind w:left="4980" w:hanging="180"/>
      </w:pPr>
    </w:lvl>
    <w:lvl w:ilvl="6" w:tplc="0413000F" w:tentative="1">
      <w:start w:val="1"/>
      <w:numFmt w:val="decimal"/>
      <w:lvlText w:val="%7."/>
      <w:lvlJc w:val="left"/>
      <w:pPr>
        <w:ind w:left="5700" w:hanging="360"/>
      </w:pPr>
    </w:lvl>
    <w:lvl w:ilvl="7" w:tplc="04130019" w:tentative="1">
      <w:start w:val="1"/>
      <w:numFmt w:val="lowerLetter"/>
      <w:lvlText w:val="%8."/>
      <w:lvlJc w:val="left"/>
      <w:pPr>
        <w:ind w:left="6420" w:hanging="360"/>
      </w:pPr>
    </w:lvl>
    <w:lvl w:ilvl="8" w:tplc="0413001B" w:tentative="1">
      <w:start w:val="1"/>
      <w:numFmt w:val="lowerRoman"/>
      <w:lvlText w:val="%9."/>
      <w:lvlJc w:val="right"/>
      <w:pPr>
        <w:ind w:left="7140" w:hanging="180"/>
      </w:pPr>
    </w:lvl>
  </w:abstractNum>
  <w:abstractNum w:abstractNumId="5">
    <w:nsid w:val="0E5516B9"/>
    <w:multiLevelType w:val="hybridMultilevel"/>
    <w:tmpl w:val="02CEFE2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nsid w:val="12027EC8"/>
    <w:multiLevelType w:val="hybridMultilevel"/>
    <w:tmpl w:val="7EC25FBC"/>
    <w:lvl w:ilvl="0" w:tplc="4AD8D5B8">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nsid w:val="1AEB4D78"/>
    <w:multiLevelType w:val="hybridMultilevel"/>
    <w:tmpl w:val="BB645D38"/>
    <w:lvl w:ilvl="0" w:tplc="EB6E607A">
      <w:numFmt w:val="bullet"/>
      <w:lvlText w:val="-"/>
      <w:lvlJc w:val="left"/>
      <w:pPr>
        <w:ind w:left="703" w:hanging="360"/>
      </w:pPr>
      <w:rPr>
        <w:rFonts w:ascii="Verdana" w:eastAsia="DejaVu Sans" w:hAnsi="Verdana" w:cs="Lohit Hindi" w:hint="default"/>
      </w:rPr>
    </w:lvl>
    <w:lvl w:ilvl="1" w:tplc="04130003" w:tentative="1">
      <w:start w:val="1"/>
      <w:numFmt w:val="bullet"/>
      <w:lvlText w:val="o"/>
      <w:lvlJc w:val="left"/>
      <w:pPr>
        <w:ind w:left="1423" w:hanging="360"/>
      </w:pPr>
      <w:rPr>
        <w:rFonts w:ascii="Courier New" w:hAnsi="Courier New" w:cs="Courier New" w:hint="default"/>
      </w:rPr>
    </w:lvl>
    <w:lvl w:ilvl="2" w:tplc="04130005" w:tentative="1">
      <w:start w:val="1"/>
      <w:numFmt w:val="bullet"/>
      <w:lvlText w:val=""/>
      <w:lvlJc w:val="left"/>
      <w:pPr>
        <w:ind w:left="2143" w:hanging="360"/>
      </w:pPr>
      <w:rPr>
        <w:rFonts w:ascii="Wingdings" w:hAnsi="Wingdings" w:hint="default"/>
      </w:rPr>
    </w:lvl>
    <w:lvl w:ilvl="3" w:tplc="04130001" w:tentative="1">
      <w:start w:val="1"/>
      <w:numFmt w:val="bullet"/>
      <w:lvlText w:val=""/>
      <w:lvlJc w:val="left"/>
      <w:pPr>
        <w:ind w:left="2863" w:hanging="360"/>
      </w:pPr>
      <w:rPr>
        <w:rFonts w:ascii="Symbol" w:hAnsi="Symbol" w:hint="default"/>
      </w:rPr>
    </w:lvl>
    <w:lvl w:ilvl="4" w:tplc="04130003" w:tentative="1">
      <w:start w:val="1"/>
      <w:numFmt w:val="bullet"/>
      <w:lvlText w:val="o"/>
      <w:lvlJc w:val="left"/>
      <w:pPr>
        <w:ind w:left="3583" w:hanging="360"/>
      </w:pPr>
      <w:rPr>
        <w:rFonts w:ascii="Courier New" w:hAnsi="Courier New" w:cs="Courier New" w:hint="default"/>
      </w:rPr>
    </w:lvl>
    <w:lvl w:ilvl="5" w:tplc="04130005" w:tentative="1">
      <w:start w:val="1"/>
      <w:numFmt w:val="bullet"/>
      <w:lvlText w:val=""/>
      <w:lvlJc w:val="left"/>
      <w:pPr>
        <w:ind w:left="4303" w:hanging="360"/>
      </w:pPr>
      <w:rPr>
        <w:rFonts w:ascii="Wingdings" w:hAnsi="Wingdings" w:hint="default"/>
      </w:rPr>
    </w:lvl>
    <w:lvl w:ilvl="6" w:tplc="04130001" w:tentative="1">
      <w:start w:val="1"/>
      <w:numFmt w:val="bullet"/>
      <w:lvlText w:val=""/>
      <w:lvlJc w:val="left"/>
      <w:pPr>
        <w:ind w:left="5023" w:hanging="360"/>
      </w:pPr>
      <w:rPr>
        <w:rFonts w:ascii="Symbol" w:hAnsi="Symbol" w:hint="default"/>
      </w:rPr>
    </w:lvl>
    <w:lvl w:ilvl="7" w:tplc="04130003" w:tentative="1">
      <w:start w:val="1"/>
      <w:numFmt w:val="bullet"/>
      <w:lvlText w:val="o"/>
      <w:lvlJc w:val="left"/>
      <w:pPr>
        <w:ind w:left="5743" w:hanging="360"/>
      </w:pPr>
      <w:rPr>
        <w:rFonts w:ascii="Courier New" w:hAnsi="Courier New" w:cs="Courier New" w:hint="default"/>
      </w:rPr>
    </w:lvl>
    <w:lvl w:ilvl="8" w:tplc="04130005" w:tentative="1">
      <w:start w:val="1"/>
      <w:numFmt w:val="bullet"/>
      <w:lvlText w:val=""/>
      <w:lvlJc w:val="left"/>
      <w:pPr>
        <w:ind w:left="6463" w:hanging="360"/>
      </w:pPr>
      <w:rPr>
        <w:rFonts w:ascii="Wingdings" w:hAnsi="Wingdings" w:hint="default"/>
      </w:rPr>
    </w:lvl>
  </w:abstractNum>
  <w:abstractNum w:abstractNumId="8">
    <w:nsid w:val="229E2FC7"/>
    <w:multiLevelType w:val="hybridMultilevel"/>
    <w:tmpl w:val="BE462792"/>
    <w:lvl w:ilvl="0" w:tplc="1562AB44">
      <w:numFmt w:val="bullet"/>
      <w:lvlText w:val=""/>
      <w:lvlJc w:val="left"/>
      <w:pPr>
        <w:ind w:left="720" w:hanging="360"/>
      </w:pPr>
      <w:rPr>
        <w:rFonts w:ascii="Symbol" w:eastAsia="DejaVu Sans" w:hAnsi="Symbol" w:cs="Mang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24F74D44"/>
    <w:multiLevelType w:val="hybridMultilevel"/>
    <w:tmpl w:val="E17272DE"/>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10">
    <w:nsid w:val="2DFA7D79"/>
    <w:multiLevelType w:val="hybridMultilevel"/>
    <w:tmpl w:val="81843432"/>
    <w:lvl w:ilvl="0" w:tplc="CD0CF366">
      <w:start w:val="1"/>
      <w:numFmt w:val="bullet"/>
      <w:lvlText w:val="-"/>
      <w:lvlJc w:val="left"/>
      <w:pPr>
        <w:tabs>
          <w:tab w:val="num" w:pos="720"/>
        </w:tabs>
        <w:ind w:left="720" w:hanging="360"/>
      </w:pPr>
      <w:rPr>
        <w:rFonts w:ascii="Times New Roman" w:hAnsi="Times New Roman" w:hint="default"/>
      </w:rPr>
    </w:lvl>
    <w:lvl w:ilvl="1" w:tplc="C102069C">
      <w:numFmt w:val="bullet"/>
      <w:lvlText w:val="•"/>
      <w:lvlJc w:val="left"/>
      <w:pPr>
        <w:ind w:left="1440" w:hanging="360"/>
      </w:pPr>
      <w:rPr>
        <w:rFonts w:ascii="Verdana" w:eastAsia="DejaVu Sans" w:hAnsi="Verdana" w:cs="RijksoverheidSerif-Regular" w:hint="default"/>
      </w:rPr>
    </w:lvl>
    <w:lvl w:ilvl="2" w:tplc="2168E9B0" w:tentative="1">
      <w:start w:val="1"/>
      <w:numFmt w:val="bullet"/>
      <w:lvlText w:val="-"/>
      <w:lvlJc w:val="left"/>
      <w:pPr>
        <w:tabs>
          <w:tab w:val="num" w:pos="2160"/>
        </w:tabs>
        <w:ind w:left="2160" w:hanging="360"/>
      </w:pPr>
      <w:rPr>
        <w:rFonts w:ascii="Times New Roman" w:hAnsi="Times New Roman" w:hint="default"/>
      </w:rPr>
    </w:lvl>
    <w:lvl w:ilvl="3" w:tplc="BDDC3448" w:tentative="1">
      <w:start w:val="1"/>
      <w:numFmt w:val="bullet"/>
      <w:lvlText w:val="-"/>
      <w:lvlJc w:val="left"/>
      <w:pPr>
        <w:tabs>
          <w:tab w:val="num" w:pos="2880"/>
        </w:tabs>
        <w:ind w:left="2880" w:hanging="360"/>
      </w:pPr>
      <w:rPr>
        <w:rFonts w:ascii="Times New Roman" w:hAnsi="Times New Roman" w:hint="default"/>
      </w:rPr>
    </w:lvl>
    <w:lvl w:ilvl="4" w:tplc="FF06235E" w:tentative="1">
      <w:start w:val="1"/>
      <w:numFmt w:val="bullet"/>
      <w:lvlText w:val="-"/>
      <w:lvlJc w:val="left"/>
      <w:pPr>
        <w:tabs>
          <w:tab w:val="num" w:pos="3600"/>
        </w:tabs>
        <w:ind w:left="3600" w:hanging="360"/>
      </w:pPr>
      <w:rPr>
        <w:rFonts w:ascii="Times New Roman" w:hAnsi="Times New Roman" w:hint="default"/>
      </w:rPr>
    </w:lvl>
    <w:lvl w:ilvl="5" w:tplc="149E60C2" w:tentative="1">
      <w:start w:val="1"/>
      <w:numFmt w:val="bullet"/>
      <w:lvlText w:val="-"/>
      <w:lvlJc w:val="left"/>
      <w:pPr>
        <w:tabs>
          <w:tab w:val="num" w:pos="4320"/>
        </w:tabs>
        <w:ind w:left="4320" w:hanging="360"/>
      </w:pPr>
      <w:rPr>
        <w:rFonts w:ascii="Times New Roman" w:hAnsi="Times New Roman" w:hint="default"/>
      </w:rPr>
    </w:lvl>
    <w:lvl w:ilvl="6" w:tplc="83A6034A" w:tentative="1">
      <w:start w:val="1"/>
      <w:numFmt w:val="bullet"/>
      <w:lvlText w:val="-"/>
      <w:lvlJc w:val="left"/>
      <w:pPr>
        <w:tabs>
          <w:tab w:val="num" w:pos="5040"/>
        </w:tabs>
        <w:ind w:left="5040" w:hanging="360"/>
      </w:pPr>
      <w:rPr>
        <w:rFonts w:ascii="Times New Roman" w:hAnsi="Times New Roman" w:hint="default"/>
      </w:rPr>
    </w:lvl>
    <w:lvl w:ilvl="7" w:tplc="776C0E5A" w:tentative="1">
      <w:start w:val="1"/>
      <w:numFmt w:val="bullet"/>
      <w:lvlText w:val="-"/>
      <w:lvlJc w:val="left"/>
      <w:pPr>
        <w:tabs>
          <w:tab w:val="num" w:pos="5760"/>
        </w:tabs>
        <w:ind w:left="5760" w:hanging="360"/>
      </w:pPr>
      <w:rPr>
        <w:rFonts w:ascii="Times New Roman" w:hAnsi="Times New Roman" w:hint="default"/>
      </w:rPr>
    </w:lvl>
    <w:lvl w:ilvl="8" w:tplc="D15C2F92" w:tentative="1">
      <w:start w:val="1"/>
      <w:numFmt w:val="bullet"/>
      <w:lvlText w:val="-"/>
      <w:lvlJc w:val="left"/>
      <w:pPr>
        <w:tabs>
          <w:tab w:val="num" w:pos="6480"/>
        </w:tabs>
        <w:ind w:left="6480" w:hanging="360"/>
      </w:pPr>
      <w:rPr>
        <w:rFonts w:ascii="Times New Roman" w:hAnsi="Times New Roman" w:hint="default"/>
      </w:rPr>
    </w:lvl>
  </w:abstractNum>
  <w:abstractNum w:abstractNumId="11">
    <w:nsid w:val="30992284"/>
    <w:multiLevelType w:val="hybridMultilevel"/>
    <w:tmpl w:val="E1BCAD0A"/>
    <w:lvl w:ilvl="0" w:tplc="1A38515E">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3294147A"/>
    <w:multiLevelType w:val="hybridMultilevel"/>
    <w:tmpl w:val="79A07636"/>
    <w:lvl w:ilvl="0" w:tplc="806C29FE">
      <w:numFmt w:val="bullet"/>
      <w:lvlText w:val="-"/>
      <w:lvlJc w:val="left"/>
      <w:pPr>
        <w:ind w:left="360" w:hanging="360"/>
      </w:pPr>
      <w:rPr>
        <w:rFonts w:ascii="Verdana" w:eastAsiaTheme="minorHAnsi" w:hAnsi="Verdana"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3">
    <w:nsid w:val="3425227C"/>
    <w:multiLevelType w:val="hybridMultilevel"/>
    <w:tmpl w:val="41ACD52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nsid w:val="38362075"/>
    <w:multiLevelType w:val="hybridMultilevel"/>
    <w:tmpl w:val="22126286"/>
    <w:lvl w:ilvl="0" w:tplc="9F7E0C7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391B7382"/>
    <w:multiLevelType w:val="hybridMultilevel"/>
    <w:tmpl w:val="0C3A8DF6"/>
    <w:lvl w:ilvl="0" w:tplc="CD0CF366">
      <w:start w:val="1"/>
      <w:numFmt w:val="bullet"/>
      <w:lvlText w:val="-"/>
      <w:lvlJc w:val="left"/>
      <w:pPr>
        <w:tabs>
          <w:tab w:val="num" w:pos="360"/>
        </w:tabs>
        <w:ind w:left="360" w:hanging="360"/>
      </w:pPr>
      <w:rPr>
        <w:rFonts w:ascii="Times New Roman" w:hAnsi="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nsid w:val="39720236"/>
    <w:multiLevelType w:val="hybridMultilevel"/>
    <w:tmpl w:val="C8A278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3A242C09"/>
    <w:multiLevelType w:val="hybridMultilevel"/>
    <w:tmpl w:val="63648D94"/>
    <w:lvl w:ilvl="0" w:tplc="AD02C184">
      <w:start w:val="1"/>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44A952EA"/>
    <w:multiLevelType w:val="hybridMultilevel"/>
    <w:tmpl w:val="6694CE8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nsid w:val="45546CBA"/>
    <w:multiLevelType w:val="hybridMultilevel"/>
    <w:tmpl w:val="02CEFE2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nsid w:val="46E45AF1"/>
    <w:multiLevelType w:val="hybridMultilevel"/>
    <w:tmpl w:val="10E8F250"/>
    <w:lvl w:ilvl="0" w:tplc="BCE65B5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48215054"/>
    <w:multiLevelType w:val="hybridMultilevel"/>
    <w:tmpl w:val="605661AA"/>
    <w:lvl w:ilvl="0" w:tplc="54E42246">
      <w:numFmt w:val="bullet"/>
      <w:lvlText w:val=""/>
      <w:lvlJc w:val="left"/>
      <w:pPr>
        <w:ind w:left="720" w:hanging="360"/>
      </w:pPr>
      <w:rPr>
        <w:rFonts w:ascii="Symbol" w:eastAsia="DejaVu Sans" w:hAnsi="Symbol" w:cs="Mang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4B1F1A9E"/>
    <w:multiLevelType w:val="hybridMultilevel"/>
    <w:tmpl w:val="C75C87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514501FF"/>
    <w:multiLevelType w:val="hybridMultilevel"/>
    <w:tmpl w:val="9C5C17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58AD3D3C"/>
    <w:multiLevelType w:val="hybridMultilevel"/>
    <w:tmpl w:val="03508FE4"/>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5E716BE6"/>
    <w:multiLevelType w:val="hybridMultilevel"/>
    <w:tmpl w:val="491040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5F562EBF"/>
    <w:multiLevelType w:val="hybridMultilevel"/>
    <w:tmpl w:val="E222CAA8"/>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nsid w:val="65467F64"/>
    <w:multiLevelType w:val="hybridMultilevel"/>
    <w:tmpl w:val="CAF80C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nsid w:val="6C606364"/>
    <w:multiLevelType w:val="hybridMultilevel"/>
    <w:tmpl w:val="BDD29A20"/>
    <w:lvl w:ilvl="0" w:tplc="5622B55E">
      <w:numFmt w:val="bullet"/>
      <w:lvlText w:val="-"/>
      <w:lvlJc w:val="left"/>
      <w:pPr>
        <w:ind w:left="1494" w:hanging="360"/>
      </w:pPr>
      <w:rPr>
        <w:rFonts w:ascii="Verdana" w:eastAsia="DejaVu Sans" w:hAnsi="Verdana" w:cs="Lohit Hindi" w:hint="default"/>
      </w:rPr>
    </w:lvl>
    <w:lvl w:ilvl="1" w:tplc="472856D0">
      <w:numFmt w:val="bullet"/>
      <w:lvlText w:val="·"/>
      <w:lvlJc w:val="left"/>
      <w:pPr>
        <w:ind w:left="2214" w:hanging="360"/>
      </w:pPr>
      <w:rPr>
        <w:rFonts w:ascii="Verdana" w:eastAsia="DejaVu Sans" w:hAnsi="Verdana" w:cs="Symbol"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30">
    <w:nsid w:val="6E092182"/>
    <w:multiLevelType w:val="hybridMultilevel"/>
    <w:tmpl w:val="69AC5A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nsid w:val="6F2C4423"/>
    <w:multiLevelType w:val="hybridMultilevel"/>
    <w:tmpl w:val="D01EBB1E"/>
    <w:lvl w:ilvl="0" w:tplc="4C663A7A">
      <w:numFmt w:val="bullet"/>
      <w:lvlText w:val="-"/>
      <w:lvlJc w:val="left"/>
      <w:pPr>
        <w:ind w:left="1670" w:hanging="360"/>
      </w:pPr>
      <w:rPr>
        <w:rFonts w:ascii="Verdana" w:eastAsia="DejaVu Sans" w:hAnsi="Verdana" w:cs="Lohit Hindi" w:hint="default"/>
      </w:rPr>
    </w:lvl>
    <w:lvl w:ilvl="1" w:tplc="04130003" w:tentative="1">
      <w:start w:val="1"/>
      <w:numFmt w:val="bullet"/>
      <w:lvlText w:val="o"/>
      <w:lvlJc w:val="left"/>
      <w:pPr>
        <w:ind w:left="2390" w:hanging="360"/>
      </w:pPr>
      <w:rPr>
        <w:rFonts w:ascii="Courier New" w:hAnsi="Courier New" w:cs="Courier New" w:hint="default"/>
      </w:rPr>
    </w:lvl>
    <w:lvl w:ilvl="2" w:tplc="04130005" w:tentative="1">
      <w:start w:val="1"/>
      <w:numFmt w:val="bullet"/>
      <w:lvlText w:val=""/>
      <w:lvlJc w:val="left"/>
      <w:pPr>
        <w:ind w:left="3110" w:hanging="360"/>
      </w:pPr>
      <w:rPr>
        <w:rFonts w:ascii="Wingdings" w:hAnsi="Wingdings" w:hint="default"/>
      </w:rPr>
    </w:lvl>
    <w:lvl w:ilvl="3" w:tplc="04130001" w:tentative="1">
      <w:start w:val="1"/>
      <w:numFmt w:val="bullet"/>
      <w:lvlText w:val=""/>
      <w:lvlJc w:val="left"/>
      <w:pPr>
        <w:ind w:left="3830" w:hanging="360"/>
      </w:pPr>
      <w:rPr>
        <w:rFonts w:ascii="Symbol" w:hAnsi="Symbol" w:hint="default"/>
      </w:rPr>
    </w:lvl>
    <w:lvl w:ilvl="4" w:tplc="04130003" w:tentative="1">
      <w:start w:val="1"/>
      <w:numFmt w:val="bullet"/>
      <w:lvlText w:val="o"/>
      <w:lvlJc w:val="left"/>
      <w:pPr>
        <w:ind w:left="4550" w:hanging="360"/>
      </w:pPr>
      <w:rPr>
        <w:rFonts w:ascii="Courier New" w:hAnsi="Courier New" w:cs="Courier New" w:hint="default"/>
      </w:rPr>
    </w:lvl>
    <w:lvl w:ilvl="5" w:tplc="04130005" w:tentative="1">
      <w:start w:val="1"/>
      <w:numFmt w:val="bullet"/>
      <w:lvlText w:val=""/>
      <w:lvlJc w:val="left"/>
      <w:pPr>
        <w:ind w:left="5270" w:hanging="360"/>
      </w:pPr>
      <w:rPr>
        <w:rFonts w:ascii="Wingdings" w:hAnsi="Wingdings" w:hint="default"/>
      </w:rPr>
    </w:lvl>
    <w:lvl w:ilvl="6" w:tplc="04130001" w:tentative="1">
      <w:start w:val="1"/>
      <w:numFmt w:val="bullet"/>
      <w:lvlText w:val=""/>
      <w:lvlJc w:val="left"/>
      <w:pPr>
        <w:ind w:left="5990" w:hanging="360"/>
      </w:pPr>
      <w:rPr>
        <w:rFonts w:ascii="Symbol" w:hAnsi="Symbol" w:hint="default"/>
      </w:rPr>
    </w:lvl>
    <w:lvl w:ilvl="7" w:tplc="04130003" w:tentative="1">
      <w:start w:val="1"/>
      <w:numFmt w:val="bullet"/>
      <w:lvlText w:val="o"/>
      <w:lvlJc w:val="left"/>
      <w:pPr>
        <w:ind w:left="6710" w:hanging="360"/>
      </w:pPr>
      <w:rPr>
        <w:rFonts w:ascii="Courier New" w:hAnsi="Courier New" w:cs="Courier New" w:hint="default"/>
      </w:rPr>
    </w:lvl>
    <w:lvl w:ilvl="8" w:tplc="04130005" w:tentative="1">
      <w:start w:val="1"/>
      <w:numFmt w:val="bullet"/>
      <w:lvlText w:val=""/>
      <w:lvlJc w:val="left"/>
      <w:pPr>
        <w:ind w:left="7430" w:hanging="360"/>
      </w:pPr>
      <w:rPr>
        <w:rFonts w:ascii="Wingdings" w:hAnsi="Wingdings" w:hint="default"/>
      </w:rPr>
    </w:lvl>
  </w:abstractNum>
  <w:abstractNum w:abstractNumId="32">
    <w:nsid w:val="72487F9B"/>
    <w:multiLevelType w:val="multilevel"/>
    <w:tmpl w:val="3AB8EE94"/>
    <w:styleLink w:val="WWOutlineListStyle"/>
    <w:lvl w:ilvl="0">
      <w:start w:val="1"/>
      <w:numFmt w:val="decimal"/>
      <w:pStyle w:val="Huisstijl-Kop1"/>
      <w:lvlText w:val="%1"/>
      <w:lvlJc w:val="left"/>
    </w:lvl>
    <w:lvl w:ilvl="1">
      <w:start w:val="1"/>
      <w:numFmt w:val="decimal"/>
      <w:pStyle w:val="Huisstijl-Kop2"/>
      <w:lvlText w:val="%1.%2"/>
      <w:lvlJc w:val="left"/>
    </w:lvl>
    <w:lvl w:ilvl="2">
      <w:start w:val="1"/>
      <w:numFmt w:val="decimal"/>
      <w:pStyle w:val="Huisstijl-Kop3"/>
      <w:lvlText w:val="%1.%2.%3"/>
      <w:lvlJc w:val="left"/>
    </w:lvl>
    <w:lvl w:ilvl="3">
      <w:start w:val="1"/>
      <w:numFmt w:val="decimal"/>
      <w:pStyle w:val="Huisstijl-Kop4"/>
      <w:lvlText w:val="%1.%2.%3.%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3">
    <w:nsid w:val="746B7241"/>
    <w:multiLevelType w:val="hybridMultilevel"/>
    <w:tmpl w:val="7B54B2C0"/>
    <w:lvl w:ilvl="0" w:tplc="65FAA27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4"/>
  </w:num>
  <w:num w:numId="2">
    <w:abstractNumId w:val="4"/>
  </w:num>
  <w:num w:numId="3">
    <w:abstractNumId w:val="4"/>
    <w:lvlOverride w:ilvl="0">
      <w:startOverride w:val="1"/>
    </w:lvlOverride>
  </w:num>
  <w:num w:numId="4">
    <w:abstractNumId w:val="0"/>
  </w:num>
  <w:num w:numId="5">
    <w:abstractNumId w:val="32"/>
    <w:lvlOverride w:ilvl="0">
      <w:lvl w:ilvl="0">
        <w:start w:val="1"/>
        <w:numFmt w:val="decimal"/>
        <w:pStyle w:val="Huisstijl-Kop1"/>
        <w:lvlText w:val="%1"/>
        <w:lvlJc w:val="left"/>
      </w:lvl>
    </w:lvlOverride>
    <w:lvlOverride w:ilvl="1">
      <w:lvl w:ilvl="1">
        <w:start w:val="1"/>
        <w:numFmt w:val="decimal"/>
        <w:pStyle w:val="Huisstijl-Kop2"/>
        <w:lvlText w:val="%1.%2"/>
        <w:lvlJc w:val="left"/>
      </w:lvl>
    </w:lvlOverride>
    <w:lvlOverride w:ilvl="2">
      <w:lvl w:ilvl="2">
        <w:start w:val="1"/>
        <w:numFmt w:val="decimal"/>
        <w:pStyle w:val="Huisstijl-Kop3"/>
        <w:lvlText w:val="%1.%2.%3"/>
        <w:lvlJc w:val="left"/>
      </w:lvl>
    </w:lvlOverride>
    <w:lvlOverride w:ilvl="3">
      <w:lvl w:ilvl="3">
        <w:start w:val="1"/>
        <w:numFmt w:val="decimal"/>
        <w:pStyle w:val="Huisstijl-Kop4"/>
        <w:lvlText w:val="%1.%2.%3.%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6">
    <w:abstractNumId w:val="29"/>
  </w:num>
  <w:num w:numId="7">
    <w:abstractNumId w:val="9"/>
  </w:num>
  <w:num w:numId="8">
    <w:abstractNumId w:val="10"/>
  </w:num>
  <w:num w:numId="9">
    <w:abstractNumId w:val="7"/>
  </w:num>
  <w:num w:numId="10">
    <w:abstractNumId w:val="27"/>
  </w:num>
  <w:num w:numId="11">
    <w:abstractNumId w:val="28"/>
  </w:num>
  <w:num w:numId="12">
    <w:abstractNumId w:val="2"/>
  </w:num>
  <w:num w:numId="13">
    <w:abstractNumId w:val="15"/>
  </w:num>
  <w:num w:numId="14">
    <w:abstractNumId w:val="32"/>
  </w:num>
  <w:num w:numId="15">
    <w:abstractNumId w:val="6"/>
  </w:num>
  <w:num w:numId="16">
    <w:abstractNumId w:val="12"/>
  </w:num>
  <w:num w:numId="17">
    <w:abstractNumId w:val="17"/>
  </w:num>
  <w:num w:numId="18">
    <w:abstractNumId w:val="14"/>
  </w:num>
  <w:num w:numId="19">
    <w:abstractNumId w:val="31"/>
  </w:num>
  <w:num w:numId="20">
    <w:abstractNumId w:val="19"/>
  </w:num>
  <w:num w:numId="21">
    <w:abstractNumId w:val="5"/>
  </w:num>
  <w:num w:numId="22">
    <w:abstractNumId w:val="25"/>
  </w:num>
  <w:num w:numId="23">
    <w:abstractNumId w:val="8"/>
  </w:num>
  <w:num w:numId="24">
    <w:abstractNumId w:val="21"/>
  </w:num>
  <w:num w:numId="25">
    <w:abstractNumId w:val="1"/>
  </w:num>
  <w:num w:numId="26">
    <w:abstractNumId w:val="33"/>
  </w:num>
  <w:num w:numId="27">
    <w:abstractNumId w:val="16"/>
  </w:num>
  <w:num w:numId="28">
    <w:abstractNumId w:val="22"/>
  </w:num>
  <w:num w:numId="29">
    <w:abstractNumId w:val="11"/>
  </w:num>
  <w:num w:numId="30">
    <w:abstractNumId w:val="3"/>
  </w:num>
  <w:num w:numId="31">
    <w:abstractNumId w:val="23"/>
  </w:num>
  <w:num w:numId="32">
    <w:abstractNumId w:val="26"/>
  </w:num>
  <w:num w:numId="33">
    <w:abstractNumId w:val="18"/>
  </w:num>
  <w:num w:numId="34">
    <w:abstractNumId w:val="20"/>
  </w:num>
  <w:num w:numId="35">
    <w:abstractNumId w:val="30"/>
  </w:num>
  <w:num w:numId="3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attachedTemplate r:id="rId1"/>
  <w:stylePaneFormatFilter w:val="5324"/>
  <w:defaultTabStop w:val="170"/>
  <w:autoHyphenation/>
  <w:hyphenationZone w:val="425"/>
  <w:evenAndOddHeaders/>
  <w:drawingGridHorizontalSpacing w:val="90"/>
  <w:displayHorizontalDrawingGridEvery w:val="2"/>
  <w:characterSpacingControl w:val="doNotCompress"/>
  <w:hdrShapeDefaults>
    <o:shapedefaults v:ext="edit" spidmax="4110"/>
    <o:shapelayout v:ext="edit">
      <o:idmap v:ext="edit" data="4"/>
    </o:shapelayout>
  </w:hdrShapeDefaults>
  <w:footnotePr>
    <w:footnote w:id="-1"/>
    <w:footnote w:id="0"/>
  </w:footnotePr>
  <w:endnotePr>
    <w:endnote w:id="-1"/>
    <w:endnote w:id="0"/>
  </w:endnotePr>
  <w:compat/>
  <w:rsids>
    <w:rsidRoot w:val="00BE3872"/>
    <w:rsid w:val="00001800"/>
    <w:rsid w:val="00002149"/>
    <w:rsid w:val="00005D09"/>
    <w:rsid w:val="0000784A"/>
    <w:rsid w:val="000078AF"/>
    <w:rsid w:val="00007FEE"/>
    <w:rsid w:val="00013408"/>
    <w:rsid w:val="0001536B"/>
    <w:rsid w:val="0001670C"/>
    <w:rsid w:val="0001670E"/>
    <w:rsid w:val="00020077"/>
    <w:rsid w:val="0002109D"/>
    <w:rsid w:val="000231A1"/>
    <w:rsid w:val="00025ADF"/>
    <w:rsid w:val="00027FB7"/>
    <w:rsid w:val="000323C7"/>
    <w:rsid w:val="000357B1"/>
    <w:rsid w:val="00036B31"/>
    <w:rsid w:val="000402A4"/>
    <w:rsid w:val="0004141F"/>
    <w:rsid w:val="000416FA"/>
    <w:rsid w:val="00043648"/>
    <w:rsid w:val="00047278"/>
    <w:rsid w:val="000518CE"/>
    <w:rsid w:val="00052090"/>
    <w:rsid w:val="00053999"/>
    <w:rsid w:val="00054797"/>
    <w:rsid w:val="0006160F"/>
    <w:rsid w:val="00062A8F"/>
    <w:rsid w:val="00063C14"/>
    <w:rsid w:val="00066E1C"/>
    <w:rsid w:val="00070A7D"/>
    <w:rsid w:val="00073E20"/>
    <w:rsid w:val="00073F0C"/>
    <w:rsid w:val="000756EF"/>
    <w:rsid w:val="0008204E"/>
    <w:rsid w:val="00082487"/>
    <w:rsid w:val="00082CAF"/>
    <w:rsid w:val="00083C74"/>
    <w:rsid w:val="00083E5A"/>
    <w:rsid w:val="00084DC0"/>
    <w:rsid w:val="000872D2"/>
    <w:rsid w:val="0009079E"/>
    <w:rsid w:val="00090EDF"/>
    <w:rsid w:val="0009123D"/>
    <w:rsid w:val="00092C11"/>
    <w:rsid w:val="000937B5"/>
    <w:rsid w:val="00093B03"/>
    <w:rsid w:val="00097AF4"/>
    <w:rsid w:val="000A4D0D"/>
    <w:rsid w:val="000A7F0E"/>
    <w:rsid w:val="000B15D1"/>
    <w:rsid w:val="000B5892"/>
    <w:rsid w:val="000B63E0"/>
    <w:rsid w:val="000B6884"/>
    <w:rsid w:val="000B7131"/>
    <w:rsid w:val="000B72B9"/>
    <w:rsid w:val="000C3369"/>
    <w:rsid w:val="000C6F60"/>
    <w:rsid w:val="000C7D5F"/>
    <w:rsid w:val="000D086B"/>
    <w:rsid w:val="000D14C7"/>
    <w:rsid w:val="000D14FC"/>
    <w:rsid w:val="000D45AD"/>
    <w:rsid w:val="000D4FB5"/>
    <w:rsid w:val="000D5D20"/>
    <w:rsid w:val="000D60C9"/>
    <w:rsid w:val="000D6303"/>
    <w:rsid w:val="000D6B98"/>
    <w:rsid w:val="000D7D5A"/>
    <w:rsid w:val="000E1F9D"/>
    <w:rsid w:val="000E2E3C"/>
    <w:rsid w:val="000E3394"/>
    <w:rsid w:val="000E4924"/>
    <w:rsid w:val="000F01BB"/>
    <w:rsid w:val="000F5A9C"/>
    <w:rsid w:val="00100B31"/>
    <w:rsid w:val="00100B8F"/>
    <w:rsid w:val="0010133C"/>
    <w:rsid w:val="00103813"/>
    <w:rsid w:val="001038D9"/>
    <w:rsid w:val="001047C7"/>
    <w:rsid w:val="00105035"/>
    <w:rsid w:val="001054BA"/>
    <w:rsid w:val="00107DBA"/>
    <w:rsid w:val="00112E36"/>
    <w:rsid w:val="0011771D"/>
    <w:rsid w:val="0012156A"/>
    <w:rsid w:val="00127CCF"/>
    <w:rsid w:val="0013315E"/>
    <w:rsid w:val="001342C6"/>
    <w:rsid w:val="001342F1"/>
    <w:rsid w:val="001356CC"/>
    <w:rsid w:val="00137D4D"/>
    <w:rsid w:val="00141336"/>
    <w:rsid w:val="0014394F"/>
    <w:rsid w:val="0014619D"/>
    <w:rsid w:val="00146FDB"/>
    <w:rsid w:val="0014720F"/>
    <w:rsid w:val="001507F2"/>
    <w:rsid w:val="00151DD4"/>
    <w:rsid w:val="00151E44"/>
    <w:rsid w:val="0015202B"/>
    <w:rsid w:val="00154C07"/>
    <w:rsid w:val="001553E9"/>
    <w:rsid w:val="00161FBC"/>
    <w:rsid w:val="00163422"/>
    <w:rsid w:val="001643C5"/>
    <w:rsid w:val="0016573E"/>
    <w:rsid w:val="0017230C"/>
    <w:rsid w:val="00181594"/>
    <w:rsid w:val="0018546A"/>
    <w:rsid w:val="001873DF"/>
    <w:rsid w:val="001877E1"/>
    <w:rsid w:val="00187E58"/>
    <w:rsid w:val="00190390"/>
    <w:rsid w:val="00190BB2"/>
    <w:rsid w:val="00193767"/>
    <w:rsid w:val="00194DBD"/>
    <w:rsid w:val="00197F69"/>
    <w:rsid w:val="001A065D"/>
    <w:rsid w:val="001A074D"/>
    <w:rsid w:val="001A0CB1"/>
    <w:rsid w:val="001A1FD7"/>
    <w:rsid w:val="001A2F1C"/>
    <w:rsid w:val="001A71B2"/>
    <w:rsid w:val="001A78AF"/>
    <w:rsid w:val="001B1708"/>
    <w:rsid w:val="001B2D92"/>
    <w:rsid w:val="001B49FD"/>
    <w:rsid w:val="001C4FF5"/>
    <w:rsid w:val="001D1EDF"/>
    <w:rsid w:val="001D285D"/>
    <w:rsid w:val="001D2E99"/>
    <w:rsid w:val="001D353B"/>
    <w:rsid w:val="001D44EA"/>
    <w:rsid w:val="001E24A7"/>
    <w:rsid w:val="001E3F70"/>
    <w:rsid w:val="001E40E3"/>
    <w:rsid w:val="001E5FF9"/>
    <w:rsid w:val="001E7BD5"/>
    <w:rsid w:val="001F4AB0"/>
    <w:rsid w:val="001F554F"/>
    <w:rsid w:val="001F5584"/>
    <w:rsid w:val="001F5B3A"/>
    <w:rsid w:val="001F7C1C"/>
    <w:rsid w:val="002018CA"/>
    <w:rsid w:val="0020631F"/>
    <w:rsid w:val="0020772C"/>
    <w:rsid w:val="0021209A"/>
    <w:rsid w:val="00212210"/>
    <w:rsid w:val="00212246"/>
    <w:rsid w:val="00216220"/>
    <w:rsid w:val="00216A19"/>
    <w:rsid w:val="0021720E"/>
    <w:rsid w:val="002232BA"/>
    <w:rsid w:val="00223760"/>
    <w:rsid w:val="002247D4"/>
    <w:rsid w:val="00235DAE"/>
    <w:rsid w:val="00236633"/>
    <w:rsid w:val="0023664B"/>
    <w:rsid w:val="00244568"/>
    <w:rsid w:val="0024553D"/>
    <w:rsid w:val="002513EB"/>
    <w:rsid w:val="00251823"/>
    <w:rsid w:val="00252A6D"/>
    <w:rsid w:val="002535FF"/>
    <w:rsid w:val="00255A37"/>
    <w:rsid w:val="00256517"/>
    <w:rsid w:val="002609C5"/>
    <w:rsid w:val="002630F7"/>
    <w:rsid w:val="0026339B"/>
    <w:rsid w:val="00264FB3"/>
    <w:rsid w:val="00264FD8"/>
    <w:rsid w:val="002653BF"/>
    <w:rsid w:val="002654E6"/>
    <w:rsid w:val="002656D5"/>
    <w:rsid w:val="0026626F"/>
    <w:rsid w:val="00266734"/>
    <w:rsid w:val="00267D9A"/>
    <w:rsid w:val="00270B5B"/>
    <w:rsid w:val="0027480A"/>
    <w:rsid w:val="00276193"/>
    <w:rsid w:val="00276FE8"/>
    <w:rsid w:val="00280CA5"/>
    <w:rsid w:val="00283222"/>
    <w:rsid w:val="0028780A"/>
    <w:rsid w:val="00290F02"/>
    <w:rsid w:val="00293CC0"/>
    <w:rsid w:val="002940AF"/>
    <w:rsid w:val="0029553A"/>
    <w:rsid w:val="00295BC9"/>
    <w:rsid w:val="002A1B9C"/>
    <w:rsid w:val="002A4822"/>
    <w:rsid w:val="002A4ED8"/>
    <w:rsid w:val="002A5A41"/>
    <w:rsid w:val="002B13EA"/>
    <w:rsid w:val="002B1C7B"/>
    <w:rsid w:val="002B1E73"/>
    <w:rsid w:val="002B2F17"/>
    <w:rsid w:val="002B34CA"/>
    <w:rsid w:val="002B3C2A"/>
    <w:rsid w:val="002B4547"/>
    <w:rsid w:val="002B484B"/>
    <w:rsid w:val="002B6B8A"/>
    <w:rsid w:val="002C04A0"/>
    <w:rsid w:val="002C08F0"/>
    <w:rsid w:val="002C23AC"/>
    <w:rsid w:val="002C55E6"/>
    <w:rsid w:val="002D49B7"/>
    <w:rsid w:val="002D78B2"/>
    <w:rsid w:val="002E3EA4"/>
    <w:rsid w:val="002E6BEB"/>
    <w:rsid w:val="002E6E63"/>
    <w:rsid w:val="002E7D26"/>
    <w:rsid w:val="002E7F91"/>
    <w:rsid w:val="002F2A7C"/>
    <w:rsid w:val="002F4401"/>
    <w:rsid w:val="002F7DAC"/>
    <w:rsid w:val="00304094"/>
    <w:rsid w:val="003046A1"/>
    <w:rsid w:val="0030528E"/>
    <w:rsid w:val="003067C9"/>
    <w:rsid w:val="0031022B"/>
    <w:rsid w:val="003129B9"/>
    <w:rsid w:val="00315AE6"/>
    <w:rsid w:val="00317FE8"/>
    <w:rsid w:val="0032032F"/>
    <w:rsid w:val="00322EFD"/>
    <w:rsid w:val="00331443"/>
    <w:rsid w:val="00335397"/>
    <w:rsid w:val="003368B3"/>
    <w:rsid w:val="00340B84"/>
    <w:rsid w:val="00341478"/>
    <w:rsid w:val="0034339A"/>
    <w:rsid w:val="00345ABD"/>
    <w:rsid w:val="00346A69"/>
    <w:rsid w:val="00351653"/>
    <w:rsid w:val="00353CD3"/>
    <w:rsid w:val="00355BDA"/>
    <w:rsid w:val="00360442"/>
    <w:rsid w:val="00364147"/>
    <w:rsid w:val="00364F03"/>
    <w:rsid w:val="00365095"/>
    <w:rsid w:val="00365201"/>
    <w:rsid w:val="00365238"/>
    <w:rsid w:val="003661A4"/>
    <w:rsid w:val="003771C6"/>
    <w:rsid w:val="00377799"/>
    <w:rsid w:val="00377C0C"/>
    <w:rsid w:val="00381137"/>
    <w:rsid w:val="00383B00"/>
    <w:rsid w:val="00384775"/>
    <w:rsid w:val="00386C9F"/>
    <w:rsid w:val="00391426"/>
    <w:rsid w:val="00397CF1"/>
    <w:rsid w:val="00397D73"/>
    <w:rsid w:val="003A1576"/>
    <w:rsid w:val="003A2B18"/>
    <w:rsid w:val="003A32F2"/>
    <w:rsid w:val="003A4212"/>
    <w:rsid w:val="003A6485"/>
    <w:rsid w:val="003B4171"/>
    <w:rsid w:val="003B4E05"/>
    <w:rsid w:val="003B5B05"/>
    <w:rsid w:val="003B6516"/>
    <w:rsid w:val="003C1A55"/>
    <w:rsid w:val="003C7039"/>
    <w:rsid w:val="003D09B1"/>
    <w:rsid w:val="003D1C9E"/>
    <w:rsid w:val="003D307F"/>
    <w:rsid w:val="003D31B7"/>
    <w:rsid w:val="003D4369"/>
    <w:rsid w:val="003E2073"/>
    <w:rsid w:val="003E77A2"/>
    <w:rsid w:val="003F0BCF"/>
    <w:rsid w:val="003F0C96"/>
    <w:rsid w:val="003F1FD9"/>
    <w:rsid w:val="003F55E0"/>
    <w:rsid w:val="003F5A29"/>
    <w:rsid w:val="00401482"/>
    <w:rsid w:val="00404AAE"/>
    <w:rsid w:val="004050EB"/>
    <w:rsid w:val="004056C8"/>
    <w:rsid w:val="00406609"/>
    <w:rsid w:val="004102B2"/>
    <w:rsid w:val="00410CAF"/>
    <w:rsid w:val="00417309"/>
    <w:rsid w:val="004175FB"/>
    <w:rsid w:val="004176D3"/>
    <w:rsid w:val="00422312"/>
    <w:rsid w:val="004230D7"/>
    <w:rsid w:val="0042440C"/>
    <w:rsid w:val="00425B38"/>
    <w:rsid w:val="004278E5"/>
    <w:rsid w:val="004306C2"/>
    <w:rsid w:val="00431CCE"/>
    <w:rsid w:val="00431F21"/>
    <w:rsid w:val="00434666"/>
    <w:rsid w:val="00437063"/>
    <w:rsid w:val="004418B3"/>
    <w:rsid w:val="00441AC8"/>
    <w:rsid w:val="00442D33"/>
    <w:rsid w:val="0044402A"/>
    <w:rsid w:val="00444972"/>
    <w:rsid w:val="00444FB7"/>
    <w:rsid w:val="00445111"/>
    <w:rsid w:val="00447617"/>
    <w:rsid w:val="004556BE"/>
    <w:rsid w:val="00455FD4"/>
    <w:rsid w:val="0046198E"/>
    <w:rsid w:val="00464D9E"/>
    <w:rsid w:val="00466304"/>
    <w:rsid w:val="00466855"/>
    <w:rsid w:val="00466D33"/>
    <w:rsid w:val="004673A3"/>
    <w:rsid w:val="00471614"/>
    <w:rsid w:val="00472496"/>
    <w:rsid w:val="00472B17"/>
    <w:rsid w:val="00473F4D"/>
    <w:rsid w:val="00474514"/>
    <w:rsid w:val="00474FD8"/>
    <w:rsid w:val="0047580A"/>
    <w:rsid w:val="00480CEE"/>
    <w:rsid w:val="004820A2"/>
    <w:rsid w:val="00482CB0"/>
    <w:rsid w:val="0048327A"/>
    <w:rsid w:val="004845D3"/>
    <w:rsid w:val="00484C98"/>
    <w:rsid w:val="0049150C"/>
    <w:rsid w:val="004917A9"/>
    <w:rsid w:val="00492354"/>
    <w:rsid w:val="00497B4A"/>
    <w:rsid w:val="004A1DA9"/>
    <w:rsid w:val="004A236D"/>
    <w:rsid w:val="004A4974"/>
    <w:rsid w:val="004A7472"/>
    <w:rsid w:val="004A7B22"/>
    <w:rsid w:val="004B132C"/>
    <w:rsid w:val="004C01C5"/>
    <w:rsid w:val="004C1E0C"/>
    <w:rsid w:val="004C1FD6"/>
    <w:rsid w:val="004C5029"/>
    <w:rsid w:val="004C5A17"/>
    <w:rsid w:val="004D721B"/>
    <w:rsid w:val="004E6540"/>
    <w:rsid w:val="004E6B3B"/>
    <w:rsid w:val="004E7874"/>
    <w:rsid w:val="004F4A19"/>
    <w:rsid w:val="0050051D"/>
    <w:rsid w:val="00502B23"/>
    <w:rsid w:val="00502C52"/>
    <w:rsid w:val="00505924"/>
    <w:rsid w:val="005119FC"/>
    <w:rsid w:val="005121CF"/>
    <w:rsid w:val="00513C02"/>
    <w:rsid w:val="005140F7"/>
    <w:rsid w:val="00514F06"/>
    <w:rsid w:val="0051564F"/>
    <w:rsid w:val="00517547"/>
    <w:rsid w:val="00525462"/>
    <w:rsid w:val="00527C16"/>
    <w:rsid w:val="005335D6"/>
    <w:rsid w:val="00533A93"/>
    <w:rsid w:val="00534E2A"/>
    <w:rsid w:val="00535234"/>
    <w:rsid w:val="00535F40"/>
    <w:rsid w:val="00536684"/>
    <w:rsid w:val="00540654"/>
    <w:rsid w:val="0054088C"/>
    <w:rsid w:val="00544144"/>
    <w:rsid w:val="00544ACB"/>
    <w:rsid w:val="00546E9D"/>
    <w:rsid w:val="00547890"/>
    <w:rsid w:val="00552B36"/>
    <w:rsid w:val="005563FA"/>
    <w:rsid w:val="00562141"/>
    <w:rsid w:val="00565829"/>
    <w:rsid w:val="0056616B"/>
    <w:rsid w:val="00572793"/>
    <w:rsid w:val="0057389F"/>
    <w:rsid w:val="0057672A"/>
    <w:rsid w:val="00577F0B"/>
    <w:rsid w:val="0058742E"/>
    <w:rsid w:val="00593FB5"/>
    <w:rsid w:val="005A6107"/>
    <w:rsid w:val="005A72C2"/>
    <w:rsid w:val="005B2890"/>
    <w:rsid w:val="005B2AAC"/>
    <w:rsid w:val="005B380F"/>
    <w:rsid w:val="005B5ECD"/>
    <w:rsid w:val="005C1759"/>
    <w:rsid w:val="005C5860"/>
    <w:rsid w:val="005C586E"/>
    <w:rsid w:val="005D08DD"/>
    <w:rsid w:val="005D0DF4"/>
    <w:rsid w:val="005D1334"/>
    <w:rsid w:val="005D40A9"/>
    <w:rsid w:val="005D763D"/>
    <w:rsid w:val="005D7C4E"/>
    <w:rsid w:val="005E56A4"/>
    <w:rsid w:val="005F0986"/>
    <w:rsid w:val="005F0BFF"/>
    <w:rsid w:val="005F2C83"/>
    <w:rsid w:val="005F3150"/>
    <w:rsid w:val="005F3FEE"/>
    <w:rsid w:val="005F5526"/>
    <w:rsid w:val="005F59C5"/>
    <w:rsid w:val="00600BCD"/>
    <w:rsid w:val="00602497"/>
    <w:rsid w:val="006026D1"/>
    <w:rsid w:val="006028CF"/>
    <w:rsid w:val="0060407A"/>
    <w:rsid w:val="00612149"/>
    <w:rsid w:val="0061291D"/>
    <w:rsid w:val="00613F23"/>
    <w:rsid w:val="00621301"/>
    <w:rsid w:val="00623E04"/>
    <w:rsid w:val="00625C15"/>
    <w:rsid w:val="00626AF2"/>
    <w:rsid w:val="00626F0B"/>
    <w:rsid w:val="00627120"/>
    <w:rsid w:val="006273DF"/>
    <w:rsid w:val="00632081"/>
    <w:rsid w:val="006329B4"/>
    <w:rsid w:val="00634595"/>
    <w:rsid w:val="00635927"/>
    <w:rsid w:val="00640E01"/>
    <w:rsid w:val="00640EA4"/>
    <w:rsid w:val="00643E65"/>
    <w:rsid w:val="00650A6A"/>
    <w:rsid w:val="00651B16"/>
    <w:rsid w:val="00654536"/>
    <w:rsid w:val="00657745"/>
    <w:rsid w:val="00660837"/>
    <w:rsid w:val="00662DBA"/>
    <w:rsid w:val="006652DE"/>
    <w:rsid w:val="00666C44"/>
    <w:rsid w:val="006705C5"/>
    <w:rsid w:val="00670644"/>
    <w:rsid w:val="00674663"/>
    <w:rsid w:val="00682342"/>
    <w:rsid w:val="00682B51"/>
    <w:rsid w:val="00683CBD"/>
    <w:rsid w:val="006866AC"/>
    <w:rsid w:val="006872BC"/>
    <w:rsid w:val="00690CD8"/>
    <w:rsid w:val="00692422"/>
    <w:rsid w:val="00692DF2"/>
    <w:rsid w:val="006942D4"/>
    <w:rsid w:val="00695836"/>
    <w:rsid w:val="00696F15"/>
    <w:rsid w:val="006A1FBB"/>
    <w:rsid w:val="006A4465"/>
    <w:rsid w:val="006A5282"/>
    <w:rsid w:val="006A6FEF"/>
    <w:rsid w:val="006B36EB"/>
    <w:rsid w:val="006B5621"/>
    <w:rsid w:val="006C22AC"/>
    <w:rsid w:val="006C24F6"/>
    <w:rsid w:val="006C2896"/>
    <w:rsid w:val="006C2A5E"/>
    <w:rsid w:val="006C3240"/>
    <w:rsid w:val="006D2EF7"/>
    <w:rsid w:val="006D3DC6"/>
    <w:rsid w:val="006D4734"/>
    <w:rsid w:val="006D5513"/>
    <w:rsid w:val="006D7FDD"/>
    <w:rsid w:val="006E07D6"/>
    <w:rsid w:val="006E34B9"/>
    <w:rsid w:val="006E44C3"/>
    <w:rsid w:val="006E5540"/>
    <w:rsid w:val="006E6031"/>
    <w:rsid w:val="006F0F7D"/>
    <w:rsid w:val="006F195E"/>
    <w:rsid w:val="006F2083"/>
    <w:rsid w:val="006F2587"/>
    <w:rsid w:val="006F2B98"/>
    <w:rsid w:val="007013EA"/>
    <w:rsid w:val="007034D6"/>
    <w:rsid w:val="00706635"/>
    <w:rsid w:val="00707B86"/>
    <w:rsid w:val="007113F4"/>
    <w:rsid w:val="00711E71"/>
    <w:rsid w:val="00711F4D"/>
    <w:rsid w:val="00713F4F"/>
    <w:rsid w:val="007162AA"/>
    <w:rsid w:val="00722CE2"/>
    <w:rsid w:val="00723BBC"/>
    <w:rsid w:val="00731136"/>
    <w:rsid w:val="00731F36"/>
    <w:rsid w:val="00732815"/>
    <w:rsid w:val="0073354F"/>
    <w:rsid w:val="00733A69"/>
    <w:rsid w:val="0074095C"/>
    <w:rsid w:val="00741311"/>
    <w:rsid w:val="00741EFD"/>
    <w:rsid w:val="00742E54"/>
    <w:rsid w:val="00743545"/>
    <w:rsid w:val="0074577B"/>
    <w:rsid w:val="00751104"/>
    <w:rsid w:val="00751C28"/>
    <w:rsid w:val="0075358C"/>
    <w:rsid w:val="00755262"/>
    <w:rsid w:val="00755795"/>
    <w:rsid w:val="0075598F"/>
    <w:rsid w:val="00755FE4"/>
    <w:rsid w:val="0075739F"/>
    <w:rsid w:val="00763494"/>
    <w:rsid w:val="00765303"/>
    <w:rsid w:val="00765AC9"/>
    <w:rsid w:val="00766559"/>
    <w:rsid w:val="007678B4"/>
    <w:rsid w:val="007707B1"/>
    <w:rsid w:val="00776AC0"/>
    <w:rsid w:val="0077778C"/>
    <w:rsid w:val="00783F48"/>
    <w:rsid w:val="00785012"/>
    <w:rsid w:val="007868A9"/>
    <w:rsid w:val="007875EA"/>
    <w:rsid w:val="00791347"/>
    <w:rsid w:val="0079150D"/>
    <w:rsid w:val="00791958"/>
    <w:rsid w:val="007941F6"/>
    <w:rsid w:val="007A4013"/>
    <w:rsid w:val="007A434A"/>
    <w:rsid w:val="007A495A"/>
    <w:rsid w:val="007A4B5B"/>
    <w:rsid w:val="007B0612"/>
    <w:rsid w:val="007C14DB"/>
    <w:rsid w:val="007C442D"/>
    <w:rsid w:val="007C52CF"/>
    <w:rsid w:val="007C641F"/>
    <w:rsid w:val="007C75EE"/>
    <w:rsid w:val="007D1C33"/>
    <w:rsid w:val="007D34A8"/>
    <w:rsid w:val="007D3951"/>
    <w:rsid w:val="007D5454"/>
    <w:rsid w:val="007D5BE2"/>
    <w:rsid w:val="007D76D5"/>
    <w:rsid w:val="007E03F6"/>
    <w:rsid w:val="007E6215"/>
    <w:rsid w:val="007F036E"/>
    <w:rsid w:val="007F0902"/>
    <w:rsid w:val="007F1A3F"/>
    <w:rsid w:val="007F1F25"/>
    <w:rsid w:val="007F3497"/>
    <w:rsid w:val="007F3705"/>
    <w:rsid w:val="007F3BED"/>
    <w:rsid w:val="007F5C96"/>
    <w:rsid w:val="008044AE"/>
    <w:rsid w:val="00804DFF"/>
    <w:rsid w:val="008052FC"/>
    <w:rsid w:val="0080537D"/>
    <w:rsid w:val="00807477"/>
    <w:rsid w:val="008111DE"/>
    <w:rsid w:val="00811B97"/>
    <w:rsid w:val="00814CDB"/>
    <w:rsid w:val="008157F1"/>
    <w:rsid w:val="008162E0"/>
    <w:rsid w:val="00817D25"/>
    <w:rsid w:val="00821ABB"/>
    <w:rsid w:val="0082212C"/>
    <w:rsid w:val="00822B23"/>
    <w:rsid w:val="008233D2"/>
    <w:rsid w:val="0082370E"/>
    <w:rsid w:val="00823787"/>
    <w:rsid w:val="00825B02"/>
    <w:rsid w:val="00825CD7"/>
    <w:rsid w:val="00826735"/>
    <w:rsid w:val="008307C9"/>
    <w:rsid w:val="00830D40"/>
    <w:rsid w:val="008329FC"/>
    <w:rsid w:val="00835300"/>
    <w:rsid w:val="008375DA"/>
    <w:rsid w:val="0084056A"/>
    <w:rsid w:val="008409DD"/>
    <w:rsid w:val="00841665"/>
    <w:rsid w:val="00843F09"/>
    <w:rsid w:val="008440D0"/>
    <w:rsid w:val="00845823"/>
    <w:rsid w:val="00852818"/>
    <w:rsid w:val="008528E0"/>
    <w:rsid w:val="00854284"/>
    <w:rsid w:val="008556A2"/>
    <w:rsid w:val="00857D9A"/>
    <w:rsid w:val="00861EAB"/>
    <w:rsid w:val="008623FF"/>
    <w:rsid w:val="00863B24"/>
    <w:rsid w:val="00863B9D"/>
    <w:rsid w:val="008700D7"/>
    <w:rsid w:val="008704AB"/>
    <w:rsid w:val="008777A1"/>
    <w:rsid w:val="008800A9"/>
    <w:rsid w:val="00880DC9"/>
    <w:rsid w:val="0088115C"/>
    <w:rsid w:val="00883C70"/>
    <w:rsid w:val="008857D3"/>
    <w:rsid w:val="00886094"/>
    <w:rsid w:val="00887292"/>
    <w:rsid w:val="00890E88"/>
    <w:rsid w:val="008915E8"/>
    <w:rsid w:val="00892B18"/>
    <w:rsid w:val="00893041"/>
    <w:rsid w:val="0089391C"/>
    <w:rsid w:val="00895338"/>
    <w:rsid w:val="008A05C7"/>
    <w:rsid w:val="008A0967"/>
    <w:rsid w:val="008A18A6"/>
    <w:rsid w:val="008A41A8"/>
    <w:rsid w:val="008A4386"/>
    <w:rsid w:val="008A4472"/>
    <w:rsid w:val="008B2825"/>
    <w:rsid w:val="008B31BE"/>
    <w:rsid w:val="008B419C"/>
    <w:rsid w:val="008C1170"/>
    <w:rsid w:val="008D0A26"/>
    <w:rsid w:val="008D2E8B"/>
    <w:rsid w:val="008D3316"/>
    <w:rsid w:val="008D35C0"/>
    <w:rsid w:val="008D3670"/>
    <w:rsid w:val="008D6E70"/>
    <w:rsid w:val="008D78F7"/>
    <w:rsid w:val="008E106E"/>
    <w:rsid w:val="008E301D"/>
    <w:rsid w:val="008E37B9"/>
    <w:rsid w:val="008E40E1"/>
    <w:rsid w:val="008E65A3"/>
    <w:rsid w:val="008E6E35"/>
    <w:rsid w:val="008F024C"/>
    <w:rsid w:val="008F179B"/>
    <w:rsid w:val="008F17CC"/>
    <w:rsid w:val="008F6B77"/>
    <w:rsid w:val="0090095F"/>
    <w:rsid w:val="009016B7"/>
    <w:rsid w:val="00905935"/>
    <w:rsid w:val="00910098"/>
    <w:rsid w:val="00910345"/>
    <w:rsid w:val="00910564"/>
    <w:rsid w:val="00911C11"/>
    <w:rsid w:val="00914C4D"/>
    <w:rsid w:val="00916BD7"/>
    <w:rsid w:val="00917394"/>
    <w:rsid w:val="00926799"/>
    <w:rsid w:val="0092744E"/>
    <w:rsid w:val="009331AF"/>
    <w:rsid w:val="00933F04"/>
    <w:rsid w:val="0093606F"/>
    <w:rsid w:val="009406C5"/>
    <w:rsid w:val="00941780"/>
    <w:rsid w:val="009424A2"/>
    <w:rsid w:val="0094313A"/>
    <w:rsid w:val="0094361A"/>
    <w:rsid w:val="00947606"/>
    <w:rsid w:val="00947C5F"/>
    <w:rsid w:val="0095151E"/>
    <w:rsid w:val="009549A1"/>
    <w:rsid w:val="009559E0"/>
    <w:rsid w:val="00956E00"/>
    <w:rsid w:val="00956F81"/>
    <w:rsid w:val="009640E3"/>
    <w:rsid w:val="009659F4"/>
    <w:rsid w:val="00965AF1"/>
    <w:rsid w:val="00965E01"/>
    <w:rsid w:val="00966651"/>
    <w:rsid w:val="00966E95"/>
    <w:rsid w:val="009726CF"/>
    <w:rsid w:val="00973764"/>
    <w:rsid w:val="00977ED9"/>
    <w:rsid w:val="00982847"/>
    <w:rsid w:val="009849D7"/>
    <w:rsid w:val="0098587A"/>
    <w:rsid w:val="00987115"/>
    <w:rsid w:val="009A2BB8"/>
    <w:rsid w:val="009A2CFA"/>
    <w:rsid w:val="009A757C"/>
    <w:rsid w:val="009A7EE5"/>
    <w:rsid w:val="009B0791"/>
    <w:rsid w:val="009B28E4"/>
    <w:rsid w:val="009B5989"/>
    <w:rsid w:val="009C225F"/>
    <w:rsid w:val="009C33CB"/>
    <w:rsid w:val="009D0145"/>
    <w:rsid w:val="009D0AA1"/>
    <w:rsid w:val="009D305C"/>
    <w:rsid w:val="009D3FE0"/>
    <w:rsid w:val="009D4364"/>
    <w:rsid w:val="009D487C"/>
    <w:rsid w:val="009D5863"/>
    <w:rsid w:val="009E1062"/>
    <w:rsid w:val="009E34A7"/>
    <w:rsid w:val="009E3A75"/>
    <w:rsid w:val="009E5D79"/>
    <w:rsid w:val="00A00A7E"/>
    <w:rsid w:val="00A01019"/>
    <w:rsid w:val="00A01D8D"/>
    <w:rsid w:val="00A02476"/>
    <w:rsid w:val="00A0694E"/>
    <w:rsid w:val="00A06C0A"/>
    <w:rsid w:val="00A06E0C"/>
    <w:rsid w:val="00A07B43"/>
    <w:rsid w:val="00A10A57"/>
    <w:rsid w:val="00A1398E"/>
    <w:rsid w:val="00A22479"/>
    <w:rsid w:val="00A24250"/>
    <w:rsid w:val="00A24AB2"/>
    <w:rsid w:val="00A26D80"/>
    <w:rsid w:val="00A30230"/>
    <w:rsid w:val="00A307A8"/>
    <w:rsid w:val="00A308AE"/>
    <w:rsid w:val="00A35ED4"/>
    <w:rsid w:val="00A42254"/>
    <w:rsid w:val="00A42CCB"/>
    <w:rsid w:val="00A46AA3"/>
    <w:rsid w:val="00A46B8F"/>
    <w:rsid w:val="00A46C1D"/>
    <w:rsid w:val="00A47D82"/>
    <w:rsid w:val="00A52ED8"/>
    <w:rsid w:val="00A540A8"/>
    <w:rsid w:val="00A54C1E"/>
    <w:rsid w:val="00A56845"/>
    <w:rsid w:val="00A56FEF"/>
    <w:rsid w:val="00A61C28"/>
    <w:rsid w:val="00A63BEF"/>
    <w:rsid w:val="00A65850"/>
    <w:rsid w:val="00A66880"/>
    <w:rsid w:val="00A7024D"/>
    <w:rsid w:val="00A70261"/>
    <w:rsid w:val="00A7065A"/>
    <w:rsid w:val="00A72EDD"/>
    <w:rsid w:val="00A74214"/>
    <w:rsid w:val="00A761DA"/>
    <w:rsid w:val="00A7734C"/>
    <w:rsid w:val="00A814B4"/>
    <w:rsid w:val="00A84819"/>
    <w:rsid w:val="00A90D19"/>
    <w:rsid w:val="00A916A7"/>
    <w:rsid w:val="00A92F7B"/>
    <w:rsid w:val="00A93415"/>
    <w:rsid w:val="00A9541E"/>
    <w:rsid w:val="00A9584E"/>
    <w:rsid w:val="00A961B1"/>
    <w:rsid w:val="00A9650B"/>
    <w:rsid w:val="00AA0724"/>
    <w:rsid w:val="00AA2399"/>
    <w:rsid w:val="00AA3805"/>
    <w:rsid w:val="00AA5598"/>
    <w:rsid w:val="00AA5A68"/>
    <w:rsid w:val="00AA625E"/>
    <w:rsid w:val="00AB1EB6"/>
    <w:rsid w:val="00AB227C"/>
    <w:rsid w:val="00AB240D"/>
    <w:rsid w:val="00AB272D"/>
    <w:rsid w:val="00AB72B8"/>
    <w:rsid w:val="00AB7878"/>
    <w:rsid w:val="00AC01E0"/>
    <w:rsid w:val="00AC0E7D"/>
    <w:rsid w:val="00AC2FD4"/>
    <w:rsid w:val="00AC3633"/>
    <w:rsid w:val="00AC4538"/>
    <w:rsid w:val="00AC655B"/>
    <w:rsid w:val="00AD0D3D"/>
    <w:rsid w:val="00AD1631"/>
    <w:rsid w:val="00AD6E48"/>
    <w:rsid w:val="00AE0E8E"/>
    <w:rsid w:val="00AE0F5E"/>
    <w:rsid w:val="00AE166D"/>
    <w:rsid w:val="00AE3132"/>
    <w:rsid w:val="00AE341F"/>
    <w:rsid w:val="00AE47FA"/>
    <w:rsid w:val="00AE5B27"/>
    <w:rsid w:val="00AF12A1"/>
    <w:rsid w:val="00AF134A"/>
    <w:rsid w:val="00AF1843"/>
    <w:rsid w:val="00AF6AA0"/>
    <w:rsid w:val="00AF7F8D"/>
    <w:rsid w:val="00B00BA5"/>
    <w:rsid w:val="00B02846"/>
    <w:rsid w:val="00B03100"/>
    <w:rsid w:val="00B055F9"/>
    <w:rsid w:val="00B05EAC"/>
    <w:rsid w:val="00B06382"/>
    <w:rsid w:val="00B0707A"/>
    <w:rsid w:val="00B15623"/>
    <w:rsid w:val="00B15ADE"/>
    <w:rsid w:val="00B17E7E"/>
    <w:rsid w:val="00B21C1B"/>
    <w:rsid w:val="00B21F02"/>
    <w:rsid w:val="00B2311E"/>
    <w:rsid w:val="00B25590"/>
    <w:rsid w:val="00B257F2"/>
    <w:rsid w:val="00B27527"/>
    <w:rsid w:val="00B2785A"/>
    <w:rsid w:val="00B27BE3"/>
    <w:rsid w:val="00B338A9"/>
    <w:rsid w:val="00B33F1B"/>
    <w:rsid w:val="00B34D66"/>
    <w:rsid w:val="00B409B9"/>
    <w:rsid w:val="00B430F3"/>
    <w:rsid w:val="00B431C9"/>
    <w:rsid w:val="00B501DD"/>
    <w:rsid w:val="00B506AC"/>
    <w:rsid w:val="00B51349"/>
    <w:rsid w:val="00B532E2"/>
    <w:rsid w:val="00B53F27"/>
    <w:rsid w:val="00B540A5"/>
    <w:rsid w:val="00B54797"/>
    <w:rsid w:val="00B60258"/>
    <w:rsid w:val="00B60AF4"/>
    <w:rsid w:val="00B62E19"/>
    <w:rsid w:val="00B67E0E"/>
    <w:rsid w:val="00B70EEE"/>
    <w:rsid w:val="00B71131"/>
    <w:rsid w:val="00B73A84"/>
    <w:rsid w:val="00B742FC"/>
    <w:rsid w:val="00B80D79"/>
    <w:rsid w:val="00B832E1"/>
    <w:rsid w:val="00B83F83"/>
    <w:rsid w:val="00B920CA"/>
    <w:rsid w:val="00B92376"/>
    <w:rsid w:val="00B976B8"/>
    <w:rsid w:val="00BA45A2"/>
    <w:rsid w:val="00BA54F9"/>
    <w:rsid w:val="00BA7F57"/>
    <w:rsid w:val="00BB1D7D"/>
    <w:rsid w:val="00BB1EA7"/>
    <w:rsid w:val="00BB5019"/>
    <w:rsid w:val="00BB6167"/>
    <w:rsid w:val="00BB680F"/>
    <w:rsid w:val="00BC3400"/>
    <w:rsid w:val="00BC3B41"/>
    <w:rsid w:val="00BC68AD"/>
    <w:rsid w:val="00BC6A5B"/>
    <w:rsid w:val="00BC7FDF"/>
    <w:rsid w:val="00BD0990"/>
    <w:rsid w:val="00BD473B"/>
    <w:rsid w:val="00BE34D5"/>
    <w:rsid w:val="00BE3872"/>
    <w:rsid w:val="00BE625A"/>
    <w:rsid w:val="00BF1EF7"/>
    <w:rsid w:val="00BF45E6"/>
    <w:rsid w:val="00BF4F93"/>
    <w:rsid w:val="00BF6EB6"/>
    <w:rsid w:val="00BF77E4"/>
    <w:rsid w:val="00C00BC2"/>
    <w:rsid w:val="00C02535"/>
    <w:rsid w:val="00C04386"/>
    <w:rsid w:val="00C04F6D"/>
    <w:rsid w:val="00C059AE"/>
    <w:rsid w:val="00C06F6E"/>
    <w:rsid w:val="00C11FD7"/>
    <w:rsid w:val="00C12499"/>
    <w:rsid w:val="00C12529"/>
    <w:rsid w:val="00C1276D"/>
    <w:rsid w:val="00C15847"/>
    <w:rsid w:val="00C15E49"/>
    <w:rsid w:val="00C1614F"/>
    <w:rsid w:val="00C20285"/>
    <w:rsid w:val="00C20AC9"/>
    <w:rsid w:val="00C225AD"/>
    <w:rsid w:val="00C22606"/>
    <w:rsid w:val="00C273FC"/>
    <w:rsid w:val="00C27636"/>
    <w:rsid w:val="00C27932"/>
    <w:rsid w:val="00C314BB"/>
    <w:rsid w:val="00C3167D"/>
    <w:rsid w:val="00C3325C"/>
    <w:rsid w:val="00C333AE"/>
    <w:rsid w:val="00C34380"/>
    <w:rsid w:val="00C4002D"/>
    <w:rsid w:val="00C4110A"/>
    <w:rsid w:val="00C42CEA"/>
    <w:rsid w:val="00C44805"/>
    <w:rsid w:val="00C451B2"/>
    <w:rsid w:val="00C5178C"/>
    <w:rsid w:val="00C52895"/>
    <w:rsid w:val="00C578E6"/>
    <w:rsid w:val="00C60397"/>
    <w:rsid w:val="00C606EF"/>
    <w:rsid w:val="00C65374"/>
    <w:rsid w:val="00C65383"/>
    <w:rsid w:val="00C7157F"/>
    <w:rsid w:val="00C71A0C"/>
    <w:rsid w:val="00C75586"/>
    <w:rsid w:val="00C76DBD"/>
    <w:rsid w:val="00C8213D"/>
    <w:rsid w:val="00C83F50"/>
    <w:rsid w:val="00C84F3D"/>
    <w:rsid w:val="00C863BC"/>
    <w:rsid w:val="00C86D92"/>
    <w:rsid w:val="00C9249A"/>
    <w:rsid w:val="00C93770"/>
    <w:rsid w:val="00C940BA"/>
    <w:rsid w:val="00C95E26"/>
    <w:rsid w:val="00CA19B6"/>
    <w:rsid w:val="00CA1F74"/>
    <w:rsid w:val="00CB071B"/>
    <w:rsid w:val="00CB4794"/>
    <w:rsid w:val="00CC4114"/>
    <w:rsid w:val="00CC6002"/>
    <w:rsid w:val="00CC6613"/>
    <w:rsid w:val="00CC788D"/>
    <w:rsid w:val="00CC7C70"/>
    <w:rsid w:val="00CD2B32"/>
    <w:rsid w:val="00CD47D8"/>
    <w:rsid w:val="00CD5CAF"/>
    <w:rsid w:val="00CD5DB9"/>
    <w:rsid w:val="00CD68DD"/>
    <w:rsid w:val="00CD6930"/>
    <w:rsid w:val="00CD6E0A"/>
    <w:rsid w:val="00CE2FB7"/>
    <w:rsid w:val="00CE5144"/>
    <w:rsid w:val="00D040DB"/>
    <w:rsid w:val="00D04B5D"/>
    <w:rsid w:val="00D0540D"/>
    <w:rsid w:val="00D079D4"/>
    <w:rsid w:val="00D1007E"/>
    <w:rsid w:val="00D12726"/>
    <w:rsid w:val="00D13F22"/>
    <w:rsid w:val="00D15083"/>
    <w:rsid w:val="00D2413C"/>
    <w:rsid w:val="00D24531"/>
    <w:rsid w:val="00D26437"/>
    <w:rsid w:val="00D3013B"/>
    <w:rsid w:val="00D3185F"/>
    <w:rsid w:val="00D3208A"/>
    <w:rsid w:val="00D35571"/>
    <w:rsid w:val="00D37706"/>
    <w:rsid w:val="00D408C3"/>
    <w:rsid w:val="00D42966"/>
    <w:rsid w:val="00D444A0"/>
    <w:rsid w:val="00D44FC2"/>
    <w:rsid w:val="00D47BFE"/>
    <w:rsid w:val="00D51117"/>
    <w:rsid w:val="00D51550"/>
    <w:rsid w:val="00D52A80"/>
    <w:rsid w:val="00D537B5"/>
    <w:rsid w:val="00D5473A"/>
    <w:rsid w:val="00D633FB"/>
    <w:rsid w:val="00D63D54"/>
    <w:rsid w:val="00D64184"/>
    <w:rsid w:val="00D64C20"/>
    <w:rsid w:val="00D66D4D"/>
    <w:rsid w:val="00D72305"/>
    <w:rsid w:val="00D72917"/>
    <w:rsid w:val="00D72947"/>
    <w:rsid w:val="00D72B40"/>
    <w:rsid w:val="00D76AFD"/>
    <w:rsid w:val="00D76E33"/>
    <w:rsid w:val="00D83A04"/>
    <w:rsid w:val="00D867BF"/>
    <w:rsid w:val="00D918E9"/>
    <w:rsid w:val="00D96708"/>
    <w:rsid w:val="00D97D1F"/>
    <w:rsid w:val="00DA03CC"/>
    <w:rsid w:val="00DA06E9"/>
    <w:rsid w:val="00DA3FE9"/>
    <w:rsid w:val="00DA527E"/>
    <w:rsid w:val="00DA5E05"/>
    <w:rsid w:val="00DA6072"/>
    <w:rsid w:val="00DA6808"/>
    <w:rsid w:val="00DB0C4B"/>
    <w:rsid w:val="00DB1778"/>
    <w:rsid w:val="00DB1EE8"/>
    <w:rsid w:val="00DB3AF4"/>
    <w:rsid w:val="00DB4BB7"/>
    <w:rsid w:val="00DB4DE0"/>
    <w:rsid w:val="00DB5B32"/>
    <w:rsid w:val="00DB619C"/>
    <w:rsid w:val="00DB658F"/>
    <w:rsid w:val="00DB7015"/>
    <w:rsid w:val="00DB70B8"/>
    <w:rsid w:val="00DC14D3"/>
    <w:rsid w:val="00DD1D14"/>
    <w:rsid w:val="00DD1F7D"/>
    <w:rsid w:val="00DD37E9"/>
    <w:rsid w:val="00DD6665"/>
    <w:rsid w:val="00DD752B"/>
    <w:rsid w:val="00DD792B"/>
    <w:rsid w:val="00DD7FD0"/>
    <w:rsid w:val="00DE0545"/>
    <w:rsid w:val="00DE0F88"/>
    <w:rsid w:val="00DE27FE"/>
    <w:rsid w:val="00DE2C7A"/>
    <w:rsid w:val="00DE3A14"/>
    <w:rsid w:val="00DE669D"/>
    <w:rsid w:val="00DF0CD3"/>
    <w:rsid w:val="00DF4021"/>
    <w:rsid w:val="00DF405F"/>
    <w:rsid w:val="00DF453C"/>
    <w:rsid w:val="00DF4D42"/>
    <w:rsid w:val="00DF58AD"/>
    <w:rsid w:val="00DF645D"/>
    <w:rsid w:val="00E0079D"/>
    <w:rsid w:val="00E01C41"/>
    <w:rsid w:val="00E01DB3"/>
    <w:rsid w:val="00E04180"/>
    <w:rsid w:val="00E058C2"/>
    <w:rsid w:val="00E07DD1"/>
    <w:rsid w:val="00E10221"/>
    <w:rsid w:val="00E105BD"/>
    <w:rsid w:val="00E124EE"/>
    <w:rsid w:val="00E156AF"/>
    <w:rsid w:val="00E23469"/>
    <w:rsid w:val="00E2381E"/>
    <w:rsid w:val="00E245E4"/>
    <w:rsid w:val="00E266A7"/>
    <w:rsid w:val="00E369CE"/>
    <w:rsid w:val="00E410D6"/>
    <w:rsid w:val="00E50840"/>
    <w:rsid w:val="00E50951"/>
    <w:rsid w:val="00E571F1"/>
    <w:rsid w:val="00E574FB"/>
    <w:rsid w:val="00E60B05"/>
    <w:rsid w:val="00E65740"/>
    <w:rsid w:val="00E66639"/>
    <w:rsid w:val="00E67E4D"/>
    <w:rsid w:val="00E7099D"/>
    <w:rsid w:val="00E70FB6"/>
    <w:rsid w:val="00E71283"/>
    <w:rsid w:val="00E7375B"/>
    <w:rsid w:val="00E80F03"/>
    <w:rsid w:val="00E83331"/>
    <w:rsid w:val="00E85946"/>
    <w:rsid w:val="00E907DC"/>
    <w:rsid w:val="00E91642"/>
    <w:rsid w:val="00E92DFF"/>
    <w:rsid w:val="00E949A2"/>
    <w:rsid w:val="00EA6F08"/>
    <w:rsid w:val="00EA760C"/>
    <w:rsid w:val="00EB0340"/>
    <w:rsid w:val="00EB0882"/>
    <w:rsid w:val="00EB4783"/>
    <w:rsid w:val="00EB4ABD"/>
    <w:rsid w:val="00EB5BD2"/>
    <w:rsid w:val="00EC6334"/>
    <w:rsid w:val="00EC791F"/>
    <w:rsid w:val="00ED1DD0"/>
    <w:rsid w:val="00ED201F"/>
    <w:rsid w:val="00ED356A"/>
    <w:rsid w:val="00ED4F37"/>
    <w:rsid w:val="00EE4A30"/>
    <w:rsid w:val="00EE570E"/>
    <w:rsid w:val="00EE5B55"/>
    <w:rsid w:val="00EE5BCD"/>
    <w:rsid w:val="00EE74BB"/>
    <w:rsid w:val="00EE7F5A"/>
    <w:rsid w:val="00EF0A68"/>
    <w:rsid w:val="00EF0AFF"/>
    <w:rsid w:val="00EF2E71"/>
    <w:rsid w:val="00EF32F0"/>
    <w:rsid w:val="00EF5100"/>
    <w:rsid w:val="00EF5F9D"/>
    <w:rsid w:val="00EF63B2"/>
    <w:rsid w:val="00EF66C7"/>
    <w:rsid w:val="00EF775F"/>
    <w:rsid w:val="00F024E3"/>
    <w:rsid w:val="00F025DB"/>
    <w:rsid w:val="00F03263"/>
    <w:rsid w:val="00F03AEC"/>
    <w:rsid w:val="00F03DDA"/>
    <w:rsid w:val="00F05C89"/>
    <w:rsid w:val="00F1348E"/>
    <w:rsid w:val="00F13920"/>
    <w:rsid w:val="00F159EA"/>
    <w:rsid w:val="00F20511"/>
    <w:rsid w:val="00F2137C"/>
    <w:rsid w:val="00F2658B"/>
    <w:rsid w:val="00F26DFD"/>
    <w:rsid w:val="00F27B76"/>
    <w:rsid w:val="00F35760"/>
    <w:rsid w:val="00F36062"/>
    <w:rsid w:val="00F361F5"/>
    <w:rsid w:val="00F37876"/>
    <w:rsid w:val="00F40178"/>
    <w:rsid w:val="00F459DF"/>
    <w:rsid w:val="00F45CAF"/>
    <w:rsid w:val="00F4748D"/>
    <w:rsid w:val="00F51365"/>
    <w:rsid w:val="00F52452"/>
    <w:rsid w:val="00F52793"/>
    <w:rsid w:val="00F60521"/>
    <w:rsid w:val="00F613F9"/>
    <w:rsid w:val="00F61CBB"/>
    <w:rsid w:val="00F630E1"/>
    <w:rsid w:val="00F63298"/>
    <w:rsid w:val="00F66798"/>
    <w:rsid w:val="00F67A2F"/>
    <w:rsid w:val="00F71860"/>
    <w:rsid w:val="00F73A0A"/>
    <w:rsid w:val="00F73DAA"/>
    <w:rsid w:val="00F807D6"/>
    <w:rsid w:val="00F82716"/>
    <w:rsid w:val="00F8283B"/>
    <w:rsid w:val="00F83095"/>
    <w:rsid w:val="00F83231"/>
    <w:rsid w:val="00F843F3"/>
    <w:rsid w:val="00F9021C"/>
    <w:rsid w:val="00F90FDD"/>
    <w:rsid w:val="00F936F1"/>
    <w:rsid w:val="00F93F8F"/>
    <w:rsid w:val="00F94A53"/>
    <w:rsid w:val="00F96C16"/>
    <w:rsid w:val="00F97FE3"/>
    <w:rsid w:val="00FA054A"/>
    <w:rsid w:val="00FA380B"/>
    <w:rsid w:val="00FA38EC"/>
    <w:rsid w:val="00FA7D23"/>
    <w:rsid w:val="00FB0171"/>
    <w:rsid w:val="00FB2922"/>
    <w:rsid w:val="00FB2C84"/>
    <w:rsid w:val="00FB4646"/>
    <w:rsid w:val="00FB547F"/>
    <w:rsid w:val="00FB59D3"/>
    <w:rsid w:val="00FC4EAA"/>
    <w:rsid w:val="00FC5F77"/>
    <w:rsid w:val="00FC6287"/>
    <w:rsid w:val="00FD153E"/>
    <w:rsid w:val="00FD3BB6"/>
    <w:rsid w:val="00FD6340"/>
    <w:rsid w:val="00FE50D5"/>
    <w:rsid w:val="00FE5924"/>
    <w:rsid w:val="00FE661F"/>
    <w:rsid w:val="00FF20D7"/>
    <w:rsid w:val="00FF687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1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E6215"/>
    <w:pPr>
      <w:spacing w:line="240" w:lineRule="exact"/>
    </w:pPr>
    <w:rPr>
      <w:rFonts w:ascii="Verdana" w:hAnsi="Verdana"/>
      <w:sz w:val="18"/>
    </w:rPr>
  </w:style>
  <w:style w:type="paragraph" w:styleId="Kop1">
    <w:name w:val="heading 1"/>
    <w:basedOn w:val="Standaard"/>
    <w:next w:val="Standaard"/>
    <w:link w:val="Kop1Char"/>
    <w:uiPriority w:val="9"/>
    <w:rsid w:val="00DA3FE9"/>
    <w:pPr>
      <w:keepNext/>
      <w:keepLines/>
      <w:numPr>
        <w:numId w:val="2"/>
      </w:numPr>
      <w:tabs>
        <w:tab w:val="left" w:pos="0"/>
      </w:tabs>
      <w:spacing w:line="300" w:lineRule="exact"/>
      <w:ind w:left="-777" w:hanging="357"/>
      <w:outlineLvl w:val="0"/>
    </w:pPr>
    <w:rPr>
      <w:rFonts w:eastAsiaTheme="majorEastAsia" w:cs="Mangal"/>
      <w:bCs/>
      <w:color w:val="000000" w:themeColor="text1"/>
      <w:szCs w:val="25"/>
    </w:rPr>
  </w:style>
  <w:style w:type="paragraph" w:styleId="Kop2">
    <w:name w:val="heading 2"/>
    <w:basedOn w:val="Standaard"/>
    <w:next w:val="Standaard"/>
    <w:link w:val="Kop2Char"/>
    <w:uiPriority w:val="9"/>
    <w:unhideWhenUsed/>
    <w:rsid w:val="00DA3FE9"/>
    <w:pPr>
      <w:keepNext/>
      <w:keepLines/>
      <w:numPr>
        <w:numId w:val="4"/>
      </w:numPr>
      <w:tabs>
        <w:tab w:val="left" w:pos="0"/>
      </w:tabs>
      <w:spacing w:before="200"/>
      <w:outlineLvl w:val="1"/>
    </w:pPr>
    <w:rPr>
      <w:rFonts w:eastAsiaTheme="majorEastAsia" w:cs="Mangal"/>
      <w:bCs/>
      <w:color w:val="000000" w:themeColor="text1"/>
      <w:szCs w:val="23"/>
    </w:rPr>
  </w:style>
  <w:style w:type="paragraph" w:styleId="Kop3">
    <w:name w:val="heading 3"/>
    <w:basedOn w:val="Standaard"/>
    <w:next w:val="Standaard"/>
    <w:link w:val="Kop3Char"/>
    <w:uiPriority w:val="9"/>
    <w:unhideWhenUsed/>
    <w:rsid w:val="00DA3FE9"/>
    <w:pPr>
      <w:keepNext/>
      <w:keepLines/>
      <w:spacing w:before="200"/>
      <w:outlineLvl w:val="2"/>
    </w:pPr>
    <w:rPr>
      <w:rFonts w:asciiTheme="majorHAnsi" w:eastAsiaTheme="majorEastAsia" w:hAnsiTheme="majorHAnsi" w:cs="Mangal"/>
      <w:b/>
      <w:bCs/>
      <w:color w:val="4F81BD" w:themeColor="accent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7E6215"/>
    <w:pPr>
      <w:keepNext/>
      <w:spacing w:before="240" w:after="120"/>
    </w:pPr>
    <w:rPr>
      <w:rFonts w:ascii="Arial" w:hAnsi="Arial"/>
      <w:sz w:val="28"/>
      <w:szCs w:val="28"/>
    </w:rPr>
  </w:style>
  <w:style w:type="paragraph" w:customStyle="1" w:styleId="Textbody">
    <w:name w:val="Text body"/>
    <w:basedOn w:val="Standaard"/>
    <w:rsid w:val="007E6215"/>
    <w:pPr>
      <w:spacing w:after="120"/>
    </w:pPr>
  </w:style>
  <w:style w:type="paragraph" w:styleId="Lijst">
    <w:name w:val="List"/>
    <w:basedOn w:val="Textbody"/>
    <w:rsid w:val="00DA3FE9"/>
  </w:style>
  <w:style w:type="paragraph" w:customStyle="1" w:styleId="Caption1">
    <w:name w:val="Caption1"/>
    <w:basedOn w:val="Standaard"/>
    <w:rsid w:val="007E6215"/>
    <w:pPr>
      <w:suppressLineNumbers/>
      <w:spacing w:before="120" w:after="120"/>
    </w:pPr>
    <w:rPr>
      <w:i/>
      <w:iCs/>
      <w:sz w:val="24"/>
    </w:rPr>
  </w:style>
  <w:style w:type="paragraph" w:customStyle="1" w:styleId="Index">
    <w:name w:val="Index"/>
    <w:basedOn w:val="Standaard"/>
    <w:rsid w:val="007E6215"/>
    <w:pPr>
      <w:suppressLineNumbers/>
    </w:pPr>
  </w:style>
  <w:style w:type="paragraph" w:customStyle="1" w:styleId="Heading11">
    <w:name w:val="Heading 11"/>
    <w:basedOn w:val="Heading"/>
    <w:next w:val="Textbody"/>
    <w:rsid w:val="00DA3FE9"/>
    <w:pPr>
      <w:pageBreakBefore/>
      <w:spacing w:before="340" w:after="170"/>
      <w:ind w:left="-850"/>
    </w:pPr>
    <w:rPr>
      <w:b/>
      <w:bCs/>
      <w:sz w:val="40"/>
    </w:rPr>
  </w:style>
  <w:style w:type="paragraph" w:customStyle="1" w:styleId="Heading21">
    <w:name w:val="Heading 21"/>
    <w:basedOn w:val="Heading"/>
    <w:next w:val="Textbody"/>
    <w:rsid w:val="00DA3FE9"/>
    <w:pPr>
      <w:spacing w:before="340" w:after="170"/>
      <w:ind w:left="-850"/>
    </w:pPr>
    <w:rPr>
      <w:b/>
      <w:bCs/>
      <w:i/>
      <w:iCs/>
      <w:sz w:val="32"/>
    </w:rPr>
  </w:style>
  <w:style w:type="paragraph" w:customStyle="1" w:styleId="Heading31">
    <w:name w:val="Heading 31"/>
    <w:basedOn w:val="Heading"/>
    <w:next w:val="Textbody"/>
    <w:rsid w:val="00DA3FE9"/>
    <w:pPr>
      <w:spacing w:before="340" w:after="170"/>
      <w:ind w:left="-850"/>
    </w:pPr>
    <w:rPr>
      <w:b/>
      <w:bCs/>
    </w:rPr>
  </w:style>
  <w:style w:type="paragraph" w:styleId="Titel">
    <w:name w:val="Title"/>
    <w:basedOn w:val="Heading"/>
    <w:next w:val="Subtitel"/>
    <w:rsid w:val="00DA3FE9"/>
    <w:rPr>
      <w:b/>
      <w:bCs/>
      <w:sz w:val="48"/>
      <w:szCs w:val="36"/>
    </w:rPr>
  </w:style>
  <w:style w:type="paragraph" w:styleId="Subtitel">
    <w:name w:val="Subtitle"/>
    <w:basedOn w:val="Heading"/>
    <w:next w:val="Textbody"/>
    <w:rsid w:val="00DA3FE9"/>
    <w:pPr>
      <w:jc w:val="center"/>
    </w:pPr>
    <w:rPr>
      <w:i/>
      <w:iCs/>
    </w:rPr>
  </w:style>
  <w:style w:type="paragraph" w:customStyle="1" w:styleId="ContentsHeading">
    <w:name w:val="Contents Heading"/>
    <w:basedOn w:val="Heading"/>
    <w:rsid w:val="00DA3FE9"/>
    <w:pPr>
      <w:suppressLineNumbers/>
    </w:pPr>
    <w:rPr>
      <w:b/>
      <w:bCs/>
      <w:sz w:val="36"/>
      <w:szCs w:val="32"/>
    </w:rPr>
  </w:style>
  <w:style w:type="paragraph" w:customStyle="1" w:styleId="Contents1">
    <w:name w:val="Contents 1"/>
    <w:basedOn w:val="Index"/>
    <w:rsid w:val="00DA3FE9"/>
    <w:pPr>
      <w:tabs>
        <w:tab w:val="right" w:leader="dot" w:pos="9637"/>
      </w:tabs>
      <w:spacing w:before="170"/>
    </w:pPr>
    <w:rPr>
      <w:sz w:val="26"/>
    </w:rPr>
  </w:style>
  <w:style w:type="paragraph" w:customStyle="1" w:styleId="Contents2">
    <w:name w:val="Contents 2"/>
    <w:basedOn w:val="Index"/>
    <w:rsid w:val="00DA3FE9"/>
    <w:pPr>
      <w:tabs>
        <w:tab w:val="right" w:leader="dot" w:pos="9637"/>
      </w:tabs>
      <w:spacing w:before="57"/>
      <w:ind w:left="283"/>
    </w:pPr>
  </w:style>
  <w:style w:type="paragraph" w:customStyle="1" w:styleId="Contents3">
    <w:name w:val="Contents 3"/>
    <w:basedOn w:val="Index"/>
    <w:rsid w:val="00DA3FE9"/>
    <w:pPr>
      <w:tabs>
        <w:tab w:val="right" w:leader="dot" w:pos="9921"/>
      </w:tabs>
      <w:ind w:left="850"/>
    </w:pPr>
  </w:style>
  <w:style w:type="paragraph" w:customStyle="1" w:styleId="TableContents">
    <w:name w:val="Table Contents"/>
    <w:basedOn w:val="Standaard"/>
    <w:rsid w:val="007E6215"/>
    <w:pPr>
      <w:suppressLineNumbers/>
    </w:pPr>
  </w:style>
  <w:style w:type="paragraph" w:customStyle="1" w:styleId="Huisstijl-Retouradres">
    <w:name w:val="Huisstijl - Retouradres"/>
    <w:basedOn w:val="Standaard"/>
    <w:next w:val="Huisstijl-Rubricering"/>
    <w:rsid w:val="007E6215"/>
    <w:pPr>
      <w:spacing w:after="283" w:line="180" w:lineRule="exact"/>
    </w:pPr>
    <w:rPr>
      <w:sz w:val="13"/>
    </w:rPr>
  </w:style>
  <w:style w:type="paragraph" w:customStyle="1" w:styleId="Huisstijl-Rubricering">
    <w:name w:val="Huisstijl - Rubricering"/>
    <w:basedOn w:val="Standaard"/>
    <w:next w:val="Huisstijl-Toezendgegevens"/>
    <w:rsid w:val="007E6215"/>
    <w:pPr>
      <w:spacing w:line="180" w:lineRule="exact"/>
    </w:pPr>
    <w:rPr>
      <w:b/>
      <w:smallCaps/>
      <w:sz w:val="16"/>
    </w:rPr>
  </w:style>
  <w:style w:type="paragraph" w:customStyle="1" w:styleId="Huisstijl-Toezendgegevens">
    <w:name w:val="Huisstijl - Toezendgegevens"/>
    <w:basedOn w:val="Standaard"/>
    <w:rsid w:val="007E6215"/>
  </w:style>
  <w:style w:type="paragraph" w:customStyle="1" w:styleId="Huisstijl-Datumenbetreft">
    <w:name w:val="Huisstijl - Datum en betreft"/>
    <w:basedOn w:val="Standaard"/>
    <w:rsid w:val="007E6215"/>
    <w:pPr>
      <w:tabs>
        <w:tab w:val="left" w:pos="1117"/>
      </w:tabs>
    </w:pPr>
  </w:style>
  <w:style w:type="paragraph" w:customStyle="1" w:styleId="Huisstijl-Aanhef">
    <w:name w:val="Huisstijl - Aanhef"/>
    <w:basedOn w:val="Standaard"/>
    <w:rsid w:val="007E6215"/>
    <w:pPr>
      <w:spacing w:before="280" w:after="240"/>
    </w:pPr>
  </w:style>
  <w:style w:type="paragraph" w:customStyle="1" w:styleId="Huisstijl-Slotzin">
    <w:name w:val="Huisstijl - Slotzin"/>
    <w:basedOn w:val="Standaard"/>
    <w:next w:val="Huisstijl-Ondertekening"/>
    <w:rsid w:val="007E6215"/>
    <w:pPr>
      <w:spacing w:before="240"/>
    </w:pPr>
  </w:style>
  <w:style w:type="paragraph" w:customStyle="1" w:styleId="Header1">
    <w:name w:val="Header1"/>
    <w:basedOn w:val="Standaard"/>
    <w:rsid w:val="007E6215"/>
    <w:pPr>
      <w:suppressLineNumbers/>
      <w:tabs>
        <w:tab w:val="center" w:pos="3742"/>
        <w:tab w:val="right" w:pos="7484"/>
      </w:tabs>
    </w:pPr>
  </w:style>
  <w:style w:type="paragraph" w:customStyle="1" w:styleId="Framecontents">
    <w:name w:val="Frame contents"/>
    <w:basedOn w:val="Textbody"/>
    <w:rsid w:val="00DA3FE9"/>
  </w:style>
  <w:style w:type="paragraph" w:customStyle="1" w:styleId="Huisstijl-Afzendgegevenskop">
    <w:name w:val="Huisstijl - Afzendgegevens kop"/>
    <w:basedOn w:val="Standaard"/>
    <w:rsid w:val="007E6215"/>
    <w:pPr>
      <w:spacing w:line="180" w:lineRule="exact"/>
    </w:pPr>
    <w:rPr>
      <w:b/>
      <w:sz w:val="13"/>
    </w:rPr>
  </w:style>
  <w:style w:type="paragraph" w:customStyle="1" w:styleId="Huisstijl-Afzendgegevens">
    <w:name w:val="Huisstijl - Afzendgegevens"/>
    <w:basedOn w:val="Standaard"/>
    <w:rsid w:val="007E6215"/>
    <w:pPr>
      <w:tabs>
        <w:tab w:val="left" w:pos="170"/>
      </w:tabs>
      <w:spacing w:line="180" w:lineRule="exact"/>
    </w:pPr>
    <w:rPr>
      <w:sz w:val="13"/>
    </w:rPr>
  </w:style>
  <w:style w:type="paragraph" w:customStyle="1" w:styleId="Huisstijl-AfzendgegevensW1">
    <w:name w:val="Huisstijl - Afzendgegevens W1"/>
    <w:basedOn w:val="Huisstijl-Afzendgegevens"/>
    <w:rsid w:val="00DA3FE9"/>
    <w:pPr>
      <w:spacing w:before="90"/>
    </w:pPr>
  </w:style>
  <w:style w:type="paragraph" w:customStyle="1" w:styleId="Huisstijl-ReferentiegegevenskopW1">
    <w:name w:val="Huisstijl - Referentiegegevens kop W1"/>
    <w:basedOn w:val="Standaard"/>
    <w:next w:val="Huisstijl-Referentiegegevens"/>
    <w:rsid w:val="007E6215"/>
    <w:pPr>
      <w:spacing w:before="90" w:line="180" w:lineRule="exact"/>
    </w:pPr>
    <w:rPr>
      <w:b/>
      <w:sz w:val="13"/>
    </w:rPr>
  </w:style>
  <w:style w:type="paragraph" w:customStyle="1" w:styleId="Huisstijl-Referentiegegevens">
    <w:name w:val="Huisstijl - Referentiegegevens"/>
    <w:basedOn w:val="Standaard"/>
    <w:rsid w:val="007E6215"/>
    <w:pPr>
      <w:spacing w:line="180" w:lineRule="exact"/>
    </w:pPr>
    <w:rPr>
      <w:sz w:val="13"/>
    </w:rPr>
  </w:style>
  <w:style w:type="paragraph" w:customStyle="1" w:styleId="Huisstijl-ReferentiegegevenskopW2">
    <w:name w:val="Huisstijl - Referentiegegevens kop W2"/>
    <w:basedOn w:val="Standaard"/>
    <w:next w:val="Huisstijl-Referentiegegevens"/>
    <w:rsid w:val="007E6215"/>
    <w:pPr>
      <w:spacing w:before="270" w:line="180" w:lineRule="exact"/>
    </w:pPr>
    <w:rPr>
      <w:b/>
      <w:sz w:val="13"/>
    </w:rPr>
  </w:style>
  <w:style w:type="paragraph" w:customStyle="1" w:styleId="Huisstijl-Algemenevoorwaarden">
    <w:name w:val="Huisstijl - Algemene voorwaarden"/>
    <w:basedOn w:val="Standaard"/>
    <w:rsid w:val="007E6215"/>
    <w:pPr>
      <w:spacing w:before="90" w:line="180" w:lineRule="exact"/>
    </w:pPr>
    <w:rPr>
      <w:i/>
      <w:sz w:val="13"/>
    </w:rPr>
  </w:style>
  <w:style w:type="paragraph" w:customStyle="1" w:styleId="Huisstijl-Ondertekening">
    <w:name w:val="Huisstijl - Ondertekening"/>
    <w:basedOn w:val="Standaard"/>
    <w:next w:val="Huisstijl-Ondertekeningvervolg"/>
    <w:rsid w:val="007E6215"/>
    <w:pPr>
      <w:spacing w:before="960"/>
    </w:pPr>
  </w:style>
  <w:style w:type="paragraph" w:customStyle="1" w:styleId="Huisstijl-Ondertekeningvervolg">
    <w:name w:val="Huisstijl - Ondertekening vervolg"/>
    <w:basedOn w:val="Huisstijl-Ondertekening"/>
    <w:rsid w:val="00DA3FE9"/>
    <w:pPr>
      <w:spacing w:before="0"/>
    </w:pPr>
  </w:style>
  <w:style w:type="paragraph" w:customStyle="1" w:styleId="Footer1">
    <w:name w:val="Footer1"/>
    <w:basedOn w:val="Standaard"/>
    <w:rsid w:val="007E6215"/>
    <w:pPr>
      <w:suppressLineNumbers/>
      <w:tabs>
        <w:tab w:val="center" w:pos="3742"/>
        <w:tab w:val="right" w:pos="7484"/>
      </w:tabs>
    </w:pPr>
  </w:style>
  <w:style w:type="paragraph" w:customStyle="1" w:styleId="Huisstijl-Paginanummer">
    <w:name w:val="Huisstijl - Paginanummer"/>
    <w:basedOn w:val="Standaard"/>
    <w:rsid w:val="007E6215"/>
    <w:pPr>
      <w:spacing w:line="240" w:lineRule="auto"/>
    </w:pPr>
    <w:rPr>
      <w:sz w:val="13"/>
    </w:rPr>
  </w:style>
  <w:style w:type="character" w:customStyle="1" w:styleId="Placeholder">
    <w:name w:val="Placeholder"/>
    <w:rsid w:val="00DA3FE9"/>
    <w:rPr>
      <w:smallCaps/>
      <w:color w:val="008080"/>
      <w:u w:val="dotted"/>
    </w:rPr>
  </w:style>
  <w:style w:type="character" w:customStyle="1" w:styleId="NumberingSymbols">
    <w:name w:val="Numbering Symbols"/>
    <w:rsid w:val="00DA3FE9"/>
    <w:rPr>
      <w:rFonts w:ascii="Verdana" w:hAnsi="Verdana"/>
      <w:sz w:val="18"/>
    </w:rPr>
  </w:style>
  <w:style w:type="character" w:customStyle="1" w:styleId="BulletSymbols">
    <w:name w:val="Bullet Symbols"/>
    <w:rsid w:val="00DA3FE9"/>
    <w:rPr>
      <w:rFonts w:ascii="Verdana" w:eastAsia="OpenSymbol" w:hAnsi="Verdana" w:cs="OpenSymbol"/>
      <w:sz w:val="26"/>
    </w:rPr>
  </w:style>
  <w:style w:type="character" w:customStyle="1" w:styleId="Huisstijl-Aankruisvakken">
    <w:name w:val="Huisstijl - Aankruisvakken"/>
    <w:rsid w:val="00DA3FE9"/>
    <w:rPr>
      <w:rFonts w:ascii="Verdana" w:hAnsi="Verdana"/>
      <w:sz w:val="26"/>
    </w:rPr>
  </w:style>
  <w:style w:type="paragraph" w:styleId="Koptekst">
    <w:name w:val="header"/>
    <w:basedOn w:val="Standaard"/>
    <w:link w:val="KoptekstChar"/>
    <w:uiPriority w:val="99"/>
    <w:unhideWhenUsed/>
    <w:rsid w:val="00DA3FE9"/>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DA3FE9"/>
    <w:rPr>
      <w:rFonts w:cs="Mangal"/>
      <w:szCs w:val="21"/>
    </w:rPr>
  </w:style>
  <w:style w:type="paragraph" w:styleId="Voettekst">
    <w:name w:val="footer"/>
    <w:basedOn w:val="Standaard"/>
    <w:link w:val="VoettekstChar"/>
    <w:uiPriority w:val="99"/>
    <w:unhideWhenUsed/>
    <w:rsid w:val="00DA3FE9"/>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DA3FE9"/>
    <w:rPr>
      <w:rFonts w:cs="Mangal"/>
      <w:szCs w:val="21"/>
    </w:rPr>
  </w:style>
  <w:style w:type="paragraph" w:styleId="Ballontekst">
    <w:name w:val="Balloon Text"/>
    <w:basedOn w:val="Standaard"/>
    <w:link w:val="BallontekstChar"/>
    <w:uiPriority w:val="99"/>
    <w:semiHidden/>
    <w:unhideWhenUsed/>
    <w:rsid w:val="00DA3FE9"/>
    <w:rPr>
      <w:rFonts w:ascii="Tahoma" w:hAnsi="Tahoma" w:cs="Mangal"/>
      <w:sz w:val="16"/>
      <w:szCs w:val="14"/>
    </w:rPr>
  </w:style>
  <w:style w:type="character" w:customStyle="1" w:styleId="BallontekstChar">
    <w:name w:val="Ballontekst Char"/>
    <w:basedOn w:val="Standaardalinea-lettertype"/>
    <w:link w:val="Ballontekst"/>
    <w:uiPriority w:val="99"/>
    <w:semiHidden/>
    <w:rsid w:val="00DA3FE9"/>
    <w:rPr>
      <w:rFonts w:ascii="Tahoma" w:hAnsi="Tahoma" w:cs="Mangal"/>
      <w:sz w:val="16"/>
      <w:szCs w:val="14"/>
    </w:rPr>
  </w:style>
  <w:style w:type="paragraph" w:customStyle="1" w:styleId="Huisstijl-AfzendgegevenskopW1">
    <w:name w:val="Huisstijl - Afzendgegevens kop W1"/>
    <w:basedOn w:val="Huisstijl-Afzendgegevenskop"/>
    <w:qFormat/>
    <w:rsid w:val="00DA3FE9"/>
    <w:pPr>
      <w:spacing w:before="90"/>
    </w:pPr>
  </w:style>
  <w:style w:type="paragraph" w:customStyle="1" w:styleId="Huisstijl-AfzendgegevensC">
    <w:name w:val="Huisstijl - Afzendgegevens C"/>
    <w:basedOn w:val="Huisstijl-Afzendgegevens"/>
    <w:qFormat/>
    <w:rsid w:val="00DA3FE9"/>
    <w:rPr>
      <w:i/>
    </w:rPr>
  </w:style>
  <w:style w:type="paragraph" w:customStyle="1" w:styleId="Huisstijl-AfzendgegevensMdtn">
    <w:name w:val="Huisstijl - Afzendgegevens Mdtn"/>
    <w:basedOn w:val="Huisstijl-Afzendgegevens"/>
    <w:qFormat/>
    <w:rsid w:val="00DA3FE9"/>
    <w:pPr>
      <w:tabs>
        <w:tab w:val="clear" w:pos="170"/>
        <w:tab w:val="left" w:pos="482"/>
      </w:tabs>
    </w:pPr>
  </w:style>
  <w:style w:type="paragraph" w:customStyle="1" w:styleId="Huisstijl-TitelDocumentnaam">
    <w:name w:val="Huisstijl - Titel/Documentnaam"/>
    <w:basedOn w:val="Huisstijl-Aanhef"/>
    <w:qFormat/>
    <w:rsid w:val="00DA3FE9"/>
    <w:pPr>
      <w:spacing w:before="60" w:after="320"/>
    </w:pPr>
    <w:rPr>
      <w:sz w:val="24"/>
    </w:rPr>
  </w:style>
  <w:style w:type="paragraph" w:customStyle="1" w:styleId="Huisstijl-Versie">
    <w:name w:val="Huisstijl - Versie"/>
    <w:basedOn w:val="Huisstijl-TitelDocumentnaam"/>
    <w:qFormat/>
    <w:rsid w:val="00DA3FE9"/>
    <w:pPr>
      <w:spacing w:after="360"/>
    </w:pPr>
    <w:rPr>
      <w:sz w:val="18"/>
    </w:rPr>
  </w:style>
  <w:style w:type="paragraph" w:customStyle="1" w:styleId="Huisstijl-Titel">
    <w:name w:val="Huisstijl - Titel"/>
    <w:basedOn w:val="Standaard"/>
    <w:qFormat/>
    <w:rsid w:val="007E6215"/>
    <w:pPr>
      <w:spacing w:after="740"/>
    </w:pPr>
    <w:rPr>
      <w:sz w:val="24"/>
    </w:rPr>
  </w:style>
  <w:style w:type="table" w:styleId="Tabelraster">
    <w:name w:val="Table Grid"/>
    <w:basedOn w:val="Standaardtabel"/>
    <w:uiPriority w:val="59"/>
    <w:rsid w:val="00DA3FE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uisstijl-Subtitel">
    <w:name w:val="Huisstijl - Subtitel"/>
    <w:qFormat/>
    <w:rsid w:val="00DA3FE9"/>
    <w:pPr>
      <w:spacing w:before="240" w:after="360"/>
    </w:pPr>
    <w:rPr>
      <w:rFonts w:ascii="Verdana" w:hAnsi="Verdana"/>
      <w:noProof/>
    </w:rPr>
  </w:style>
  <w:style w:type="paragraph" w:customStyle="1" w:styleId="Huisstijl-Extrasubtitel">
    <w:name w:val="Huisstijl - Extra subtitel"/>
    <w:basedOn w:val="Huisstijl-TitelDocumentnaam"/>
    <w:qFormat/>
    <w:rsid w:val="00DA3FE9"/>
    <w:pPr>
      <w:spacing w:after="300"/>
    </w:pPr>
    <w:rPr>
      <w:noProof/>
    </w:rPr>
  </w:style>
  <w:style w:type="paragraph" w:customStyle="1" w:styleId="Huisstijl-Colofon">
    <w:name w:val="Huisstijl - Colofon"/>
    <w:basedOn w:val="Standaard"/>
    <w:qFormat/>
    <w:rsid w:val="007E6215"/>
  </w:style>
  <w:style w:type="paragraph" w:customStyle="1" w:styleId="Huisstijl-ColofonCursief">
    <w:name w:val="Huisstijl - Colofon Cursief"/>
    <w:basedOn w:val="Huisstijl-Colofon"/>
    <w:qFormat/>
    <w:rsid w:val="00DA3FE9"/>
    <w:rPr>
      <w:i/>
      <w:noProof/>
    </w:rPr>
  </w:style>
  <w:style w:type="paragraph" w:customStyle="1" w:styleId="Huisstijl-koptekst">
    <w:name w:val="Huisstijl - koptekst"/>
    <w:basedOn w:val="Standaard"/>
    <w:qFormat/>
    <w:rsid w:val="007E6215"/>
    <w:rPr>
      <w:sz w:val="13"/>
    </w:rPr>
  </w:style>
  <w:style w:type="character" w:styleId="Subtieleverwijzing">
    <w:name w:val="Subtle Reference"/>
    <w:basedOn w:val="Standaardalinea-lettertype"/>
    <w:uiPriority w:val="31"/>
    <w:qFormat/>
    <w:rsid w:val="00DA3FE9"/>
    <w:rPr>
      <w:smallCaps/>
      <w:color w:val="C0504D" w:themeColor="accent2"/>
      <w:u w:val="single"/>
    </w:rPr>
  </w:style>
  <w:style w:type="character" w:customStyle="1" w:styleId="Huisstijl-Koptekststatus">
    <w:name w:val="Huisstijl - Koptekst status"/>
    <w:uiPriority w:val="1"/>
    <w:qFormat/>
    <w:rsid w:val="00DA3FE9"/>
    <w:rPr>
      <w:rFonts w:ascii="Verdana" w:hAnsi="Verdana"/>
      <w:caps/>
      <w:sz w:val="13"/>
    </w:rPr>
  </w:style>
  <w:style w:type="character" w:customStyle="1" w:styleId="Kop1Char">
    <w:name w:val="Kop 1 Char"/>
    <w:basedOn w:val="Standaardalinea-lettertype"/>
    <w:link w:val="Kop1"/>
    <w:uiPriority w:val="9"/>
    <w:rsid w:val="00DA3FE9"/>
    <w:rPr>
      <w:rFonts w:ascii="Verdana" w:eastAsiaTheme="majorEastAsia" w:hAnsi="Verdana" w:cs="Mangal"/>
      <w:bCs/>
      <w:color w:val="000000" w:themeColor="text1"/>
      <w:szCs w:val="25"/>
    </w:rPr>
  </w:style>
  <w:style w:type="paragraph" w:styleId="Inhopg1">
    <w:name w:val="toc 1"/>
    <w:basedOn w:val="Standaard"/>
    <w:next w:val="Standaard"/>
    <w:autoRedefine/>
    <w:uiPriority w:val="39"/>
    <w:unhideWhenUsed/>
    <w:rsid w:val="00FF6874"/>
    <w:pPr>
      <w:tabs>
        <w:tab w:val="left" w:pos="851"/>
        <w:tab w:val="right" w:pos="7655"/>
      </w:tabs>
      <w:spacing w:before="240" w:line="240" w:lineRule="auto"/>
    </w:pPr>
    <w:rPr>
      <w:rFonts w:cs="Mangal"/>
      <w:b/>
      <w:noProof/>
      <w:szCs w:val="21"/>
    </w:rPr>
  </w:style>
  <w:style w:type="character" w:styleId="Hyperlink">
    <w:name w:val="Hyperlink"/>
    <w:basedOn w:val="Standaardalinea-lettertype"/>
    <w:uiPriority w:val="99"/>
    <w:unhideWhenUsed/>
    <w:rsid w:val="00DA3FE9"/>
    <w:rPr>
      <w:color w:val="0000FF" w:themeColor="hyperlink"/>
      <w:u w:val="single"/>
    </w:rPr>
  </w:style>
  <w:style w:type="character" w:customStyle="1" w:styleId="Kop2Char">
    <w:name w:val="Kop 2 Char"/>
    <w:basedOn w:val="Standaardalinea-lettertype"/>
    <w:link w:val="Kop2"/>
    <w:uiPriority w:val="9"/>
    <w:rsid w:val="00DA3FE9"/>
    <w:rPr>
      <w:rFonts w:ascii="Verdana" w:eastAsiaTheme="majorEastAsia" w:hAnsi="Verdana" w:cs="Mangal"/>
      <w:bCs/>
      <w:color w:val="000000" w:themeColor="text1"/>
      <w:sz w:val="18"/>
      <w:szCs w:val="23"/>
    </w:rPr>
  </w:style>
  <w:style w:type="character" w:customStyle="1" w:styleId="Kop3Char">
    <w:name w:val="Kop 3 Char"/>
    <w:basedOn w:val="Standaardalinea-lettertype"/>
    <w:link w:val="Kop3"/>
    <w:uiPriority w:val="9"/>
    <w:rsid w:val="00DA3FE9"/>
    <w:rPr>
      <w:rFonts w:asciiTheme="majorHAnsi" w:eastAsiaTheme="majorEastAsia" w:hAnsiTheme="majorHAnsi" w:cs="Mangal"/>
      <w:b/>
      <w:bCs/>
      <w:color w:val="4F81BD" w:themeColor="accent1"/>
      <w:szCs w:val="21"/>
    </w:rPr>
  </w:style>
  <w:style w:type="paragraph" w:styleId="Inhopg2">
    <w:name w:val="toc 2"/>
    <w:basedOn w:val="Standaard"/>
    <w:next w:val="Standaard"/>
    <w:autoRedefine/>
    <w:uiPriority w:val="39"/>
    <w:unhideWhenUsed/>
    <w:rsid w:val="00FF6874"/>
    <w:pPr>
      <w:tabs>
        <w:tab w:val="left" w:pos="851"/>
        <w:tab w:val="right" w:pos="7655"/>
      </w:tabs>
    </w:pPr>
    <w:rPr>
      <w:rFonts w:cs="Mangal"/>
      <w:noProof/>
      <w:szCs w:val="21"/>
    </w:rPr>
  </w:style>
  <w:style w:type="numbering" w:customStyle="1" w:styleId="WWOutlineListStyle">
    <w:name w:val="WW_OutlineListStyle"/>
    <w:basedOn w:val="Geenlijst"/>
    <w:rsid w:val="00DA3FE9"/>
    <w:pPr>
      <w:numPr>
        <w:numId w:val="14"/>
      </w:numPr>
    </w:pPr>
  </w:style>
  <w:style w:type="paragraph" w:customStyle="1" w:styleId="Huisstijl-Kop1">
    <w:name w:val="Huisstijl - Kop 1"/>
    <w:basedOn w:val="Standaard"/>
    <w:next w:val="Standaard"/>
    <w:rsid w:val="00D13F22"/>
    <w:pPr>
      <w:numPr>
        <w:numId w:val="5"/>
      </w:numPr>
      <w:spacing w:after="720" w:line="300" w:lineRule="exact"/>
      <w:ind w:hanging="1134"/>
      <w:outlineLvl w:val="0"/>
    </w:pPr>
    <w:rPr>
      <w:sz w:val="24"/>
    </w:rPr>
  </w:style>
  <w:style w:type="paragraph" w:customStyle="1" w:styleId="Huisstijl-Kop2">
    <w:name w:val="Huisstijl - Kop 2"/>
    <w:basedOn w:val="Huisstijl-Kop1"/>
    <w:next w:val="Standaard"/>
    <w:rsid w:val="00D13F22"/>
    <w:pPr>
      <w:numPr>
        <w:ilvl w:val="1"/>
      </w:numPr>
      <w:spacing w:before="240" w:after="0" w:line="240" w:lineRule="exact"/>
      <w:outlineLvl w:val="1"/>
    </w:pPr>
    <w:rPr>
      <w:b/>
      <w:sz w:val="18"/>
    </w:rPr>
  </w:style>
  <w:style w:type="paragraph" w:customStyle="1" w:styleId="Huisstijl-Kop3">
    <w:name w:val="Huisstijl - Kop 3"/>
    <w:basedOn w:val="Huisstijl-Kop2"/>
    <w:next w:val="Standaard"/>
    <w:rsid w:val="00DA3FE9"/>
    <w:pPr>
      <w:numPr>
        <w:ilvl w:val="2"/>
      </w:numPr>
      <w:outlineLvl w:val="2"/>
    </w:pPr>
    <w:rPr>
      <w:b w:val="0"/>
      <w:i/>
    </w:rPr>
  </w:style>
  <w:style w:type="paragraph" w:customStyle="1" w:styleId="Huisstijl-Kop4">
    <w:name w:val="Huisstijl - Kop 4"/>
    <w:basedOn w:val="Huisstijl-Kop3"/>
    <w:next w:val="Standaard"/>
    <w:rsid w:val="00DA3FE9"/>
    <w:pPr>
      <w:numPr>
        <w:ilvl w:val="3"/>
      </w:numPr>
      <w:outlineLvl w:val="3"/>
    </w:pPr>
    <w:rPr>
      <w:i w:val="0"/>
    </w:rPr>
  </w:style>
  <w:style w:type="paragraph" w:customStyle="1" w:styleId="Huisstijl-Inhoudsopgavekop">
    <w:name w:val="Huisstijl - Inhoudsopgave kop"/>
    <w:basedOn w:val="Standaard"/>
    <w:rsid w:val="00DA3FE9"/>
    <w:pPr>
      <w:spacing w:after="720" w:line="300" w:lineRule="exact"/>
    </w:pPr>
  </w:style>
  <w:style w:type="paragraph" w:styleId="Inhopg3">
    <w:name w:val="toc 3"/>
    <w:basedOn w:val="Standaard"/>
    <w:next w:val="Standaard"/>
    <w:autoRedefine/>
    <w:uiPriority w:val="39"/>
    <w:unhideWhenUsed/>
    <w:rsid w:val="00112E36"/>
    <w:pPr>
      <w:tabs>
        <w:tab w:val="left" w:pos="0"/>
        <w:tab w:val="right" w:pos="7655"/>
      </w:tabs>
      <w:ind w:hanging="1134"/>
    </w:pPr>
    <w:rPr>
      <w:rFonts w:cs="Mangal"/>
      <w:noProof/>
      <w:szCs w:val="21"/>
    </w:rPr>
  </w:style>
  <w:style w:type="paragraph" w:styleId="Inhopg4">
    <w:name w:val="toc 4"/>
    <w:basedOn w:val="Standaard"/>
    <w:next w:val="Standaard"/>
    <w:autoRedefine/>
    <w:uiPriority w:val="39"/>
    <w:unhideWhenUsed/>
    <w:rsid w:val="00DA3FE9"/>
    <w:pPr>
      <w:tabs>
        <w:tab w:val="left" w:pos="0"/>
      </w:tabs>
      <w:ind w:hanging="1134"/>
    </w:pPr>
    <w:rPr>
      <w:rFonts w:cs="Mangal"/>
      <w:noProof/>
      <w:szCs w:val="21"/>
    </w:rPr>
  </w:style>
  <w:style w:type="paragraph" w:styleId="Inhopg9">
    <w:name w:val="toc 9"/>
    <w:basedOn w:val="Standaard"/>
    <w:next w:val="Standaard"/>
    <w:autoRedefine/>
    <w:uiPriority w:val="39"/>
    <w:unhideWhenUsed/>
    <w:rsid w:val="00DB1EE8"/>
    <w:pPr>
      <w:tabs>
        <w:tab w:val="right" w:pos="7655"/>
      </w:tabs>
    </w:pPr>
    <w:rPr>
      <w:rFonts w:cs="Mangal"/>
      <w:szCs w:val="21"/>
    </w:rPr>
  </w:style>
  <w:style w:type="paragraph" w:styleId="Lijstalinea">
    <w:name w:val="List Paragraph"/>
    <w:basedOn w:val="Standaard"/>
    <w:uiPriority w:val="34"/>
    <w:qFormat/>
    <w:rsid w:val="00DD37E9"/>
    <w:pPr>
      <w:widowControl/>
      <w:suppressAutoHyphens w:val="0"/>
      <w:autoSpaceDN/>
      <w:spacing w:after="200" w:line="276" w:lineRule="auto"/>
      <w:ind w:left="720"/>
      <w:contextualSpacing/>
      <w:textAlignment w:val="auto"/>
    </w:pPr>
    <w:rPr>
      <w:rFonts w:asciiTheme="minorHAnsi" w:eastAsiaTheme="minorHAnsi" w:hAnsiTheme="minorHAnsi" w:cstheme="minorBidi"/>
      <w:kern w:val="0"/>
      <w:sz w:val="22"/>
      <w:szCs w:val="22"/>
      <w:lang w:eastAsia="en-US" w:bidi="ar-SA"/>
    </w:rPr>
  </w:style>
  <w:style w:type="character" w:styleId="Verwijzingopmerking">
    <w:name w:val="annotation reference"/>
    <w:basedOn w:val="Standaardalinea-lettertype"/>
    <w:uiPriority w:val="99"/>
    <w:semiHidden/>
    <w:unhideWhenUsed/>
    <w:rsid w:val="00BE3872"/>
    <w:rPr>
      <w:sz w:val="16"/>
      <w:szCs w:val="16"/>
    </w:rPr>
  </w:style>
  <w:style w:type="paragraph" w:styleId="Tekstopmerking">
    <w:name w:val="annotation text"/>
    <w:basedOn w:val="Standaard"/>
    <w:link w:val="TekstopmerkingChar"/>
    <w:uiPriority w:val="99"/>
    <w:semiHidden/>
    <w:unhideWhenUsed/>
    <w:rsid w:val="00BE3872"/>
    <w:pPr>
      <w:widowControl/>
      <w:suppressAutoHyphens w:val="0"/>
      <w:autoSpaceDN/>
      <w:spacing w:after="200" w:line="240" w:lineRule="auto"/>
      <w:textAlignment w:val="auto"/>
    </w:pPr>
    <w:rPr>
      <w:rFonts w:asciiTheme="minorHAnsi" w:eastAsiaTheme="minorHAnsi" w:hAnsiTheme="minorHAnsi" w:cstheme="minorBidi"/>
      <w:kern w:val="0"/>
      <w:sz w:val="20"/>
      <w:szCs w:val="20"/>
      <w:lang w:eastAsia="en-US" w:bidi="ar-SA"/>
    </w:rPr>
  </w:style>
  <w:style w:type="character" w:customStyle="1" w:styleId="TekstopmerkingChar">
    <w:name w:val="Tekst opmerking Char"/>
    <w:basedOn w:val="Standaardalinea-lettertype"/>
    <w:link w:val="Tekstopmerking"/>
    <w:uiPriority w:val="99"/>
    <w:semiHidden/>
    <w:rsid w:val="00BE3872"/>
    <w:rPr>
      <w:rFonts w:asciiTheme="minorHAnsi" w:eastAsiaTheme="minorHAnsi" w:hAnsiTheme="minorHAnsi" w:cstheme="minorBidi"/>
      <w:kern w:val="0"/>
      <w:sz w:val="20"/>
      <w:szCs w:val="20"/>
      <w:lang w:eastAsia="en-US" w:bidi="ar-SA"/>
    </w:rPr>
  </w:style>
  <w:style w:type="paragraph" w:styleId="Onderwerpvanopmerking">
    <w:name w:val="annotation subject"/>
    <w:basedOn w:val="Tekstopmerking"/>
    <w:next w:val="Tekstopmerking"/>
    <w:link w:val="OnderwerpvanopmerkingChar"/>
    <w:uiPriority w:val="99"/>
    <w:semiHidden/>
    <w:unhideWhenUsed/>
    <w:rsid w:val="0056616B"/>
    <w:pPr>
      <w:widowControl w:val="0"/>
      <w:suppressAutoHyphens/>
      <w:autoSpaceDN w:val="0"/>
      <w:spacing w:after="0"/>
      <w:textAlignment w:val="baseline"/>
    </w:pPr>
    <w:rPr>
      <w:rFonts w:ascii="Verdana" w:eastAsia="DejaVu Sans" w:hAnsi="Verdana" w:cs="Mangal"/>
      <w:b/>
      <w:bCs/>
      <w:kern w:val="3"/>
      <w:szCs w:val="18"/>
      <w:lang w:eastAsia="zh-CN" w:bidi="hi-IN"/>
    </w:rPr>
  </w:style>
  <w:style w:type="character" w:customStyle="1" w:styleId="OnderwerpvanopmerkingChar">
    <w:name w:val="Onderwerp van opmerking Char"/>
    <w:basedOn w:val="TekstopmerkingChar"/>
    <w:link w:val="Onderwerpvanopmerking"/>
    <w:uiPriority w:val="99"/>
    <w:semiHidden/>
    <w:rsid w:val="0056616B"/>
    <w:rPr>
      <w:rFonts w:ascii="Verdana" w:eastAsiaTheme="minorHAnsi" w:hAnsi="Verdana" w:cs="Mangal"/>
      <w:b/>
      <w:bCs/>
      <w:kern w:val="0"/>
      <w:sz w:val="20"/>
      <w:szCs w:val="18"/>
      <w:lang w:eastAsia="en-US" w:bidi="ar-SA"/>
    </w:rPr>
  </w:style>
  <w:style w:type="paragraph" w:styleId="Normaalweb">
    <w:name w:val="Normal (Web)"/>
    <w:basedOn w:val="Standaard"/>
    <w:uiPriority w:val="99"/>
    <w:unhideWhenUsed/>
    <w:rsid w:val="00B33F1B"/>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lang w:eastAsia="nl-NL" w:bidi="ar-SA"/>
    </w:rPr>
  </w:style>
  <w:style w:type="paragraph" w:customStyle="1" w:styleId="Default">
    <w:name w:val="Default"/>
    <w:rsid w:val="00A74214"/>
    <w:pPr>
      <w:widowControl/>
      <w:suppressAutoHyphens w:val="0"/>
      <w:autoSpaceDE w:val="0"/>
      <w:adjustRightInd w:val="0"/>
      <w:textAlignment w:val="auto"/>
    </w:pPr>
    <w:rPr>
      <w:rFonts w:ascii="Verdana" w:eastAsiaTheme="minorHAnsi" w:hAnsi="Verdana" w:cs="Verdana"/>
      <w:color w:val="000000"/>
      <w:kern w:val="0"/>
      <w:lang w:eastAsia="en-US" w:bidi="ar-SA"/>
    </w:rPr>
  </w:style>
  <w:style w:type="paragraph" w:styleId="Geenafstand">
    <w:name w:val="No Spacing"/>
    <w:uiPriority w:val="1"/>
    <w:qFormat/>
    <w:rsid w:val="001B1708"/>
    <w:pPr>
      <w:widowControl/>
      <w:suppressAutoHyphens w:val="0"/>
      <w:autoSpaceDN/>
      <w:textAlignment w:val="auto"/>
    </w:pPr>
    <w:rPr>
      <w:rFonts w:asciiTheme="minorHAnsi" w:eastAsiaTheme="minorHAnsi" w:hAnsiTheme="minorHAnsi" w:cstheme="minorBidi"/>
      <w:kern w:val="0"/>
      <w:sz w:val="22"/>
      <w:szCs w:val="22"/>
      <w:lang w:eastAsia="en-US" w:bidi="ar-SA"/>
    </w:rPr>
  </w:style>
  <w:style w:type="paragraph" w:customStyle="1" w:styleId="intro">
    <w:name w:val="intro"/>
    <w:basedOn w:val="Standaard"/>
    <w:rsid w:val="00DB5B32"/>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lang w:eastAsia="nl-NL" w:bidi="ar-SA"/>
    </w:rPr>
  </w:style>
  <w:style w:type="paragraph" w:styleId="Voetnoottekst">
    <w:name w:val="footnote text"/>
    <w:basedOn w:val="Standaard"/>
    <w:link w:val="VoetnoottekstChar"/>
    <w:uiPriority w:val="99"/>
    <w:semiHidden/>
    <w:unhideWhenUsed/>
    <w:rsid w:val="00B257F2"/>
    <w:pPr>
      <w:spacing w:line="240" w:lineRule="auto"/>
    </w:pPr>
    <w:rPr>
      <w:rFonts w:cs="Mangal"/>
      <w:sz w:val="20"/>
      <w:szCs w:val="18"/>
    </w:rPr>
  </w:style>
  <w:style w:type="character" w:customStyle="1" w:styleId="VoetnoottekstChar">
    <w:name w:val="Voetnoottekst Char"/>
    <w:basedOn w:val="Standaardalinea-lettertype"/>
    <w:link w:val="Voetnoottekst"/>
    <w:uiPriority w:val="99"/>
    <w:semiHidden/>
    <w:rsid w:val="00B257F2"/>
    <w:rPr>
      <w:rFonts w:ascii="Verdana" w:hAnsi="Verdana" w:cs="Mangal"/>
      <w:sz w:val="20"/>
      <w:szCs w:val="18"/>
    </w:rPr>
  </w:style>
  <w:style w:type="character" w:styleId="Voetnootmarkering">
    <w:name w:val="footnote reference"/>
    <w:basedOn w:val="Standaardalinea-lettertype"/>
    <w:uiPriority w:val="99"/>
    <w:semiHidden/>
    <w:unhideWhenUsed/>
    <w:rsid w:val="00B257F2"/>
    <w:rPr>
      <w:vertAlign w:val="superscript"/>
    </w:rPr>
  </w:style>
  <w:style w:type="character" w:styleId="HTML-citaat">
    <w:name w:val="HTML Cite"/>
    <w:basedOn w:val="Standaardalinea-lettertype"/>
    <w:uiPriority w:val="99"/>
    <w:semiHidden/>
    <w:unhideWhenUsed/>
    <w:rsid w:val="007C442D"/>
    <w:rPr>
      <w:i/>
      <w:iCs/>
    </w:rPr>
  </w:style>
  <w:style w:type="paragraph" w:customStyle="1" w:styleId="mnone">
    <w:name w:val="mnone"/>
    <w:basedOn w:val="Standaard"/>
    <w:rsid w:val="004C1FD6"/>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lang w:eastAsia="nl-NL" w:bidi="ar-SA"/>
    </w:rPr>
  </w:style>
  <w:style w:type="paragraph" w:customStyle="1" w:styleId="mtop">
    <w:name w:val="mtop"/>
    <w:basedOn w:val="Standaard"/>
    <w:rsid w:val="004C1FD6"/>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lang w:eastAsia="nl-NL" w:bidi="ar-SA"/>
    </w:rPr>
  </w:style>
  <w:style w:type="paragraph" w:styleId="Tekstzonderopmaak">
    <w:name w:val="Plain Text"/>
    <w:basedOn w:val="Standaard"/>
    <w:link w:val="TekstzonderopmaakChar"/>
    <w:uiPriority w:val="99"/>
    <w:unhideWhenUsed/>
    <w:rsid w:val="00DD1F7D"/>
    <w:pPr>
      <w:widowControl/>
      <w:suppressAutoHyphens w:val="0"/>
      <w:autoSpaceDN/>
      <w:spacing w:line="240" w:lineRule="auto"/>
      <w:textAlignment w:val="auto"/>
    </w:pPr>
    <w:rPr>
      <w:rFonts w:eastAsiaTheme="minorHAnsi" w:cstheme="minorBidi"/>
      <w:kern w:val="0"/>
      <w:sz w:val="20"/>
      <w:szCs w:val="21"/>
      <w:lang w:eastAsia="en-US" w:bidi="ar-SA"/>
    </w:rPr>
  </w:style>
  <w:style w:type="character" w:customStyle="1" w:styleId="TekstzonderopmaakChar">
    <w:name w:val="Tekst zonder opmaak Char"/>
    <w:basedOn w:val="Standaardalinea-lettertype"/>
    <w:link w:val="Tekstzonderopmaak"/>
    <w:uiPriority w:val="99"/>
    <w:rsid w:val="00DD1F7D"/>
    <w:rPr>
      <w:rFonts w:ascii="Verdana" w:eastAsiaTheme="minorHAnsi" w:hAnsi="Verdana" w:cstheme="minorBidi"/>
      <w:kern w:val="0"/>
      <w:sz w:val="20"/>
      <w:szCs w:val="21"/>
      <w:lang w:eastAsia="en-US" w:bidi="ar-SA"/>
    </w:rPr>
  </w:style>
  <w:style w:type="paragraph" w:customStyle="1" w:styleId="BijschriftTabel">
    <w:name w:val="BijschriftTabel"/>
    <w:basedOn w:val="Standaard"/>
    <w:next w:val="Standaard"/>
    <w:link w:val="BijschriftTabelChar"/>
    <w:rsid w:val="00AA0724"/>
    <w:pPr>
      <w:widowControl/>
      <w:suppressAutoHyphens w:val="0"/>
      <w:autoSpaceDN/>
      <w:spacing w:before="120" w:after="20" w:line="301" w:lineRule="atLeast"/>
      <w:ind w:hanging="1474"/>
      <w:textAlignment w:val="auto"/>
    </w:pPr>
    <w:rPr>
      <w:rFonts w:ascii="Arial" w:eastAsia="Times New Roman" w:hAnsi="Arial" w:cs="Times New Roman"/>
      <w:b/>
      <w:kern w:val="0"/>
      <w:sz w:val="19"/>
      <w:szCs w:val="20"/>
      <w:lang w:eastAsia="en-US" w:bidi="ar-SA"/>
    </w:rPr>
  </w:style>
  <w:style w:type="character" w:customStyle="1" w:styleId="BijschriftTabelChar">
    <w:name w:val="BijschriftTabel Char"/>
    <w:link w:val="BijschriftTabel"/>
    <w:rsid w:val="00AA0724"/>
    <w:rPr>
      <w:rFonts w:ascii="Arial" w:eastAsia="Times New Roman" w:hAnsi="Arial" w:cs="Times New Roman"/>
      <w:b/>
      <w:kern w:val="0"/>
      <w:sz w:val="19"/>
      <w:szCs w:val="20"/>
      <w:lang w:eastAsia="en-US" w:bidi="ar-SA"/>
    </w:rPr>
  </w:style>
  <w:style w:type="paragraph" w:styleId="Eindnoottekst">
    <w:name w:val="endnote text"/>
    <w:basedOn w:val="Standaard"/>
    <w:link w:val="EindnoottekstChar"/>
    <w:uiPriority w:val="99"/>
    <w:semiHidden/>
    <w:unhideWhenUsed/>
    <w:rsid w:val="00BD0990"/>
    <w:pPr>
      <w:spacing w:line="240" w:lineRule="auto"/>
    </w:pPr>
    <w:rPr>
      <w:rFonts w:cs="Mangal"/>
      <w:sz w:val="20"/>
      <w:szCs w:val="18"/>
    </w:rPr>
  </w:style>
  <w:style w:type="character" w:customStyle="1" w:styleId="EindnoottekstChar">
    <w:name w:val="Eindnoottekst Char"/>
    <w:basedOn w:val="Standaardalinea-lettertype"/>
    <w:link w:val="Eindnoottekst"/>
    <w:uiPriority w:val="99"/>
    <w:semiHidden/>
    <w:rsid w:val="00BD0990"/>
    <w:rPr>
      <w:rFonts w:ascii="Verdana" w:hAnsi="Verdana" w:cs="Mangal"/>
      <w:sz w:val="20"/>
      <w:szCs w:val="18"/>
    </w:rPr>
  </w:style>
  <w:style w:type="character" w:styleId="Eindnootmarkering">
    <w:name w:val="endnote reference"/>
    <w:basedOn w:val="Standaardalinea-lettertype"/>
    <w:uiPriority w:val="99"/>
    <w:semiHidden/>
    <w:unhideWhenUsed/>
    <w:rsid w:val="00BD0990"/>
    <w:rPr>
      <w:vertAlign w:val="superscript"/>
    </w:rPr>
  </w:style>
  <w:style w:type="character" w:styleId="GevolgdeHyperlink">
    <w:name w:val="FollowedHyperlink"/>
    <w:basedOn w:val="Standaardalinea-lettertype"/>
    <w:uiPriority w:val="99"/>
    <w:semiHidden/>
    <w:unhideWhenUsed/>
    <w:rsid w:val="0084582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E6215"/>
    <w:pPr>
      <w:spacing w:line="240" w:lineRule="exact"/>
    </w:pPr>
    <w:rPr>
      <w:rFonts w:ascii="Verdana" w:hAnsi="Verdana"/>
      <w:sz w:val="18"/>
    </w:rPr>
  </w:style>
  <w:style w:type="paragraph" w:styleId="Kop1">
    <w:name w:val="heading 1"/>
    <w:basedOn w:val="Standaard"/>
    <w:next w:val="Standaard"/>
    <w:link w:val="Kop1Char"/>
    <w:uiPriority w:val="9"/>
    <w:rsid w:val="00DA3FE9"/>
    <w:pPr>
      <w:keepNext/>
      <w:keepLines/>
      <w:numPr>
        <w:numId w:val="2"/>
      </w:numPr>
      <w:tabs>
        <w:tab w:val="left" w:pos="0"/>
      </w:tabs>
      <w:spacing w:line="300" w:lineRule="exact"/>
      <w:ind w:left="-777" w:hanging="357"/>
      <w:outlineLvl w:val="0"/>
    </w:pPr>
    <w:rPr>
      <w:rFonts w:eastAsiaTheme="majorEastAsia" w:cs="Mangal"/>
      <w:bCs/>
      <w:color w:val="000000" w:themeColor="text1"/>
      <w:szCs w:val="25"/>
    </w:rPr>
  </w:style>
  <w:style w:type="paragraph" w:styleId="Kop2">
    <w:name w:val="heading 2"/>
    <w:basedOn w:val="Standaard"/>
    <w:next w:val="Standaard"/>
    <w:link w:val="Kop2Char"/>
    <w:uiPriority w:val="9"/>
    <w:unhideWhenUsed/>
    <w:rsid w:val="00DA3FE9"/>
    <w:pPr>
      <w:keepNext/>
      <w:keepLines/>
      <w:numPr>
        <w:numId w:val="4"/>
      </w:numPr>
      <w:tabs>
        <w:tab w:val="left" w:pos="0"/>
      </w:tabs>
      <w:spacing w:before="200"/>
      <w:outlineLvl w:val="1"/>
    </w:pPr>
    <w:rPr>
      <w:rFonts w:eastAsiaTheme="majorEastAsia" w:cs="Mangal"/>
      <w:bCs/>
      <w:color w:val="000000" w:themeColor="text1"/>
      <w:szCs w:val="23"/>
    </w:rPr>
  </w:style>
  <w:style w:type="paragraph" w:styleId="Kop3">
    <w:name w:val="heading 3"/>
    <w:basedOn w:val="Standaard"/>
    <w:next w:val="Standaard"/>
    <w:link w:val="Kop3Char"/>
    <w:uiPriority w:val="9"/>
    <w:unhideWhenUsed/>
    <w:rsid w:val="00DA3FE9"/>
    <w:pPr>
      <w:keepNext/>
      <w:keepLines/>
      <w:spacing w:before="200"/>
      <w:outlineLvl w:val="2"/>
    </w:pPr>
    <w:rPr>
      <w:rFonts w:asciiTheme="majorHAnsi" w:eastAsiaTheme="majorEastAsia" w:hAnsiTheme="majorHAnsi" w:cs="Mangal"/>
      <w:b/>
      <w:bCs/>
      <w:color w:val="4F81BD" w:themeColor="accent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7E6215"/>
    <w:pPr>
      <w:keepNext/>
      <w:spacing w:before="240" w:after="120"/>
    </w:pPr>
    <w:rPr>
      <w:rFonts w:ascii="Arial" w:hAnsi="Arial"/>
      <w:sz w:val="28"/>
      <w:szCs w:val="28"/>
    </w:rPr>
  </w:style>
  <w:style w:type="paragraph" w:customStyle="1" w:styleId="Textbody">
    <w:name w:val="Text body"/>
    <w:basedOn w:val="Standaard"/>
    <w:rsid w:val="007E6215"/>
    <w:pPr>
      <w:spacing w:after="120"/>
    </w:pPr>
  </w:style>
  <w:style w:type="paragraph" w:styleId="Lijst">
    <w:name w:val="List"/>
    <w:basedOn w:val="Textbody"/>
    <w:rsid w:val="00DA3FE9"/>
  </w:style>
  <w:style w:type="paragraph" w:customStyle="1" w:styleId="Caption1">
    <w:name w:val="Caption1"/>
    <w:basedOn w:val="Standaard"/>
    <w:rsid w:val="007E6215"/>
    <w:pPr>
      <w:suppressLineNumbers/>
      <w:spacing w:before="120" w:after="120"/>
    </w:pPr>
    <w:rPr>
      <w:i/>
      <w:iCs/>
      <w:sz w:val="24"/>
    </w:rPr>
  </w:style>
  <w:style w:type="paragraph" w:customStyle="1" w:styleId="Index">
    <w:name w:val="Index"/>
    <w:basedOn w:val="Standaard"/>
    <w:rsid w:val="007E6215"/>
    <w:pPr>
      <w:suppressLineNumbers/>
    </w:pPr>
  </w:style>
  <w:style w:type="paragraph" w:customStyle="1" w:styleId="Heading11">
    <w:name w:val="Heading 11"/>
    <w:basedOn w:val="Heading"/>
    <w:next w:val="Textbody"/>
    <w:rsid w:val="00DA3FE9"/>
    <w:pPr>
      <w:pageBreakBefore/>
      <w:spacing w:before="340" w:after="170"/>
      <w:ind w:left="-850"/>
    </w:pPr>
    <w:rPr>
      <w:b/>
      <w:bCs/>
      <w:sz w:val="40"/>
    </w:rPr>
  </w:style>
  <w:style w:type="paragraph" w:customStyle="1" w:styleId="Heading21">
    <w:name w:val="Heading 21"/>
    <w:basedOn w:val="Heading"/>
    <w:next w:val="Textbody"/>
    <w:rsid w:val="00DA3FE9"/>
    <w:pPr>
      <w:spacing w:before="340" w:after="170"/>
      <w:ind w:left="-850"/>
    </w:pPr>
    <w:rPr>
      <w:b/>
      <w:bCs/>
      <w:i/>
      <w:iCs/>
      <w:sz w:val="32"/>
    </w:rPr>
  </w:style>
  <w:style w:type="paragraph" w:customStyle="1" w:styleId="Heading31">
    <w:name w:val="Heading 31"/>
    <w:basedOn w:val="Heading"/>
    <w:next w:val="Textbody"/>
    <w:rsid w:val="00DA3FE9"/>
    <w:pPr>
      <w:spacing w:before="340" w:after="170"/>
      <w:ind w:left="-850"/>
    </w:pPr>
    <w:rPr>
      <w:b/>
      <w:bCs/>
    </w:rPr>
  </w:style>
  <w:style w:type="paragraph" w:styleId="Titel">
    <w:name w:val="Title"/>
    <w:basedOn w:val="Heading"/>
    <w:next w:val="Ondertitel"/>
    <w:rsid w:val="00DA3FE9"/>
    <w:rPr>
      <w:b/>
      <w:bCs/>
      <w:sz w:val="48"/>
      <w:szCs w:val="36"/>
    </w:rPr>
  </w:style>
  <w:style w:type="paragraph" w:styleId="Ondertitel">
    <w:name w:val="Subtitle"/>
    <w:basedOn w:val="Heading"/>
    <w:next w:val="Textbody"/>
    <w:rsid w:val="00DA3FE9"/>
    <w:pPr>
      <w:jc w:val="center"/>
    </w:pPr>
    <w:rPr>
      <w:i/>
      <w:iCs/>
    </w:rPr>
  </w:style>
  <w:style w:type="paragraph" w:customStyle="1" w:styleId="ContentsHeading">
    <w:name w:val="Contents Heading"/>
    <w:basedOn w:val="Heading"/>
    <w:rsid w:val="00DA3FE9"/>
    <w:pPr>
      <w:suppressLineNumbers/>
    </w:pPr>
    <w:rPr>
      <w:b/>
      <w:bCs/>
      <w:sz w:val="36"/>
      <w:szCs w:val="32"/>
    </w:rPr>
  </w:style>
  <w:style w:type="paragraph" w:customStyle="1" w:styleId="Contents1">
    <w:name w:val="Contents 1"/>
    <w:basedOn w:val="Index"/>
    <w:rsid w:val="00DA3FE9"/>
    <w:pPr>
      <w:tabs>
        <w:tab w:val="right" w:leader="dot" w:pos="9637"/>
      </w:tabs>
      <w:spacing w:before="170"/>
    </w:pPr>
    <w:rPr>
      <w:sz w:val="26"/>
    </w:rPr>
  </w:style>
  <w:style w:type="paragraph" w:customStyle="1" w:styleId="Contents2">
    <w:name w:val="Contents 2"/>
    <w:basedOn w:val="Index"/>
    <w:rsid w:val="00DA3FE9"/>
    <w:pPr>
      <w:tabs>
        <w:tab w:val="right" w:leader="dot" w:pos="9637"/>
      </w:tabs>
      <w:spacing w:before="57"/>
      <w:ind w:left="283"/>
    </w:pPr>
  </w:style>
  <w:style w:type="paragraph" w:customStyle="1" w:styleId="Contents3">
    <w:name w:val="Contents 3"/>
    <w:basedOn w:val="Index"/>
    <w:rsid w:val="00DA3FE9"/>
    <w:pPr>
      <w:tabs>
        <w:tab w:val="right" w:leader="dot" w:pos="9921"/>
      </w:tabs>
      <w:ind w:left="850"/>
    </w:pPr>
  </w:style>
  <w:style w:type="paragraph" w:customStyle="1" w:styleId="TableContents">
    <w:name w:val="Table Contents"/>
    <w:basedOn w:val="Standaard"/>
    <w:rsid w:val="007E6215"/>
    <w:pPr>
      <w:suppressLineNumbers/>
    </w:pPr>
  </w:style>
  <w:style w:type="paragraph" w:customStyle="1" w:styleId="Huisstijl-Retouradres">
    <w:name w:val="Huisstijl - Retouradres"/>
    <w:basedOn w:val="Standaard"/>
    <w:next w:val="Huisstijl-Rubricering"/>
    <w:rsid w:val="007E6215"/>
    <w:pPr>
      <w:spacing w:after="283" w:line="180" w:lineRule="exact"/>
    </w:pPr>
    <w:rPr>
      <w:sz w:val="13"/>
    </w:rPr>
  </w:style>
  <w:style w:type="paragraph" w:customStyle="1" w:styleId="Huisstijl-Rubricering">
    <w:name w:val="Huisstijl - Rubricering"/>
    <w:basedOn w:val="Standaard"/>
    <w:next w:val="Huisstijl-Toezendgegevens"/>
    <w:rsid w:val="007E6215"/>
    <w:pPr>
      <w:spacing w:line="180" w:lineRule="exact"/>
    </w:pPr>
    <w:rPr>
      <w:b/>
      <w:smallCaps/>
      <w:sz w:val="16"/>
    </w:rPr>
  </w:style>
  <w:style w:type="paragraph" w:customStyle="1" w:styleId="Huisstijl-Toezendgegevens">
    <w:name w:val="Huisstijl - Toezendgegevens"/>
    <w:basedOn w:val="Standaard"/>
    <w:rsid w:val="007E6215"/>
  </w:style>
  <w:style w:type="paragraph" w:customStyle="1" w:styleId="Huisstijl-Datumenbetreft">
    <w:name w:val="Huisstijl - Datum en betreft"/>
    <w:basedOn w:val="Standaard"/>
    <w:rsid w:val="007E6215"/>
    <w:pPr>
      <w:tabs>
        <w:tab w:val="left" w:pos="1117"/>
      </w:tabs>
    </w:pPr>
  </w:style>
  <w:style w:type="paragraph" w:customStyle="1" w:styleId="Huisstijl-Aanhef">
    <w:name w:val="Huisstijl - Aanhef"/>
    <w:basedOn w:val="Standaard"/>
    <w:rsid w:val="007E6215"/>
    <w:pPr>
      <w:spacing w:before="280" w:after="240"/>
    </w:pPr>
  </w:style>
  <w:style w:type="paragraph" w:customStyle="1" w:styleId="Huisstijl-Slotzin">
    <w:name w:val="Huisstijl - Slotzin"/>
    <w:basedOn w:val="Standaard"/>
    <w:next w:val="Huisstijl-Ondertekening"/>
    <w:rsid w:val="007E6215"/>
    <w:pPr>
      <w:spacing w:before="240"/>
    </w:pPr>
  </w:style>
  <w:style w:type="paragraph" w:customStyle="1" w:styleId="Header1">
    <w:name w:val="Header1"/>
    <w:basedOn w:val="Standaard"/>
    <w:rsid w:val="007E6215"/>
    <w:pPr>
      <w:suppressLineNumbers/>
      <w:tabs>
        <w:tab w:val="center" w:pos="3742"/>
        <w:tab w:val="right" w:pos="7484"/>
      </w:tabs>
    </w:pPr>
  </w:style>
  <w:style w:type="paragraph" w:customStyle="1" w:styleId="Framecontents">
    <w:name w:val="Frame contents"/>
    <w:basedOn w:val="Textbody"/>
    <w:rsid w:val="00DA3FE9"/>
  </w:style>
  <w:style w:type="paragraph" w:customStyle="1" w:styleId="Huisstijl-Afzendgegevenskop">
    <w:name w:val="Huisstijl - Afzendgegevens kop"/>
    <w:basedOn w:val="Standaard"/>
    <w:rsid w:val="007E6215"/>
    <w:pPr>
      <w:spacing w:line="180" w:lineRule="exact"/>
    </w:pPr>
    <w:rPr>
      <w:b/>
      <w:sz w:val="13"/>
    </w:rPr>
  </w:style>
  <w:style w:type="paragraph" w:customStyle="1" w:styleId="Huisstijl-Afzendgegevens">
    <w:name w:val="Huisstijl - Afzendgegevens"/>
    <w:basedOn w:val="Standaard"/>
    <w:rsid w:val="007E6215"/>
    <w:pPr>
      <w:tabs>
        <w:tab w:val="left" w:pos="170"/>
      </w:tabs>
      <w:spacing w:line="180" w:lineRule="exact"/>
    </w:pPr>
    <w:rPr>
      <w:sz w:val="13"/>
    </w:rPr>
  </w:style>
  <w:style w:type="paragraph" w:customStyle="1" w:styleId="Huisstijl-AfzendgegevensW1">
    <w:name w:val="Huisstijl - Afzendgegevens W1"/>
    <w:basedOn w:val="Huisstijl-Afzendgegevens"/>
    <w:rsid w:val="00DA3FE9"/>
    <w:pPr>
      <w:spacing w:before="90"/>
    </w:pPr>
  </w:style>
  <w:style w:type="paragraph" w:customStyle="1" w:styleId="Huisstijl-ReferentiegegevenskopW1">
    <w:name w:val="Huisstijl - Referentiegegevens kop W1"/>
    <w:basedOn w:val="Standaard"/>
    <w:next w:val="Huisstijl-Referentiegegevens"/>
    <w:rsid w:val="007E6215"/>
    <w:pPr>
      <w:spacing w:before="90" w:line="180" w:lineRule="exact"/>
    </w:pPr>
    <w:rPr>
      <w:b/>
      <w:sz w:val="13"/>
    </w:rPr>
  </w:style>
  <w:style w:type="paragraph" w:customStyle="1" w:styleId="Huisstijl-Referentiegegevens">
    <w:name w:val="Huisstijl - Referentiegegevens"/>
    <w:basedOn w:val="Standaard"/>
    <w:rsid w:val="007E6215"/>
    <w:pPr>
      <w:spacing w:line="180" w:lineRule="exact"/>
    </w:pPr>
    <w:rPr>
      <w:sz w:val="13"/>
    </w:rPr>
  </w:style>
  <w:style w:type="paragraph" w:customStyle="1" w:styleId="Huisstijl-ReferentiegegevenskopW2">
    <w:name w:val="Huisstijl - Referentiegegevens kop W2"/>
    <w:basedOn w:val="Standaard"/>
    <w:next w:val="Huisstijl-Referentiegegevens"/>
    <w:rsid w:val="007E6215"/>
    <w:pPr>
      <w:spacing w:before="270" w:line="180" w:lineRule="exact"/>
    </w:pPr>
    <w:rPr>
      <w:b/>
      <w:sz w:val="13"/>
    </w:rPr>
  </w:style>
  <w:style w:type="paragraph" w:customStyle="1" w:styleId="Huisstijl-Algemenevoorwaarden">
    <w:name w:val="Huisstijl - Algemene voorwaarden"/>
    <w:basedOn w:val="Standaard"/>
    <w:rsid w:val="007E6215"/>
    <w:pPr>
      <w:spacing w:before="90" w:line="180" w:lineRule="exact"/>
    </w:pPr>
    <w:rPr>
      <w:i/>
      <w:sz w:val="13"/>
    </w:rPr>
  </w:style>
  <w:style w:type="paragraph" w:customStyle="1" w:styleId="Huisstijl-Ondertekening">
    <w:name w:val="Huisstijl - Ondertekening"/>
    <w:basedOn w:val="Standaard"/>
    <w:next w:val="Huisstijl-Ondertekeningvervolg"/>
    <w:rsid w:val="007E6215"/>
    <w:pPr>
      <w:spacing w:before="960"/>
    </w:pPr>
  </w:style>
  <w:style w:type="paragraph" w:customStyle="1" w:styleId="Huisstijl-Ondertekeningvervolg">
    <w:name w:val="Huisstijl - Ondertekening vervolg"/>
    <w:basedOn w:val="Huisstijl-Ondertekening"/>
    <w:rsid w:val="00DA3FE9"/>
    <w:pPr>
      <w:spacing w:before="0"/>
    </w:pPr>
  </w:style>
  <w:style w:type="paragraph" w:customStyle="1" w:styleId="Footer1">
    <w:name w:val="Footer1"/>
    <w:basedOn w:val="Standaard"/>
    <w:rsid w:val="007E6215"/>
    <w:pPr>
      <w:suppressLineNumbers/>
      <w:tabs>
        <w:tab w:val="center" w:pos="3742"/>
        <w:tab w:val="right" w:pos="7484"/>
      </w:tabs>
    </w:pPr>
  </w:style>
  <w:style w:type="paragraph" w:customStyle="1" w:styleId="Huisstijl-Paginanummer">
    <w:name w:val="Huisstijl - Paginanummer"/>
    <w:basedOn w:val="Standaard"/>
    <w:rsid w:val="007E6215"/>
    <w:pPr>
      <w:spacing w:line="240" w:lineRule="auto"/>
    </w:pPr>
    <w:rPr>
      <w:sz w:val="13"/>
    </w:rPr>
  </w:style>
  <w:style w:type="character" w:customStyle="1" w:styleId="Placeholder">
    <w:name w:val="Placeholder"/>
    <w:rsid w:val="00DA3FE9"/>
    <w:rPr>
      <w:smallCaps/>
      <w:color w:val="008080"/>
      <w:u w:val="dotted"/>
    </w:rPr>
  </w:style>
  <w:style w:type="character" w:customStyle="1" w:styleId="NumberingSymbols">
    <w:name w:val="Numbering Symbols"/>
    <w:rsid w:val="00DA3FE9"/>
    <w:rPr>
      <w:rFonts w:ascii="Verdana" w:hAnsi="Verdana"/>
      <w:sz w:val="18"/>
    </w:rPr>
  </w:style>
  <w:style w:type="character" w:customStyle="1" w:styleId="BulletSymbols">
    <w:name w:val="Bullet Symbols"/>
    <w:rsid w:val="00DA3FE9"/>
    <w:rPr>
      <w:rFonts w:ascii="Verdana" w:eastAsia="OpenSymbol" w:hAnsi="Verdana" w:cs="OpenSymbol"/>
      <w:sz w:val="26"/>
    </w:rPr>
  </w:style>
  <w:style w:type="character" w:customStyle="1" w:styleId="Huisstijl-Aankruisvakken">
    <w:name w:val="Huisstijl - Aankruisvakken"/>
    <w:rsid w:val="00DA3FE9"/>
    <w:rPr>
      <w:rFonts w:ascii="Verdana" w:hAnsi="Verdana"/>
      <w:sz w:val="26"/>
    </w:rPr>
  </w:style>
  <w:style w:type="paragraph" w:styleId="Koptekst">
    <w:name w:val="header"/>
    <w:basedOn w:val="Standaard"/>
    <w:link w:val="KoptekstChar"/>
    <w:uiPriority w:val="99"/>
    <w:unhideWhenUsed/>
    <w:rsid w:val="00DA3FE9"/>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DA3FE9"/>
    <w:rPr>
      <w:rFonts w:cs="Mangal"/>
      <w:szCs w:val="21"/>
    </w:rPr>
  </w:style>
  <w:style w:type="paragraph" w:styleId="Voettekst">
    <w:name w:val="footer"/>
    <w:basedOn w:val="Standaard"/>
    <w:link w:val="VoettekstChar"/>
    <w:uiPriority w:val="99"/>
    <w:unhideWhenUsed/>
    <w:rsid w:val="00DA3FE9"/>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DA3FE9"/>
    <w:rPr>
      <w:rFonts w:cs="Mangal"/>
      <w:szCs w:val="21"/>
    </w:rPr>
  </w:style>
  <w:style w:type="paragraph" w:styleId="Ballontekst">
    <w:name w:val="Balloon Text"/>
    <w:basedOn w:val="Standaard"/>
    <w:link w:val="BallontekstChar"/>
    <w:uiPriority w:val="99"/>
    <w:semiHidden/>
    <w:unhideWhenUsed/>
    <w:rsid w:val="00DA3FE9"/>
    <w:rPr>
      <w:rFonts w:ascii="Tahoma" w:hAnsi="Tahoma" w:cs="Mangal"/>
      <w:sz w:val="16"/>
      <w:szCs w:val="14"/>
    </w:rPr>
  </w:style>
  <w:style w:type="character" w:customStyle="1" w:styleId="BallontekstChar">
    <w:name w:val="Ballontekst Char"/>
    <w:basedOn w:val="Standaardalinea-lettertype"/>
    <w:link w:val="Ballontekst"/>
    <w:uiPriority w:val="99"/>
    <w:semiHidden/>
    <w:rsid w:val="00DA3FE9"/>
    <w:rPr>
      <w:rFonts w:ascii="Tahoma" w:hAnsi="Tahoma" w:cs="Mangal"/>
      <w:sz w:val="16"/>
      <w:szCs w:val="14"/>
    </w:rPr>
  </w:style>
  <w:style w:type="paragraph" w:customStyle="1" w:styleId="Huisstijl-AfzendgegevenskopW1">
    <w:name w:val="Huisstijl - Afzendgegevens kop W1"/>
    <w:basedOn w:val="Huisstijl-Afzendgegevenskop"/>
    <w:qFormat/>
    <w:rsid w:val="00DA3FE9"/>
    <w:pPr>
      <w:spacing w:before="90"/>
    </w:pPr>
  </w:style>
  <w:style w:type="paragraph" w:customStyle="1" w:styleId="Huisstijl-AfzendgegevensC">
    <w:name w:val="Huisstijl - Afzendgegevens C"/>
    <w:basedOn w:val="Huisstijl-Afzendgegevens"/>
    <w:qFormat/>
    <w:rsid w:val="00DA3FE9"/>
    <w:rPr>
      <w:i/>
    </w:rPr>
  </w:style>
  <w:style w:type="paragraph" w:customStyle="1" w:styleId="Huisstijl-AfzendgegevensMdtn">
    <w:name w:val="Huisstijl - Afzendgegevens Mdtn"/>
    <w:basedOn w:val="Huisstijl-Afzendgegevens"/>
    <w:qFormat/>
    <w:rsid w:val="00DA3FE9"/>
    <w:pPr>
      <w:tabs>
        <w:tab w:val="clear" w:pos="170"/>
        <w:tab w:val="left" w:pos="482"/>
      </w:tabs>
    </w:pPr>
  </w:style>
  <w:style w:type="paragraph" w:customStyle="1" w:styleId="Huisstijl-TitelDocumentnaam">
    <w:name w:val="Huisstijl - Titel/Documentnaam"/>
    <w:basedOn w:val="Huisstijl-Aanhef"/>
    <w:qFormat/>
    <w:rsid w:val="00DA3FE9"/>
    <w:pPr>
      <w:spacing w:before="60" w:after="320"/>
    </w:pPr>
    <w:rPr>
      <w:sz w:val="24"/>
    </w:rPr>
  </w:style>
  <w:style w:type="paragraph" w:customStyle="1" w:styleId="Huisstijl-Versie">
    <w:name w:val="Huisstijl - Versie"/>
    <w:basedOn w:val="Huisstijl-TitelDocumentnaam"/>
    <w:qFormat/>
    <w:rsid w:val="00DA3FE9"/>
    <w:pPr>
      <w:spacing w:after="360"/>
    </w:pPr>
    <w:rPr>
      <w:sz w:val="18"/>
    </w:rPr>
  </w:style>
  <w:style w:type="paragraph" w:customStyle="1" w:styleId="Huisstijl-Titel">
    <w:name w:val="Huisstijl - Titel"/>
    <w:basedOn w:val="Standaard"/>
    <w:qFormat/>
    <w:rsid w:val="007E6215"/>
    <w:pPr>
      <w:spacing w:after="740"/>
    </w:pPr>
    <w:rPr>
      <w:sz w:val="24"/>
    </w:rPr>
  </w:style>
  <w:style w:type="table" w:styleId="Tabelraster">
    <w:name w:val="Table Grid"/>
    <w:basedOn w:val="Standaardtabel"/>
    <w:uiPriority w:val="59"/>
    <w:rsid w:val="00DA3FE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uisstijl-Subtitel">
    <w:name w:val="Huisstijl - Subtitel"/>
    <w:qFormat/>
    <w:rsid w:val="00DA3FE9"/>
    <w:pPr>
      <w:spacing w:before="240" w:after="360"/>
    </w:pPr>
    <w:rPr>
      <w:rFonts w:ascii="Verdana" w:hAnsi="Verdana"/>
      <w:noProof/>
    </w:rPr>
  </w:style>
  <w:style w:type="paragraph" w:customStyle="1" w:styleId="Huisstijl-Extrasubtitel">
    <w:name w:val="Huisstijl - Extra subtitel"/>
    <w:basedOn w:val="Huisstijl-TitelDocumentnaam"/>
    <w:qFormat/>
    <w:rsid w:val="00DA3FE9"/>
    <w:pPr>
      <w:spacing w:after="300"/>
    </w:pPr>
    <w:rPr>
      <w:noProof/>
    </w:rPr>
  </w:style>
  <w:style w:type="paragraph" w:customStyle="1" w:styleId="Huisstijl-Colofon">
    <w:name w:val="Huisstijl - Colofon"/>
    <w:basedOn w:val="Standaard"/>
    <w:qFormat/>
    <w:rsid w:val="007E6215"/>
  </w:style>
  <w:style w:type="paragraph" w:customStyle="1" w:styleId="Huisstijl-ColofonCursief">
    <w:name w:val="Huisstijl - Colofon Cursief"/>
    <w:basedOn w:val="Huisstijl-Colofon"/>
    <w:qFormat/>
    <w:rsid w:val="00DA3FE9"/>
    <w:rPr>
      <w:i/>
      <w:noProof/>
    </w:rPr>
  </w:style>
  <w:style w:type="paragraph" w:customStyle="1" w:styleId="Huisstijl-koptekst">
    <w:name w:val="Huisstijl - koptekst"/>
    <w:basedOn w:val="Standaard"/>
    <w:qFormat/>
    <w:rsid w:val="007E6215"/>
    <w:rPr>
      <w:sz w:val="13"/>
    </w:rPr>
  </w:style>
  <w:style w:type="character" w:styleId="Subtieleverwijzing">
    <w:name w:val="Subtle Reference"/>
    <w:basedOn w:val="Standaardalinea-lettertype"/>
    <w:uiPriority w:val="31"/>
    <w:qFormat/>
    <w:rsid w:val="00DA3FE9"/>
    <w:rPr>
      <w:smallCaps/>
      <w:color w:val="C0504D" w:themeColor="accent2"/>
      <w:u w:val="single"/>
    </w:rPr>
  </w:style>
  <w:style w:type="character" w:customStyle="1" w:styleId="Huisstijl-Koptekststatus">
    <w:name w:val="Huisstijl - Koptekst status"/>
    <w:uiPriority w:val="1"/>
    <w:qFormat/>
    <w:rsid w:val="00DA3FE9"/>
    <w:rPr>
      <w:rFonts w:ascii="Verdana" w:hAnsi="Verdana"/>
      <w:caps/>
      <w:sz w:val="13"/>
    </w:rPr>
  </w:style>
  <w:style w:type="character" w:customStyle="1" w:styleId="Kop1Char">
    <w:name w:val="Kop 1 Char"/>
    <w:basedOn w:val="Standaardalinea-lettertype"/>
    <w:link w:val="Kop1"/>
    <w:uiPriority w:val="9"/>
    <w:rsid w:val="00DA3FE9"/>
    <w:rPr>
      <w:rFonts w:ascii="Verdana" w:eastAsiaTheme="majorEastAsia" w:hAnsi="Verdana" w:cs="Mangal"/>
      <w:bCs/>
      <w:color w:val="000000" w:themeColor="text1"/>
      <w:szCs w:val="25"/>
    </w:rPr>
  </w:style>
  <w:style w:type="paragraph" w:styleId="Inhopg1">
    <w:name w:val="toc 1"/>
    <w:basedOn w:val="Standaard"/>
    <w:next w:val="Standaard"/>
    <w:autoRedefine/>
    <w:uiPriority w:val="39"/>
    <w:unhideWhenUsed/>
    <w:rsid w:val="00C04F6D"/>
    <w:pPr>
      <w:tabs>
        <w:tab w:val="left" w:pos="0"/>
        <w:tab w:val="right" w:pos="7655"/>
      </w:tabs>
      <w:spacing w:before="240" w:line="240" w:lineRule="auto"/>
      <w:ind w:left="-1134"/>
    </w:pPr>
    <w:rPr>
      <w:rFonts w:cs="Mangal"/>
      <w:b/>
      <w:noProof/>
      <w:szCs w:val="21"/>
    </w:rPr>
  </w:style>
  <w:style w:type="character" w:styleId="Hyperlink">
    <w:name w:val="Hyperlink"/>
    <w:basedOn w:val="Standaardalinea-lettertype"/>
    <w:uiPriority w:val="99"/>
    <w:unhideWhenUsed/>
    <w:rsid w:val="00DA3FE9"/>
    <w:rPr>
      <w:color w:val="0000FF" w:themeColor="hyperlink"/>
      <w:u w:val="single"/>
    </w:rPr>
  </w:style>
  <w:style w:type="character" w:customStyle="1" w:styleId="Kop2Char">
    <w:name w:val="Kop 2 Char"/>
    <w:basedOn w:val="Standaardalinea-lettertype"/>
    <w:link w:val="Kop2"/>
    <w:uiPriority w:val="9"/>
    <w:rsid w:val="00DA3FE9"/>
    <w:rPr>
      <w:rFonts w:ascii="Verdana" w:eastAsiaTheme="majorEastAsia" w:hAnsi="Verdana" w:cs="Mangal"/>
      <w:bCs/>
      <w:color w:val="000000" w:themeColor="text1"/>
      <w:sz w:val="18"/>
      <w:szCs w:val="23"/>
    </w:rPr>
  </w:style>
  <w:style w:type="character" w:customStyle="1" w:styleId="Kop3Char">
    <w:name w:val="Kop 3 Char"/>
    <w:basedOn w:val="Standaardalinea-lettertype"/>
    <w:link w:val="Kop3"/>
    <w:uiPriority w:val="9"/>
    <w:rsid w:val="00DA3FE9"/>
    <w:rPr>
      <w:rFonts w:asciiTheme="majorHAnsi" w:eastAsiaTheme="majorEastAsia" w:hAnsiTheme="majorHAnsi" w:cs="Mangal"/>
      <w:b/>
      <w:bCs/>
      <w:color w:val="4F81BD" w:themeColor="accent1"/>
      <w:szCs w:val="21"/>
    </w:rPr>
  </w:style>
  <w:style w:type="paragraph" w:styleId="Inhopg2">
    <w:name w:val="toc 2"/>
    <w:basedOn w:val="Standaard"/>
    <w:next w:val="Standaard"/>
    <w:autoRedefine/>
    <w:uiPriority w:val="39"/>
    <w:unhideWhenUsed/>
    <w:rsid w:val="001A2F1C"/>
    <w:pPr>
      <w:tabs>
        <w:tab w:val="left" w:pos="0"/>
        <w:tab w:val="right" w:pos="7655"/>
      </w:tabs>
      <w:ind w:right="54" w:hanging="1134"/>
    </w:pPr>
    <w:rPr>
      <w:rFonts w:cs="Mangal"/>
      <w:noProof/>
      <w:szCs w:val="21"/>
    </w:rPr>
  </w:style>
  <w:style w:type="numbering" w:customStyle="1" w:styleId="WWOutlineListStyle">
    <w:name w:val="WW_OutlineListStyle"/>
    <w:basedOn w:val="Geenlijst"/>
    <w:rsid w:val="00DA3FE9"/>
    <w:pPr>
      <w:numPr>
        <w:numId w:val="14"/>
      </w:numPr>
    </w:pPr>
  </w:style>
  <w:style w:type="paragraph" w:customStyle="1" w:styleId="Huisstijl-Kop1">
    <w:name w:val="Huisstijl - Kop 1"/>
    <w:basedOn w:val="Standaard"/>
    <w:next w:val="Standaard"/>
    <w:rsid w:val="00D13F22"/>
    <w:pPr>
      <w:numPr>
        <w:numId w:val="5"/>
      </w:numPr>
      <w:spacing w:after="720" w:line="300" w:lineRule="exact"/>
      <w:ind w:hanging="1134"/>
      <w:outlineLvl w:val="0"/>
    </w:pPr>
    <w:rPr>
      <w:sz w:val="24"/>
    </w:rPr>
  </w:style>
  <w:style w:type="paragraph" w:customStyle="1" w:styleId="Huisstijl-Kop2">
    <w:name w:val="Huisstijl - Kop 2"/>
    <w:basedOn w:val="Huisstijl-Kop1"/>
    <w:next w:val="Standaard"/>
    <w:rsid w:val="00D13F22"/>
    <w:pPr>
      <w:numPr>
        <w:ilvl w:val="1"/>
      </w:numPr>
      <w:spacing w:before="240" w:after="0" w:line="240" w:lineRule="exact"/>
      <w:outlineLvl w:val="1"/>
    </w:pPr>
    <w:rPr>
      <w:b/>
      <w:sz w:val="18"/>
    </w:rPr>
  </w:style>
  <w:style w:type="paragraph" w:customStyle="1" w:styleId="Huisstijl-Kop3">
    <w:name w:val="Huisstijl - Kop 3"/>
    <w:basedOn w:val="Huisstijl-Kop2"/>
    <w:next w:val="Standaard"/>
    <w:rsid w:val="00DA3FE9"/>
    <w:pPr>
      <w:numPr>
        <w:ilvl w:val="2"/>
      </w:numPr>
      <w:outlineLvl w:val="2"/>
    </w:pPr>
    <w:rPr>
      <w:b w:val="0"/>
      <w:i/>
    </w:rPr>
  </w:style>
  <w:style w:type="paragraph" w:customStyle="1" w:styleId="Huisstijl-Kop4">
    <w:name w:val="Huisstijl - Kop 4"/>
    <w:basedOn w:val="Huisstijl-Kop3"/>
    <w:next w:val="Standaard"/>
    <w:rsid w:val="00DA3FE9"/>
    <w:pPr>
      <w:numPr>
        <w:ilvl w:val="3"/>
      </w:numPr>
      <w:outlineLvl w:val="3"/>
    </w:pPr>
    <w:rPr>
      <w:i w:val="0"/>
    </w:rPr>
  </w:style>
  <w:style w:type="paragraph" w:customStyle="1" w:styleId="Huisstijl-Inhoudsopgavekop">
    <w:name w:val="Huisstijl - Inhoudsopgave kop"/>
    <w:basedOn w:val="Standaard"/>
    <w:rsid w:val="00DA3FE9"/>
    <w:pPr>
      <w:spacing w:after="720" w:line="300" w:lineRule="exact"/>
    </w:pPr>
  </w:style>
  <w:style w:type="paragraph" w:styleId="Inhopg3">
    <w:name w:val="toc 3"/>
    <w:basedOn w:val="Standaard"/>
    <w:next w:val="Standaard"/>
    <w:autoRedefine/>
    <w:uiPriority w:val="39"/>
    <w:unhideWhenUsed/>
    <w:rsid w:val="00112E36"/>
    <w:pPr>
      <w:tabs>
        <w:tab w:val="left" w:pos="0"/>
        <w:tab w:val="right" w:pos="7655"/>
      </w:tabs>
      <w:ind w:hanging="1134"/>
    </w:pPr>
    <w:rPr>
      <w:rFonts w:cs="Mangal"/>
      <w:noProof/>
      <w:szCs w:val="21"/>
    </w:rPr>
  </w:style>
  <w:style w:type="paragraph" w:styleId="Inhopg4">
    <w:name w:val="toc 4"/>
    <w:basedOn w:val="Standaard"/>
    <w:next w:val="Standaard"/>
    <w:autoRedefine/>
    <w:uiPriority w:val="39"/>
    <w:unhideWhenUsed/>
    <w:rsid w:val="00DA3FE9"/>
    <w:pPr>
      <w:tabs>
        <w:tab w:val="left" w:pos="0"/>
      </w:tabs>
      <w:ind w:hanging="1134"/>
    </w:pPr>
    <w:rPr>
      <w:rFonts w:cs="Mangal"/>
      <w:noProof/>
      <w:szCs w:val="21"/>
    </w:rPr>
  </w:style>
  <w:style w:type="paragraph" w:styleId="Inhopg9">
    <w:name w:val="toc 9"/>
    <w:basedOn w:val="Standaard"/>
    <w:next w:val="Standaard"/>
    <w:autoRedefine/>
    <w:uiPriority w:val="39"/>
    <w:unhideWhenUsed/>
    <w:rsid w:val="00DB1EE8"/>
    <w:pPr>
      <w:tabs>
        <w:tab w:val="right" w:pos="7655"/>
      </w:tabs>
    </w:pPr>
    <w:rPr>
      <w:rFonts w:cs="Mangal"/>
      <w:szCs w:val="21"/>
    </w:rPr>
  </w:style>
  <w:style w:type="paragraph" w:styleId="Lijstalinea">
    <w:name w:val="List Paragraph"/>
    <w:basedOn w:val="Standaard"/>
    <w:uiPriority w:val="34"/>
    <w:qFormat/>
    <w:rsid w:val="00DD37E9"/>
    <w:pPr>
      <w:widowControl/>
      <w:suppressAutoHyphens w:val="0"/>
      <w:autoSpaceDN/>
      <w:spacing w:after="200" w:line="276" w:lineRule="auto"/>
      <w:ind w:left="720"/>
      <w:contextualSpacing/>
      <w:textAlignment w:val="auto"/>
    </w:pPr>
    <w:rPr>
      <w:rFonts w:asciiTheme="minorHAnsi" w:eastAsiaTheme="minorHAnsi" w:hAnsiTheme="minorHAnsi" w:cstheme="minorBidi"/>
      <w:kern w:val="0"/>
      <w:sz w:val="22"/>
      <w:szCs w:val="22"/>
      <w:lang w:eastAsia="en-US" w:bidi="ar-SA"/>
    </w:rPr>
  </w:style>
  <w:style w:type="character" w:styleId="Verwijzingopmerking">
    <w:name w:val="annotation reference"/>
    <w:basedOn w:val="Standaardalinea-lettertype"/>
    <w:uiPriority w:val="99"/>
    <w:semiHidden/>
    <w:unhideWhenUsed/>
    <w:rsid w:val="00BE3872"/>
    <w:rPr>
      <w:sz w:val="16"/>
      <w:szCs w:val="16"/>
    </w:rPr>
  </w:style>
  <w:style w:type="paragraph" w:styleId="Tekstopmerking">
    <w:name w:val="annotation text"/>
    <w:basedOn w:val="Standaard"/>
    <w:link w:val="TekstopmerkingChar"/>
    <w:uiPriority w:val="99"/>
    <w:semiHidden/>
    <w:unhideWhenUsed/>
    <w:rsid w:val="00BE3872"/>
    <w:pPr>
      <w:widowControl/>
      <w:suppressAutoHyphens w:val="0"/>
      <w:autoSpaceDN/>
      <w:spacing w:after="200" w:line="240" w:lineRule="auto"/>
      <w:textAlignment w:val="auto"/>
    </w:pPr>
    <w:rPr>
      <w:rFonts w:asciiTheme="minorHAnsi" w:eastAsiaTheme="minorHAnsi" w:hAnsiTheme="minorHAnsi" w:cstheme="minorBidi"/>
      <w:kern w:val="0"/>
      <w:sz w:val="20"/>
      <w:szCs w:val="20"/>
      <w:lang w:eastAsia="en-US" w:bidi="ar-SA"/>
    </w:rPr>
  </w:style>
  <w:style w:type="character" w:customStyle="1" w:styleId="TekstopmerkingChar">
    <w:name w:val="Tekst opmerking Char"/>
    <w:basedOn w:val="Standaardalinea-lettertype"/>
    <w:link w:val="Tekstopmerking"/>
    <w:uiPriority w:val="99"/>
    <w:semiHidden/>
    <w:rsid w:val="00BE3872"/>
    <w:rPr>
      <w:rFonts w:asciiTheme="minorHAnsi" w:eastAsiaTheme="minorHAnsi" w:hAnsiTheme="minorHAnsi" w:cstheme="minorBidi"/>
      <w:kern w:val="0"/>
      <w:sz w:val="20"/>
      <w:szCs w:val="20"/>
      <w:lang w:eastAsia="en-US" w:bidi="ar-SA"/>
    </w:rPr>
  </w:style>
  <w:style w:type="paragraph" w:styleId="Onderwerpvanopmerking">
    <w:name w:val="annotation subject"/>
    <w:basedOn w:val="Tekstopmerking"/>
    <w:next w:val="Tekstopmerking"/>
    <w:link w:val="OnderwerpvanopmerkingChar"/>
    <w:uiPriority w:val="99"/>
    <w:semiHidden/>
    <w:unhideWhenUsed/>
    <w:rsid w:val="0056616B"/>
    <w:pPr>
      <w:widowControl w:val="0"/>
      <w:suppressAutoHyphens/>
      <w:autoSpaceDN w:val="0"/>
      <w:spacing w:after="0"/>
      <w:textAlignment w:val="baseline"/>
    </w:pPr>
    <w:rPr>
      <w:rFonts w:ascii="Verdana" w:eastAsia="DejaVu Sans" w:hAnsi="Verdana" w:cs="Mangal"/>
      <w:b/>
      <w:bCs/>
      <w:kern w:val="3"/>
      <w:szCs w:val="18"/>
      <w:lang w:eastAsia="zh-CN" w:bidi="hi-IN"/>
    </w:rPr>
  </w:style>
  <w:style w:type="character" w:customStyle="1" w:styleId="OnderwerpvanopmerkingChar">
    <w:name w:val="Onderwerp van opmerking Char"/>
    <w:basedOn w:val="TekstopmerkingChar"/>
    <w:link w:val="Onderwerpvanopmerking"/>
    <w:uiPriority w:val="99"/>
    <w:semiHidden/>
    <w:rsid w:val="0056616B"/>
    <w:rPr>
      <w:rFonts w:ascii="Verdana" w:eastAsiaTheme="minorHAnsi" w:hAnsi="Verdana" w:cs="Mangal"/>
      <w:b/>
      <w:bCs/>
      <w:kern w:val="0"/>
      <w:sz w:val="20"/>
      <w:szCs w:val="18"/>
      <w:lang w:eastAsia="en-US" w:bidi="ar-SA"/>
    </w:rPr>
  </w:style>
  <w:style w:type="paragraph" w:styleId="Normaalweb">
    <w:name w:val="Normal (Web)"/>
    <w:basedOn w:val="Standaard"/>
    <w:uiPriority w:val="99"/>
    <w:unhideWhenUsed/>
    <w:rsid w:val="00B33F1B"/>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lang w:eastAsia="nl-NL" w:bidi="ar-SA"/>
    </w:rPr>
  </w:style>
  <w:style w:type="paragraph" w:customStyle="1" w:styleId="Default">
    <w:name w:val="Default"/>
    <w:rsid w:val="00A74214"/>
    <w:pPr>
      <w:widowControl/>
      <w:suppressAutoHyphens w:val="0"/>
      <w:autoSpaceDE w:val="0"/>
      <w:adjustRightInd w:val="0"/>
      <w:textAlignment w:val="auto"/>
    </w:pPr>
    <w:rPr>
      <w:rFonts w:ascii="Verdana" w:eastAsiaTheme="minorHAnsi" w:hAnsi="Verdana" w:cs="Verdana"/>
      <w:color w:val="000000"/>
      <w:kern w:val="0"/>
      <w:lang w:eastAsia="en-US" w:bidi="ar-SA"/>
    </w:rPr>
  </w:style>
  <w:style w:type="paragraph" w:styleId="Geenafstand">
    <w:name w:val="No Spacing"/>
    <w:uiPriority w:val="1"/>
    <w:qFormat/>
    <w:rsid w:val="001B1708"/>
    <w:pPr>
      <w:widowControl/>
      <w:suppressAutoHyphens w:val="0"/>
      <w:autoSpaceDN/>
      <w:textAlignment w:val="auto"/>
    </w:pPr>
    <w:rPr>
      <w:rFonts w:asciiTheme="minorHAnsi" w:eastAsiaTheme="minorHAnsi" w:hAnsiTheme="minorHAnsi" w:cstheme="minorBidi"/>
      <w:kern w:val="0"/>
      <w:sz w:val="22"/>
      <w:szCs w:val="22"/>
      <w:lang w:eastAsia="en-US" w:bidi="ar-SA"/>
    </w:rPr>
  </w:style>
  <w:style w:type="paragraph" w:customStyle="1" w:styleId="intro">
    <w:name w:val="intro"/>
    <w:basedOn w:val="Standaard"/>
    <w:rsid w:val="00DB5B32"/>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lang w:eastAsia="nl-NL" w:bidi="ar-SA"/>
    </w:rPr>
  </w:style>
  <w:style w:type="paragraph" w:styleId="Voetnoottekst">
    <w:name w:val="footnote text"/>
    <w:basedOn w:val="Standaard"/>
    <w:link w:val="VoetnoottekstChar"/>
    <w:uiPriority w:val="99"/>
    <w:semiHidden/>
    <w:unhideWhenUsed/>
    <w:rsid w:val="00B257F2"/>
    <w:pPr>
      <w:spacing w:line="240" w:lineRule="auto"/>
    </w:pPr>
    <w:rPr>
      <w:rFonts w:cs="Mangal"/>
      <w:sz w:val="20"/>
      <w:szCs w:val="18"/>
    </w:rPr>
  </w:style>
  <w:style w:type="character" w:customStyle="1" w:styleId="VoetnoottekstChar">
    <w:name w:val="Voetnoottekst Char"/>
    <w:basedOn w:val="Standaardalinea-lettertype"/>
    <w:link w:val="Voetnoottekst"/>
    <w:uiPriority w:val="99"/>
    <w:semiHidden/>
    <w:rsid w:val="00B257F2"/>
    <w:rPr>
      <w:rFonts w:ascii="Verdana" w:hAnsi="Verdana" w:cs="Mangal"/>
      <w:sz w:val="20"/>
      <w:szCs w:val="18"/>
    </w:rPr>
  </w:style>
  <w:style w:type="character" w:styleId="Voetnootmarkering">
    <w:name w:val="footnote reference"/>
    <w:basedOn w:val="Standaardalinea-lettertype"/>
    <w:uiPriority w:val="99"/>
    <w:semiHidden/>
    <w:unhideWhenUsed/>
    <w:rsid w:val="00B257F2"/>
    <w:rPr>
      <w:vertAlign w:val="superscript"/>
    </w:rPr>
  </w:style>
  <w:style w:type="character" w:styleId="HTML-citaat">
    <w:name w:val="HTML Cite"/>
    <w:basedOn w:val="Standaardalinea-lettertype"/>
    <w:uiPriority w:val="99"/>
    <w:semiHidden/>
    <w:unhideWhenUsed/>
    <w:rsid w:val="007C442D"/>
    <w:rPr>
      <w:i/>
      <w:iCs/>
    </w:rPr>
  </w:style>
  <w:style w:type="paragraph" w:customStyle="1" w:styleId="mnone">
    <w:name w:val="mnone"/>
    <w:basedOn w:val="Standaard"/>
    <w:rsid w:val="004C1FD6"/>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lang w:eastAsia="nl-NL" w:bidi="ar-SA"/>
    </w:rPr>
  </w:style>
  <w:style w:type="paragraph" w:customStyle="1" w:styleId="mtop">
    <w:name w:val="mtop"/>
    <w:basedOn w:val="Standaard"/>
    <w:rsid w:val="004C1FD6"/>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lang w:eastAsia="nl-NL" w:bidi="ar-SA"/>
    </w:rPr>
  </w:style>
  <w:style w:type="paragraph" w:styleId="Tekstzonderopmaak">
    <w:name w:val="Plain Text"/>
    <w:basedOn w:val="Standaard"/>
    <w:link w:val="TekstzonderopmaakChar"/>
    <w:uiPriority w:val="99"/>
    <w:unhideWhenUsed/>
    <w:rsid w:val="00DD1F7D"/>
    <w:pPr>
      <w:widowControl/>
      <w:suppressAutoHyphens w:val="0"/>
      <w:autoSpaceDN/>
      <w:spacing w:line="240" w:lineRule="auto"/>
      <w:textAlignment w:val="auto"/>
    </w:pPr>
    <w:rPr>
      <w:rFonts w:eastAsiaTheme="minorHAnsi" w:cstheme="minorBidi"/>
      <w:kern w:val="0"/>
      <w:sz w:val="20"/>
      <w:szCs w:val="21"/>
      <w:lang w:eastAsia="en-US" w:bidi="ar-SA"/>
    </w:rPr>
  </w:style>
  <w:style w:type="character" w:customStyle="1" w:styleId="TekstzonderopmaakChar">
    <w:name w:val="Tekst zonder opmaak Char"/>
    <w:basedOn w:val="Standaardalinea-lettertype"/>
    <w:link w:val="Tekstzonderopmaak"/>
    <w:uiPriority w:val="99"/>
    <w:rsid w:val="00DD1F7D"/>
    <w:rPr>
      <w:rFonts w:ascii="Verdana" w:eastAsiaTheme="minorHAnsi" w:hAnsi="Verdana" w:cstheme="minorBidi"/>
      <w:kern w:val="0"/>
      <w:sz w:val="20"/>
      <w:szCs w:val="21"/>
      <w:lang w:eastAsia="en-US" w:bidi="ar-SA"/>
    </w:rPr>
  </w:style>
  <w:style w:type="paragraph" w:customStyle="1" w:styleId="BijschriftTabel">
    <w:name w:val="BijschriftTabel"/>
    <w:basedOn w:val="Standaard"/>
    <w:next w:val="Standaard"/>
    <w:link w:val="BijschriftTabelChar"/>
    <w:rsid w:val="00AA0724"/>
    <w:pPr>
      <w:widowControl/>
      <w:suppressAutoHyphens w:val="0"/>
      <w:autoSpaceDN/>
      <w:spacing w:before="120" w:after="20" w:line="301" w:lineRule="atLeast"/>
      <w:ind w:hanging="1474"/>
      <w:textAlignment w:val="auto"/>
    </w:pPr>
    <w:rPr>
      <w:rFonts w:ascii="Arial" w:eastAsia="Times New Roman" w:hAnsi="Arial" w:cs="Times New Roman"/>
      <w:b/>
      <w:kern w:val="0"/>
      <w:sz w:val="19"/>
      <w:szCs w:val="20"/>
      <w:lang w:eastAsia="en-US" w:bidi="ar-SA"/>
    </w:rPr>
  </w:style>
  <w:style w:type="character" w:customStyle="1" w:styleId="BijschriftTabelChar">
    <w:name w:val="BijschriftTabel Char"/>
    <w:link w:val="BijschriftTabel"/>
    <w:rsid w:val="00AA0724"/>
    <w:rPr>
      <w:rFonts w:ascii="Arial" w:eastAsia="Times New Roman" w:hAnsi="Arial" w:cs="Times New Roman"/>
      <w:b/>
      <w:kern w:val="0"/>
      <w:sz w:val="19"/>
      <w:szCs w:val="20"/>
      <w:lang w:eastAsia="en-US" w:bidi="ar-SA"/>
    </w:rPr>
  </w:style>
  <w:style w:type="paragraph" w:styleId="Eindnoottekst">
    <w:name w:val="endnote text"/>
    <w:basedOn w:val="Standaard"/>
    <w:link w:val="EindnoottekstChar"/>
    <w:uiPriority w:val="99"/>
    <w:semiHidden/>
    <w:unhideWhenUsed/>
    <w:rsid w:val="00BD0990"/>
    <w:pPr>
      <w:spacing w:line="240" w:lineRule="auto"/>
    </w:pPr>
    <w:rPr>
      <w:rFonts w:cs="Mangal"/>
      <w:sz w:val="20"/>
      <w:szCs w:val="18"/>
    </w:rPr>
  </w:style>
  <w:style w:type="character" w:customStyle="1" w:styleId="EindnoottekstChar">
    <w:name w:val="Eindnoottekst Char"/>
    <w:basedOn w:val="Standaardalinea-lettertype"/>
    <w:link w:val="Eindnoottekst"/>
    <w:uiPriority w:val="99"/>
    <w:semiHidden/>
    <w:rsid w:val="00BD0990"/>
    <w:rPr>
      <w:rFonts w:ascii="Verdana" w:hAnsi="Verdana" w:cs="Mangal"/>
      <w:sz w:val="20"/>
      <w:szCs w:val="18"/>
    </w:rPr>
  </w:style>
  <w:style w:type="character" w:styleId="Eindnootmarkering">
    <w:name w:val="endnote reference"/>
    <w:basedOn w:val="Standaardalinea-lettertype"/>
    <w:uiPriority w:val="99"/>
    <w:semiHidden/>
    <w:unhideWhenUsed/>
    <w:rsid w:val="00BD0990"/>
    <w:rPr>
      <w:vertAlign w:val="superscript"/>
    </w:rPr>
  </w:style>
  <w:style w:type="character" w:styleId="GevolgdeHyperlink">
    <w:name w:val="FollowedHyperlink"/>
    <w:basedOn w:val="Standaardalinea-lettertype"/>
    <w:uiPriority w:val="99"/>
    <w:semiHidden/>
    <w:unhideWhenUsed/>
    <w:rsid w:val="0084582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2000305">
      <w:bodyDiv w:val="1"/>
      <w:marLeft w:val="0"/>
      <w:marRight w:val="0"/>
      <w:marTop w:val="0"/>
      <w:marBottom w:val="0"/>
      <w:divBdr>
        <w:top w:val="none" w:sz="0" w:space="0" w:color="auto"/>
        <w:left w:val="none" w:sz="0" w:space="0" w:color="auto"/>
        <w:bottom w:val="none" w:sz="0" w:space="0" w:color="auto"/>
        <w:right w:val="none" w:sz="0" w:space="0" w:color="auto"/>
      </w:divBdr>
    </w:div>
    <w:div w:id="33163575">
      <w:bodyDiv w:val="1"/>
      <w:marLeft w:val="0"/>
      <w:marRight w:val="0"/>
      <w:marTop w:val="0"/>
      <w:marBottom w:val="0"/>
      <w:divBdr>
        <w:top w:val="none" w:sz="0" w:space="0" w:color="auto"/>
        <w:left w:val="none" w:sz="0" w:space="0" w:color="auto"/>
        <w:bottom w:val="none" w:sz="0" w:space="0" w:color="auto"/>
        <w:right w:val="none" w:sz="0" w:space="0" w:color="auto"/>
      </w:divBdr>
    </w:div>
    <w:div w:id="97913475">
      <w:bodyDiv w:val="1"/>
      <w:marLeft w:val="0"/>
      <w:marRight w:val="0"/>
      <w:marTop w:val="0"/>
      <w:marBottom w:val="0"/>
      <w:divBdr>
        <w:top w:val="none" w:sz="0" w:space="0" w:color="auto"/>
        <w:left w:val="none" w:sz="0" w:space="0" w:color="auto"/>
        <w:bottom w:val="none" w:sz="0" w:space="0" w:color="auto"/>
        <w:right w:val="none" w:sz="0" w:space="0" w:color="auto"/>
      </w:divBdr>
      <w:divsChild>
        <w:div w:id="2064021022">
          <w:marLeft w:val="0"/>
          <w:marRight w:val="0"/>
          <w:marTop w:val="0"/>
          <w:marBottom w:val="0"/>
          <w:divBdr>
            <w:top w:val="none" w:sz="0" w:space="0" w:color="auto"/>
            <w:left w:val="none" w:sz="0" w:space="0" w:color="auto"/>
            <w:bottom w:val="none" w:sz="0" w:space="0" w:color="auto"/>
            <w:right w:val="none" w:sz="0" w:space="0" w:color="auto"/>
          </w:divBdr>
          <w:divsChild>
            <w:div w:id="1947617562">
              <w:marLeft w:val="0"/>
              <w:marRight w:val="0"/>
              <w:marTop w:val="0"/>
              <w:marBottom w:val="0"/>
              <w:divBdr>
                <w:top w:val="none" w:sz="0" w:space="0" w:color="auto"/>
                <w:left w:val="none" w:sz="0" w:space="0" w:color="auto"/>
                <w:bottom w:val="none" w:sz="0" w:space="0" w:color="auto"/>
                <w:right w:val="none" w:sz="0" w:space="0" w:color="auto"/>
              </w:divBdr>
              <w:divsChild>
                <w:div w:id="141697540">
                  <w:marLeft w:val="0"/>
                  <w:marRight w:val="0"/>
                  <w:marTop w:val="0"/>
                  <w:marBottom w:val="0"/>
                  <w:divBdr>
                    <w:top w:val="none" w:sz="0" w:space="0" w:color="auto"/>
                    <w:left w:val="none" w:sz="0" w:space="0" w:color="auto"/>
                    <w:bottom w:val="none" w:sz="0" w:space="0" w:color="auto"/>
                    <w:right w:val="none" w:sz="0" w:space="0" w:color="auto"/>
                  </w:divBdr>
                  <w:divsChild>
                    <w:div w:id="1006785732">
                      <w:marLeft w:val="0"/>
                      <w:marRight w:val="0"/>
                      <w:marTop w:val="0"/>
                      <w:marBottom w:val="0"/>
                      <w:divBdr>
                        <w:top w:val="none" w:sz="0" w:space="0" w:color="auto"/>
                        <w:left w:val="none" w:sz="0" w:space="0" w:color="auto"/>
                        <w:bottom w:val="none" w:sz="0" w:space="0" w:color="auto"/>
                        <w:right w:val="none" w:sz="0" w:space="0" w:color="auto"/>
                      </w:divBdr>
                      <w:divsChild>
                        <w:div w:id="1900045527">
                          <w:marLeft w:val="0"/>
                          <w:marRight w:val="0"/>
                          <w:marTop w:val="0"/>
                          <w:marBottom w:val="0"/>
                          <w:divBdr>
                            <w:top w:val="none" w:sz="0" w:space="0" w:color="auto"/>
                            <w:left w:val="none" w:sz="0" w:space="0" w:color="auto"/>
                            <w:bottom w:val="none" w:sz="0" w:space="0" w:color="auto"/>
                            <w:right w:val="none" w:sz="0" w:space="0" w:color="auto"/>
                          </w:divBdr>
                          <w:divsChild>
                            <w:div w:id="127279903">
                              <w:marLeft w:val="0"/>
                              <w:marRight w:val="0"/>
                              <w:marTop w:val="0"/>
                              <w:marBottom w:val="0"/>
                              <w:divBdr>
                                <w:top w:val="none" w:sz="0" w:space="0" w:color="auto"/>
                                <w:left w:val="none" w:sz="0" w:space="0" w:color="auto"/>
                                <w:bottom w:val="none" w:sz="0" w:space="0" w:color="auto"/>
                                <w:right w:val="none" w:sz="0" w:space="0" w:color="auto"/>
                              </w:divBdr>
                              <w:divsChild>
                                <w:div w:id="1503155069">
                                  <w:marLeft w:val="0"/>
                                  <w:marRight w:val="0"/>
                                  <w:marTop w:val="0"/>
                                  <w:marBottom w:val="0"/>
                                  <w:divBdr>
                                    <w:top w:val="none" w:sz="0" w:space="0" w:color="auto"/>
                                    <w:left w:val="none" w:sz="0" w:space="0" w:color="auto"/>
                                    <w:bottom w:val="none" w:sz="0" w:space="0" w:color="auto"/>
                                    <w:right w:val="none" w:sz="0" w:space="0" w:color="auto"/>
                                  </w:divBdr>
                                  <w:divsChild>
                                    <w:div w:id="138675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108983">
      <w:bodyDiv w:val="1"/>
      <w:marLeft w:val="0"/>
      <w:marRight w:val="0"/>
      <w:marTop w:val="0"/>
      <w:marBottom w:val="0"/>
      <w:divBdr>
        <w:top w:val="none" w:sz="0" w:space="0" w:color="auto"/>
        <w:left w:val="none" w:sz="0" w:space="0" w:color="auto"/>
        <w:bottom w:val="none" w:sz="0" w:space="0" w:color="auto"/>
        <w:right w:val="none" w:sz="0" w:space="0" w:color="auto"/>
      </w:divBdr>
    </w:div>
    <w:div w:id="246815966">
      <w:bodyDiv w:val="1"/>
      <w:marLeft w:val="0"/>
      <w:marRight w:val="0"/>
      <w:marTop w:val="0"/>
      <w:marBottom w:val="0"/>
      <w:divBdr>
        <w:top w:val="none" w:sz="0" w:space="0" w:color="auto"/>
        <w:left w:val="none" w:sz="0" w:space="0" w:color="auto"/>
        <w:bottom w:val="none" w:sz="0" w:space="0" w:color="auto"/>
        <w:right w:val="none" w:sz="0" w:space="0" w:color="auto"/>
      </w:divBdr>
    </w:div>
    <w:div w:id="300303732">
      <w:bodyDiv w:val="1"/>
      <w:marLeft w:val="0"/>
      <w:marRight w:val="0"/>
      <w:marTop w:val="0"/>
      <w:marBottom w:val="0"/>
      <w:divBdr>
        <w:top w:val="none" w:sz="0" w:space="0" w:color="auto"/>
        <w:left w:val="none" w:sz="0" w:space="0" w:color="auto"/>
        <w:bottom w:val="none" w:sz="0" w:space="0" w:color="auto"/>
        <w:right w:val="none" w:sz="0" w:space="0" w:color="auto"/>
      </w:divBdr>
    </w:div>
    <w:div w:id="477310504">
      <w:bodyDiv w:val="1"/>
      <w:marLeft w:val="0"/>
      <w:marRight w:val="0"/>
      <w:marTop w:val="0"/>
      <w:marBottom w:val="0"/>
      <w:divBdr>
        <w:top w:val="none" w:sz="0" w:space="0" w:color="auto"/>
        <w:left w:val="none" w:sz="0" w:space="0" w:color="auto"/>
        <w:bottom w:val="none" w:sz="0" w:space="0" w:color="auto"/>
        <w:right w:val="none" w:sz="0" w:space="0" w:color="auto"/>
      </w:divBdr>
    </w:div>
    <w:div w:id="604925444">
      <w:bodyDiv w:val="1"/>
      <w:marLeft w:val="0"/>
      <w:marRight w:val="0"/>
      <w:marTop w:val="0"/>
      <w:marBottom w:val="0"/>
      <w:divBdr>
        <w:top w:val="none" w:sz="0" w:space="0" w:color="auto"/>
        <w:left w:val="none" w:sz="0" w:space="0" w:color="auto"/>
        <w:bottom w:val="none" w:sz="0" w:space="0" w:color="auto"/>
        <w:right w:val="none" w:sz="0" w:space="0" w:color="auto"/>
      </w:divBdr>
    </w:div>
    <w:div w:id="644361719">
      <w:bodyDiv w:val="1"/>
      <w:marLeft w:val="0"/>
      <w:marRight w:val="0"/>
      <w:marTop w:val="0"/>
      <w:marBottom w:val="0"/>
      <w:divBdr>
        <w:top w:val="none" w:sz="0" w:space="0" w:color="auto"/>
        <w:left w:val="none" w:sz="0" w:space="0" w:color="auto"/>
        <w:bottom w:val="none" w:sz="0" w:space="0" w:color="auto"/>
        <w:right w:val="none" w:sz="0" w:space="0" w:color="auto"/>
      </w:divBdr>
    </w:div>
    <w:div w:id="704330445">
      <w:bodyDiv w:val="1"/>
      <w:marLeft w:val="0"/>
      <w:marRight w:val="0"/>
      <w:marTop w:val="0"/>
      <w:marBottom w:val="0"/>
      <w:divBdr>
        <w:top w:val="none" w:sz="0" w:space="0" w:color="auto"/>
        <w:left w:val="none" w:sz="0" w:space="0" w:color="auto"/>
        <w:bottom w:val="none" w:sz="0" w:space="0" w:color="auto"/>
        <w:right w:val="none" w:sz="0" w:space="0" w:color="auto"/>
      </w:divBdr>
    </w:div>
    <w:div w:id="801075318">
      <w:bodyDiv w:val="1"/>
      <w:marLeft w:val="0"/>
      <w:marRight w:val="0"/>
      <w:marTop w:val="0"/>
      <w:marBottom w:val="0"/>
      <w:divBdr>
        <w:top w:val="none" w:sz="0" w:space="0" w:color="auto"/>
        <w:left w:val="none" w:sz="0" w:space="0" w:color="auto"/>
        <w:bottom w:val="none" w:sz="0" w:space="0" w:color="auto"/>
        <w:right w:val="none" w:sz="0" w:space="0" w:color="auto"/>
      </w:divBdr>
    </w:div>
    <w:div w:id="886377591">
      <w:bodyDiv w:val="1"/>
      <w:marLeft w:val="0"/>
      <w:marRight w:val="0"/>
      <w:marTop w:val="0"/>
      <w:marBottom w:val="0"/>
      <w:divBdr>
        <w:top w:val="none" w:sz="0" w:space="0" w:color="auto"/>
        <w:left w:val="none" w:sz="0" w:space="0" w:color="auto"/>
        <w:bottom w:val="none" w:sz="0" w:space="0" w:color="auto"/>
        <w:right w:val="none" w:sz="0" w:space="0" w:color="auto"/>
      </w:divBdr>
    </w:div>
    <w:div w:id="935409646">
      <w:bodyDiv w:val="1"/>
      <w:marLeft w:val="0"/>
      <w:marRight w:val="0"/>
      <w:marTop w:val="0"/>
      <w:marBottom w:val="0"/>
      <w:divBdr>
        <w:top w:val="none" w:sz="0" w:space="0" w:color="auto"/>
        <w:left w:val="none" w:sz="0" w:space="0" w:color="auto"/>
        <w:bottom w:val="none" w:sz="0" w:space="0" w:color="auto"/>
        <w:right w:val="none" w:sz="0" w:space="0" w:color="auto"/>
      </w:divBdr>
      <w:divsChild>
        <w:div w:id="893321958">
          <w:marLeft w:val="0"/>
          <w:marRight w:val="0"/>
          <w:marTop w:val="0"/>
          <w:marBottom w:val="0"/>
          <w:divBdr>
            <w:top w:val="none" w:sz="0" w:space="0" w:color="auto"/>
            <w:left w:val="none" w:sz="0" w:space="0" w:color="auto"/>
            <w:bottom w:val="none" w:sz="0" w:space="0" w:color="auto"/>
            <w:right w:val="none" w:sz="0" w:space="0" w:color="auto"/>
          </w:divBdr>
          <w:divsChild>
            <w:div w:id="1177308657">
              <w:marLeft w:val="0"/>
              <w:marRight w:val="0"/>
              <w:marTop w:val="0"/>
              <w:marBottom w:val="0"/>
              <w:divBdr>
                <w:top w:val="none" w:sz="0" w:space="0" w:color="auto"/>
                <w:left w:val="none" w:sz="0" w:space="0" w:color="auto"/>
                <w:bottom w:val="none" w:sz="0" w:space="0" w:color="auto"/>
                <w:right w:val="none" w:sz="0" w:space="0" w:color="auto"/>
              </w:divBdr>
              <w:divsChild>
                <w:div w:id="172453150">
                  <w:marLeft w:val="0"/>
                  <w:marRight w:val="0"/>
                  <w:marTop w:val="0"/>
                  <w:marBottom w:val="0"/>
                  <w:divBdr>
                    <w:top w:val="none" w:sz="0" w:space="0" w:color="auto"/>
                    <w:left w:val="none" w:sz="0" w:space="0" w:color="auto"/>
                    <w:bottom w:val="none" w:sz="0" w:space="0" w:color="auto"/>
                    <w:right w:val="none" w:sz="0" w:space="0" w:color="auto"/>
                  </w:divBdr>
                  <w:divsChild>
                    <w:div w:id="1717927248">
                      <w:marLeft w:val="0"/>
                      <w:marRight w:val="0"/>
                      <w:marTop w:val="0"/>
                      <w:marBottom w:val="0"/>
                      <w:divBdr>
                        <w:top w:val="none" w:sz="0" w:space="0" w:color="auto"/>
                        <w:left w:val="none" w:sz="0" w:space="0" w:color="auto"/>
                        <w:bottom w:val="none" w:sz="0" w:space="0" w:color="auto"/>
                        <w:right w:val="none" w:sz="0" w:space="0" w:color="auto"/>
                      </w:divBdr>
                      <w:divsChild>
                        <w:div w:id="710113094">
                          <w:marLeft w:val="0"/>
                          <w:marRight w:val="0"/>
                          <w:marTop w:val="0"/>
                          <w:marBottom w:val="0"/>
                          <w:divBdr>
                            <w:top w:val="none" w:sz="0" w:space="0" w:color="auto"/>
                            <w:left w:val="none" w:sz="0" w:space="0" w:color="auto"/>
                            <w:bottom w:val="none" w:sz="0" w:space="0" w:color="auto"/>
                            <w:right w:val="none" w:sz="0" w:space="0" w:color="auto"/>
                          </w:divBdr>
                          <w:divsChild>
                            <w:div w:id="1189760940">
                              <w:marLeft w:val="0"/>
                              <w:marRight w:val="0"/>
                              <w:marTop w:val="0"/>
                              <w:marBottom w:val="0"/>
                              <w:divBdr>
                                <w:top w:val="none" w:sz="0" w:space="0" w:color="auto"/>
                                <w:left w:val="none" w:sz="0" w:space="0" w:color="auto"/>
                                <w:bottom w:val="none" w:sz="0" w:space="0" w:color="auto"/>
                                <w:right w:val="none" w:sz="0" w:space="0" w:color="auto"/>
                              </w:divBdr>
                              <w:divsChild>
                                <w:div w:id="160938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6614729">
      <w:bodyDiv w:val="1"/>
      <w:marLeft w:val="0"/>
      <w:marRight w:val="0"/>
      <w:marTop w:val="0"/>
      <w:marBottom w:val="0"/>
      <w:divBdr>
        <w:top w:val="none" w:sz="0" w:space="0" w:color="auto"/>
        <w:left w:val="none" w:sz="0" w:space="0" w:color="auto"/>
        <w:bottom w:val="none" w:sz="0" w:space="0" w:color="auto"/>
        <w:right w:val="none" w:sz="0" w:space="0" w:color="auto"/>
      </w:divBdr>
      <w:divsChild>
        <w:div w:id="251937431">
          <w:marLeft w:val="0"/>
          <w:marRight w:val="0"/>
          <w:marTop w:val="0"/>
          <w:marBottom w:val="0"/>
          <w:divBdr>
            <w:top w:val="none" w:sz="0" w:space="0" w:color="auto"/>
            <w:left w:val="none" w:sz="0" w:space="0" w:color="auto"/>
            <w:bottom w:val="none" w:sz="0" w:space="0" w:color="auto"/>
            <w:right w:val="none" w:sz="0" w:space="0" w:color="auto"/>
          </w:divBdr>
          <w:divsChild>
            <w:div w:id="1628008980">
              <w:marLeft w:val="0"/>
              <w:marRight w:val="0"/>
              <w:marTop w:val="0"/>
              <w:marBottom w:val="0"/>
              <w:divBdr>
                <w:top w:val="none" w:sz="0" w:space="0" w:color="auto"/>
                <w:left w:val="none" w:sz="0" w:space="0" w:color="auto"/>
                <w:bottom w:val="none" w:sz="0" w:space="0" w:color="auto"/>
                <w:right w:val="none" w:sz="0" w:space="0" w:color="auto"/>
              </w:divBdr>
              <w:divsChild>
                <w:div w:id="185010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593565">
      <w:bodyDiv w:val="1"/>
      <w:marLeft w:val="0"/>
      <w:marRight w:val="0"/>
      <w:marTop w:val="0"/>
      <w:marBottom w:val="0"/>
      <w:divBdr>
        <w:top w:val="none" w:sz="0" w:space="0" w:color="auto"/>
        <w:left w:val="none" w:sz="0" w:space="0" w:color="auto"/>
        <w:bottom w:val="none" w:sz="0" w:space="0" w:color="auto"/>
        <w:right w:val="none" w:sz="0" w:space="0" w:color="auto"/>
      </w:divBdr>
    </w:div>
    <w:div w:id="1283998559">
      <w:bodyDiv w:val="1"/>
      <w:marLeft w:val="0"/>
      <w:marRight w:val="0"/>
      <w:marTop w:val="0"/>
      <w:marBottom w:val="0"/>
      <w:divBdr>
        <w:top w:val="none" w:sz="0" w:space="0" w:color="auto"/>
        <w:left w:val="none" w:sz="0" w:space="0" w:color="auto"/>
        <w:bottom w:val="none" w:sz="0" w:space="0" w:color="auto"/>
        <w:right w:val="none" w:sz="0" w:space="0" w:color="auto"/>
      </w:divBdr>
    </w:div>
    <w:div w:id="1330253483">
      <w:bodyDiv w:val="1"/>
      <w:marLeft w:val="0"/>
      <w:marRight w:val="0"/>
      <w:marTop w:val="0"/>
      <w:marBottom w:val="0"/>
      <w:divBdr>
        <w:top w:val="none" w:sz="0" w:space="0" w:color="auto"/>
        <w:left w:val="none" w:sz="0" w:space="0" w:color="auto"/>
        <w:bottom w:val="none" w:sz="0" w:space="0" w:color="auto"/>
        <w:right w:val="none" w:sz="0" w:space="0" w:color="auto"/>
      </w:divBdr>
    </w:div>
    <w:div w:id="1503617901">
      <w:bodyDiv w:val="1"/>
      <w:marLeft w:val="0"/>
      <w:marRight w:val="0"/>
      <w:marTop w:val="0"/>
      <w:marBottom w:val="0"/>
      <w:divBdr>
        <w:top w:val="none" w:sz="0" w:space="0" w:color="auto"/>
        <w:left w:val="none" w:sz="0" w:space="0" w:color="auto"/>
        <w:bottom w:val="none" w:sz="0" w:space="0" w:color="auto"/>
        <w:right w:val="none" w:sz="0" w:space="0" w:color="auto"/>
      </w:divBdr>
    </w:div>
    <w:div w:id="1578204519">
      <w:bodyDiv w:val="1"/>
      <w:marLeft w:val="0"/>
      <w:marRight w:val="0"/>
      <w:marTop w:val="0"/>
      <w:marBottom w:val="0"/>
      <w:divBdr>
        <w:top w:val="none" w:sz="0" w:space="0" w:color="auto"/>
        <w:left w:val="none" w:sz="0" w:space="0" w:color="auto"/>
        <w:bottom w:val="none" w:sz="0" w:space="0" w:color="auto"/>
        <w:right w:val="none" w:sz="0" w:space="0" w:color="auto"/>
      </w:divBdr>
      <w:divsChild>
        <w:div w:id="223223609">
          <w:marLeft w:val="0"/>
          <w:marRight w:val="0"/>
          <w:marTop w:val="0"/>
          <w:marBottom w:val="0"/>
          <w:divBdr>
            <w:top w:val="none" w:sz="0" w:space="0" w:color="auto"/>
            <w:left w:val="none" w:sz="0" w:space="0" w:color="auto"/>
            <w:bottom w:val="none" w:sz="0" w:space="0" w:color="auto"/>
            <w:right w:val="none" w:sz="0" w:space="0" w:color="auto"/>
          </w:divBdr>
        </w:div>
      </w:divsChild>
    </w:div>
    <w:div w:id="1614482087">
      <w:bodyDiv w:val="1"/>
      <w:marLeft w:val="0"/>
      <w:marRight w:val="0"/>
      <w:marTop w:val="0"/>
      <w:marBottom w:val="0"/>
      <w:divBdr>
        <w:top w:val="none" w:sz="0" w:space="0" w:color="auto"/>
        <w:left w:val="none" w:sz="0" w:space="0" w:color="auto"/>
        <w:bottom w:val="none" w:sz="0" w:space="0" w:color="auto"/>
        <w:right w:val="none" w:sz="0" w:space="0" w:color="auto"/>
      </w:divBdr>
    </w:div>
    <w:div w:id="1722168948">
      <w:bodyDiv w:val="1"/>
      <w:marLeft w:val="0"/>
      <w:marRight w:val="0"/>
      <w:marTop w:val="0"/>
      <w:marBottom w:val="0"/>
      <w:divBdr>
        <w:top w:val="none" w:sz="0" w:space="0" w:color="auto"/>
        <w:left w:val="none" w:sz="0" w:space="0" w:color="auto"/>
        <w:bottom w:val="none" w:sz="0" w:space="0" w:color="auto"/>
        <w:right w:val="none" w:sz="0" w:space="0" w:color="auto"/>
      </w:divBdr>
    </w:div>
    <w:div w:id="1748267868">
      <w:bodyDiv w:val="1"/>
      <w:marLeft w:val="0"/>
      <w:marRight w:val="0"/>
      <w:marTop w:val="0"/>
      <w:marBottom w:val="0"/>
      <w:divBdr>
        <w:top w:val="none" w:sz="0" w:space="0" w:color="auto"/>
        <w:left w:val="none" w:sz="0" w:space="0" w:color="auto"/>
        <w:bottom w:val="none" w:sz="0" w:space="0" w:color="auto"/>
        <w:right w:val="none" w:sz="0" w:space="0" w:color="auto"/>
      </w:divBdr>
      <w:divsChild>
        <w:div w:id="659385137">
          <w:marLeft w:val="0"/>
          <w:marRight w:val="0"/>
          <w:marTop w:val="0"/>
          <w:marBottom w:val="0"/>
          <w:divBdr>
            <w:top w:val="none" w:sz="0" w:space="0" w:color="auto"/>
            <w:left w:val="none" w:sz="0" w:space="0" w:color="auto"/>
            <w:bottom w:val="none" w:sz="0" w:space="0" w:color="auto"/>
            <w:right w:val="none" w:sz="0" w:space="0" w:color="auto"/>
          </w:divBdr>
          <w:divsChild>
            <w:div w:id="892427992">
              <w:marLeft w:val="0"/>
              <w:marRight w:val="0"/>
              <w:marTop w:val="0"/>
              <w:marBottom w:val="0"/>
              <w:divBdr>
                <w:top w:val="none" w:sz="0" w:space="0" w:color="auto"/>
                <w:left w:val="none" w:sz="0" w:space="0" w:color="auto"/>
                <w:bottom w:val="none" w:sz="0" w:space="0" w:color="auto"/>
                <w:right w:val="none" w:sz="0" w:space="0" w:color="auto"/>
              </w:divBdr>
              <w:divsChild>
                <w:div w:id="920021194">
                  <w:marLeft w:val="0"/>
                  <w:marRight w:val="0"/>
                  <w:marTop w:val="0"/>
                  <w:marBottom w:val="0"/>
                  <w:divBdr>
                    <w:top w:val="none" w:sz="0" w:space="0" w:color="auto"/>
                    <w:left w:val="none" w:sz="0" w:space="0" w:color="auto"/>
                    <w:bottom w:val="none" w:sz="0" w:space="0" w:color="auto"/>
                    <w:right w:val="none" w:sz="0" w:space="0" w:color="auto"/>
                  </w:divBdr>
                  <w:divsChild>
                    <w:div w:id="166555390">
                      <w:marLeft w:val="0"/>
                      <w:marRight w:val="0"/>
                      <w:marTop w:val="0"/>
                      <w:marBottom w:val="0"/>
                      <w:divBdr>
                        <w:top w:val="none" w:sz="0" w:space="0" w:color="auto"/>
                        <w:left w:val="none" w:sz="0" w:space="0" w:color="auto"/>
                        <w:bottom w:val="none" w:sz="0" w:space="0" w:color="auto"/>
                        <w:right w:val="none" w:sz="0" w:space="0" w:color="auto"/>
                      </w:divBdr>
                      <w:divsChild>
                        <w:div w:id="977303601">
                          <w:marLeft w:val="0"/>
                          <w:marRight w:val="0"/>
                          <w:marTop w:val="0"/>
                          <w:marBottom w:val="0"/>
                          <w:divBdr>
                            <w:top w:val="none" w:sz="0" w:space="0" w:color="auto"/>
                            <w:left w:val="none" w:sz="0" w:space="0" w:color="auto"/>
                            <w:bottom w:val="none" w:sz="0" w:space="0" w:color="auto"/>
                            <w:right w:val="none" w:sz="0" w:space="0" w:color="auto"/>
                          </w:divBdr>
                          <w:divsChild>
                            <w:div w:id="25671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372146">
      <w:bodyDiv w:val="1"/>
      <w:marLeft w:val="0"/>
      <w:marRight w:val="0"/>
      <w:marTop w:val="0"/>
      <w:marBottom w:val="0"/>
      <w:divBdr>
        <w:top w:val="none" w:sz="0" w:space="0" w:color="auto"/>
        <w:left w:val="none" w:sz="0" w:space="0" w:color="auto"/>
        <w:bottom w:val="none" w:sz="0" w:space="0" w:color="auto"/>
        <w:right w:val="none" w:sz="0" w:space="0" w:color="auto"/>
      </w:divBdr>
    </w:div>
    <w:div w:id="1853227271">
      <w:bodyDiv w:val="1"/>
      <w:marLeft w:val="0"/>
      <w:marRight w:val="0"/>
      <w:marTop w:val="0"/>
      <w:marBottom w:val="0"/>
      <w:divBdr>
        <w:top w:val="none" w:sz="0" w:space="0" w:color="auto"/>
        <w:left w:val="none" w:sz="0" w:space="0" w:color="auto"/>
        <w:bottom w:val="none" w:sz="0" w:space="0" w:color="auto"/>
        <w:right w:val="none" w:sz="0" w:space="0" w:color="auto"/>
      </w:divBdr>
      <w:divsChild>
        <w:div w:id="561452156">
          <w:marLeft w:val="0"/>
          <w:marRight w:val="0"/>
          <w:marTop w:val="0"/>
          <w:marBottom w:val="0"/>
          <w:divBdr>
            <w:top w:val="none" w:sz="0" w:space="0" w:color="auto"/>
            <w:left w:val="none" w:sz="0" w:space="0" w:color="auto"/>
            <w:bottom w:val="none" w:sz="0" w:space="0" w:color="auto"/>
            <w:right w:val="none" w:sz="0" w:space="0" w:color="auto"/>
          </w:divBdr>
          <w:divsChild>
            <w:div w:id="943194380">
              <w:marLeft w:val="0"/>
              <w:marRight w:val="0"/>
              <w:marTop w:val="0"/>
              <w:marBottom w:val="0"/>
              <w:divBdr>
                <w:top w:val="none" w:sz="0" w:space="0" w:color="auto"/>
                <w:left w:val="none" w:sz="0" w:space="0" w:color="auto"/>
                <w:bottom w:val="none" w:sz="0" w:space="0" w:color="auto"/>
                <w:right w:val="none" w:sz="0" w:space="0" w:color="auto"/>
              </w:divBdr>
              <w:divsChild>
                <w:div w:id="1585534633">
                  <w:marLeft w:val="0"/>
                  <w:marRight w:val="0"/>
                  <w:marTop w:val="0"/>
                  <w:marBottom w:val="0"/>
                  <w:divBdr>
                    <w:top w:val="none" w:sz="0" w:space="0" w:color="auto"/>
                    <w:left w:val="none" w:sz="0" w:space="0" w:color="auto"/>
                    <w:bottom w:val="none" w:sz="0" w:space="0" w:color="auto"/>
                    <w:right w:val="none" w:sz="0" w:space="0" w:color="auto"/>
                  </w:divBdr>
                  <w:divsChild>
                    <w:div w:id="2136293460">
                      <w:marLeft w:val="0"/>
                      <w:marRight w:val="0"/>
                      <w:marTop w:val="0"/>
                      <w:marBottom w:val="0"/>
                      <w:divBdr>
                        <w:top w:val="none" w:sz="0" w:space="0" w:color="auto"/>
                        <w:left w:val="none" w:sz="0" w:space="0" w:color="auto"/>
                        <w:bottom w:val="none" w:sz="0" w:space="0" w:color="auto"/>
                        <w:right w:val="none" w:sz="0" w:space="0" w:color="auto"/>
                      </w:divBdr>
                      <w:divsChild>
                        <w:div w:id="184950583">
                          <w:marLeft w:val="0"/>
                          <w:marRight w:val="0"/>
                          <w:marTop w:val="0"/>
                          <w:marBottom w:val="0"/>
                          <w:divBdr>
                            <w:top w:val="none" w:sz="0" w:space="0" w:color="auto"/>
                            <w:left w:val="none" w:sz="0" w:space="0" w:color="auto"/>
                            <w:bottom w:val="none" w:sz="0" w:space="0" w:color="auto"/>
                            <w:right w:val="single" w:sz="6" w:space="10" w:color="E5E5E5"/>
                          </w:divBdr>
                        </w:div>
                      </w:divsChild>
                    </w:div>
                  </w:divsChild>
                </w:div>
              </w:divsChild>
            </w:div>
          </w:divsChild>
        </w:div>
      </w:divsChild>
    </w:div>
    <w:div w:id="1874271504">
      <w:bodyDiv w:val="1"/>
      <w:marLeft w:val="0"/>
      <w:marRight w:val="0"/>
      <w:marTop w:val="0"/>
      <w:marBottom w:val="0"/>
      <w:divBdr>
        <w:top w:val="none" w:sz="0" w:space="0" w:color="auto"/>
        <w:left w:val="none" w:sz="0" w:space="0" w:color="auto"/>
        <w:bottom w:val="none" w:sz="0" w:space="0" w:color="auto"/>
        <w:right w:val="none" w:sz="0" w:space="0" w:color="auto"/>
      </w:divBdr>
    </w:div>
    <w:div w:id="1919048191">
      <w:bodyDiv w:val="1"/>
      <w:marLeft w:val="0"/>
      <w:marRight w:val="0"/>
      <w:marTop w:val="0"/>
      <w:marBottom w:val="0"/>
      <w:divBdr>
        <w:top w:val="none" w:sz="0" w:space="0" w:color="auto"/>
        <w:left w:val="none" w:sz="0" w:space="0" w:color="auto"/>
        <w:bottom w:val="none" w:sz="0" w:space="0" w:color="auto"/>
        <w:right w:val="none" w:sz="0" w:space="0" w:color="auto"/>
      </w:divBdr>
    </w:div>
    <w:div w:id="1945108664">
      <w:bodyDiv w:val="1"/>
      <w:marLeft w:val="0"/>
      <w:marRight w:val="0"/>
      <w:marTop w:val="0"/>
      <w:marBottom w:val="0"/>
      <w:divBdr>
        <w:top w:val="none" w:sz="0" w:space="0" w:color="auto"/>
        <w:left w:val="none" w:sz="0" w:space="0" w:color="auto"/>
        <w:bottom w:val="none" w:sz="0" w:space="0" w:color="auto"/>
        <w:right w:val="none" w:sz="0" w:space="0" w:color="auto"/>
      </w:divBdr>
      <w:divsChild>
        <w:div w:id="43798873">
          <w:marLeft w:val="0"/>
          <w:marRight w:val="0"/>
          <w:marTop w:val="0"/>
          <w:marBottom w:val="0"/>
          <w:divBdr>
            <w:top w:val="none" w:sz="0" w:space="0" w:color="auto"/>
            <w:left w:val="none" w:sz="0" w:space="0" w:color="auto"/>
            <w:bottom w:val="none" w:sz="0" w:space="0" w:color="auto"/>
            <w:right w:val="none" w:sz="0" w:space="0" w:color="auto"/>
          </w:divBdr>
          <w:divsChild>
            <w:div w:id="2021736599">
              <w:marLeft w:val="300"/>
              <w:marRight w:val="300"/>
              <w:marTop w:val="0"/>
              <w:marBottom w:val="0"/>
              <w:divBdr>
                <w:top w:val="none" w:sz="0" w:space="0" w:color="auto"/>
                <w:left w:val="none" w:sz="0" w:space="0" w:color="auto"/>
                <w:bottom w:val="none" w:sz="0" w:space="0" w:color="auto"/>
                <w:right w:val="none" w:sz="0" w:space="0" w:color="auto"/>
              </w:divBdr>
              <w:divsChild>
                <w:div w:id="1929582523">
                  <w:marLeft w:val="0"/>
                  <w:marRight w:val="0"/>
                  <w:marTop w:val="0"/>
                  <w:marBottom w:val="0"/>
                  <w:divBdr>
                    <w:top w:val="none" w:sz="0" w:space="0" w:color="auto"/>
                    <w:left w:val="none" w:sz="0" w:space="0" w:color="auto"/>
                    <w:bottom w:val="none" w:sz="0" w:space="0" w:color="auto"/>
                    <w:right w:val="none" w:sz="0" w:space="0" w:color="auto"/>
                  </w:divBdr>
                  <w:divsChild>
                    <w:div w:id="9131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075954">
      <w:bodyDiv w:val="1"/>
      <w:marLeft w:val="0"/>
      <w:marRight w:val="0"/>
      <w:marTop w:val="0"/>
      <w:marBottom w:val="0"/>
      <w:divBdr>
        <w:top w:val="none" w:sz="0" w:space="0" w:color="auto"/>
        <w:left w:val="none" w:sz="0" w:space="0" w:color="auto"/>
        <w:bottom w:val="none" w:sz="0" w:space="0" w:color="auto"/>
        <w:right w:val="none" w:sz="0" w:space="0" w:color="auto"/>
      </w:divBdr>
    </w:div>
    <w:div w:id="2076316123">
      <w:bodyDiv w:val="1"/>
      <w:marLeft w:val="0"/>
      <w:marRight w:val="0"/>
      <w:marTop w:val="0"/>
      <w:marBottom w:val="0"/>
      <w:divBdr>
        <w:top w:val="none" w:sz="0" w:space="0" w:color="auto"/>
        <w:left w:val="none" w:sz="0" w:space="0" w:color="auto"/>
        <w:bottom w:val="none" w:sz="0" w:space="0" w:color="auto"/>
        <w:right w:val="none" w:sz="0" w:space="0" w:color="auto"/>
      </w:divBdr>
    </w:div>
    <w:div w:id="2094426932">
      <w:bodyDiv w:val="1"/>
      <w:marLeft w:val="0"/>
      <w:marRight w:val="0"/>
      <w:marTop w:val="0"/>
      <w:marBottom w:val="0"/>
      <w:divBdr>
        <w:top w:val="none" w:sz="0" w:space="0" w:color="auto"/>
        <w:left w:val="none" w:sz="0" w:space="0" w:color="auto"/>
        <w:bottom w:val="none" w:sz="0" w:space="0" w:color="auto"/>
        <w:right w:val="none" w:sz="0" w:space="0" w:color="auto"/>
      </w:divBdr>
      <w:divsChild>
        <w:div w:id="539319906">
          <w:marLeft w:val="0"/>
          <w:marRight w:val="0"/>
          <w:marTop w:val="86"/>
          <w:marBottom w:val="0"/>
          <w:divBdr>
            <w:top w:val="none" w:sz="0" w:space="0" w:color="auto"/>
            <w:left w:val="none" w:sz="0" w:space="0" w:color="auto"/>
            <w:bottom w:val="none" w:sz="0" w:space="0" w:color="auto"/>
            <w:right w:val="none" w:sz="0" w:space="0" w:color="auto"/>
          </w:divBdr>
        </w:div>
        <w:div w:id="1868251248">
          <w:marLeft w:val="0"/>
          <w:marRight w:val="0"/>
          <w:marTop w:val="86"/>
          <w:marBottom w:val="0"/>
          <w:divBdr>
            <w:top w:val="none" w:sz="0" w:space="0" w:color="auto"/>
            <w:left w:val="none" w:sz="0" w:space="0" w:color="auto"/>
            <w:bottom w:val="none" w:sz="0" w:space="0" w:color="auto"/>
            <w:right w:val="none" w:sz="0" w:space="0" w:color="auto"/>
          </w:divBdr>
        </w:div>
        <w:div w:id="528110161">
          <w:marLeft w:val="0"/>
          <w:marRight w:val="0"/>
          <w:marTop w:val="86"/>
          <w:marBottom w:val="0"/>
          <w:divBdr>
            <w:top w:val="none" w:sz="0" w:space="0" w:color="auto"/>
            <w:left w:val="none" w:sz="0" w:space="0" w:color="auto"/>
            <w:bottom w:val="none" w:sz="0" w:space="0" w:color="auto"/>
            <w:right w:val="none" w:sz="0" w:space="0" w:color="auto"/>
          </w:divBdr>
        </w:div>
      </w:divsChild>
    </w:div>
    <w:div w:id="2096825688">
      <w:bodyDiv w:val="1"/>
      <w:marLeft w:val="0"/>
      <w:marRight w:val="0"/>
      <w:marTop w:val="0"/>
      <w:marBottom w:val="0"/>
      <w:divBdr>
        <w:top w:val="none" w:sz="0" w:space="0" w:color="auto"/>
        <w:left w:val="none" w:sz="0" w:space="0" w:color="auto"/>
        <w:bottom w:val="none" w:sz="0" w:space="0" w:color="auto"/>
        <w:right w:val="none" w:sz="0" w:space="0" w:color="auto"/>
      </w:divBdr>
    </w:div>
    <w:div w:id="2109152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hart" Target="charts/chart1.xml" Id="rId13" /><Relationship Type="http://schemas.openxmlformats.org/officeDocument/2006/relationships/hyperlink" Target="http://www.allesoverspelen.nl" TargetMode="External" Id="rId18" /><Relationship Type="http://schemas.openxmlformats.org/officeDocument/2006/relationships/styles" Target="styles.xml" Id="rId3" /><Relationship Type="http://schemas.microsoft.com/office/2007/relationships/stylesWithEffects" Target="stylesWithEffects.xml" Id="rId21"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hyperlink" Target="http://www.risico-monitor.nl" TargetMode="External" Id="rId17" /><Relationship Type="http://schemas.openxmlformats.org/officeDocument/2006/relationships/numbering" Target="numbering.xml" Id="rId2" /><Relationship Type="http://schemas.openxmlformats.org/officeDocument/2006/relationships/chart" Target="charts/chart4.xml" Id="rId16" /><Relationship Type="http://schemas.openxmlformats.org/officeDocument/2006/relationships/theme" Target="theme/theme1.xml" Id="rId20" /><Relationship Type="http://schemas.openxmlformats.org/officeDocument/2006/relationships/footnotes" Target="footnotes.xml" Id="rId6" /><Relationship Type="http://schemas.openxmlformats.org/officeDocument/2006/relationships/header" Target="header3.xml" Id="rId11" /><Relationship Type="http://schemas.openxmlformats.org/officeDocument/2006/relationships/webSettings" Target="webSettings.xml" Id="rId5" /><Relationship Type="http://schemas.openxmlformats.org/officeDocument/2006/relationships/chart" Target="charts/chart3.xml" Id="rId15" /><Relationship Type="http://schemas.openxmlformats.org/officeDocument/2006/relationships/header" Target="header2.xml" Id="rId10" /><Relationship Type="http://schemas.openxmlformats.org/officeDocument/2006/relationships/fontTable" Target="fontTable.xml" Id="rId19" /><Relationship Type="http://schemas.openxmlformats.org/officeDocument/2006/relationships/settings" Target="settings.xml" Id="rId4" /><Relationship Type="http://schemas.openxmlformats.org/officeDocument/2006/relationships/image" Target="media/image3.jpeg" Id="rId9" /><Relationship Type="http://schemas.openxmlformats.org/officeDocument/2006/relationships/chart" Target="charts/chart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www.kiesbeter.nl" TargetMode="External"/><Relationship Id="rId2" Type="http://schemas.openxmlformats.org/officeDocument/2006/relationships/hyperlink" Target="http://www.rijksbegroting.nl/2011/voorbereiding/begroting,kst148633_6.html" TargetMode="External"/><Relationship Id="rId1" Type="http://schemas.openxmlformats.org/officeDocument/2006/relationships/hyperlink" Target="http://www.rijksbegroting.nl/2009/voorbereiding/begroting,kst119613b_5.html" TargetMode="External"/><Relationship Id="rId5" Type="http://schemas.openxmlformats.org/officeDocument/2006/relationships/hyperlink" Target="http://www.zonmw.nl/nl/programmas/programma-detail/preventiekracht-thuiszorg" TargetMode="External"/><Relationship Id="rId4" Type="http://schemas.openxmlformats.org/officeDocument/2006/relationships/hyperlink" Target="http://www.zonmw.nl/nl/programmas/programma-detail/zorg-voor-beter-i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RIAENSENL\Local%20Settings\Temporary%20Internet%20Files\Content.IE5\AG2KXL8H\Tijdelijk_bestand_Rapport%5b1%5d.dotx"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Office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Office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Office_Excel_Worksheet4.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a:pPr>
            <a:r>
              <a:rPr lang="en-US" sz="800"/>
              <a:t>Letsel</a:t>
            </a:r>
            <a:r>
              <a:rPr lang="en-US" sz="800" baseline="0"/>
              <a:t> door o</a:t>
            </a:r>
            <a:r>
              <a:rPr lang="en-US" sz="800"/>
              <a:t>ngevallen</a:t>
            </a:r>
          </a:p>
        </c:rich>
      </c:tx>
      <c:layout>
        <c:manualLayout>
          <c:xMode val="edge"/>
          <c:yMode val="edge"/>
          <c:x val="0.30349337181770003"/>
          <c:y val="4.1666666666666692E-2"/>
        </c:manualLayout>
      </c:layout>
    </c:title>
    <c:plotArea>
      <c:layout/>
      <c:lineChart>
        <c:grouping val="standard"/>
        <c:ser>
          <c:idx val="0"/>
          <c:order val="0"/>
          <c:tx>
            <c:strRef>
              <c:f>SEH!$B$61</c:f>
              <c:strCache>
                <c:ptCount val="1"/>
                <c:pt idx="0">
                  <c:v>Privé-ongeval</c:v>
                </c:pt>
              </c:strCache>
            </c:strRef>
          </c:tx>
          <c:spPr>
            <a:ln w="12700">
              <a:solidFill>
                <a:schemeClr val="tx1"/>
              </a:solidFill>
            </a:ln>
          </c:spPr>
          <c:marker>
            <c:symbol val="diamond"/>
            <c:size val="5"/>
            <c:spPr>
              <a:solidFill>
                <a:schemeClr val="tx1"/>
              </a:solidFill>
              <a:ln>
                <a:solidFill>
                  <a:schemeClr val="tx1"/>
                </a:solidFill>
              </a:ln>
            </c:spPr>
          </c:marker>
          <c:cat>
            <c:strRef>
              <c:f>SEH!$C$60:$M$60</c:f>
              <c:strCache>
                <c:ptCount val="11"/>
                <c:pt idx="0">
                  <c:v>2001</c:v>
                </c:pt>
                <c:pt idx="1">
                  <c:v>2002</c:v>
                </c:pt>
                <c:pt idx="2">
                  <c:v>2003</c:v>
                </c:pt>
                <c:pt idx="3">
                  <c:v>2004</c:v>
                </c:pt>
                <c:pt idx="4">
                  <c:v>2005</c:v>
                </c:pt>
                <c:pt idx="5">
                  <c:v>2006</c:v>
                </c:pt>
                <c:pt idx="6">
                  <c:v>2007</c:v>
                </c:pt>
                <c:pt idx="7">
                  <c:v>2008</c:v>
                </c:pt>
                <c:pt idx="8">
                  <c:v>2009</c:v>
                </c:pt>
                <c:pt idx="9">
                  <c:v>2010</c:v>
                </c:pt>
                <c:pt idx="10">
                  <c:v>2011</c:v>
                </c:pt>
              </c:strCache>
            </c:strRef>
          </c:cat>
          <c:val>
            <c:numRef>
              <c:f>SEH!$C$61:$M$61</c:f>
              <c:numCache>
                <c:formatCode>###0</c:formatCode>
                <c:ptCount val="11"/>
                <c:pt idx="0">
                  <c:v>532068</c:v>
                </c:pt>
                <c:pt idx="1">
                  <c:v>491258</c:v>
                </c:pt>
                <c:pt idx="2">
                  <c:v>468397</c:v>
                </c:pt>
                <c:pt idx="3">
                  <c:v>448280</c:v>
                </c:pt>
                <c:pt idx="4">
                  <c:v>457840</c:v>
                </c:pt>
                <c:pt idx="5">
                  <c:v>464104</c:v>
                </c:pt>
                <c:pt idx="6">
                  <c:v>489808</c:v>
                </c:pt>
                <c:pt idx="7">
                  <c:v>479514</c:v>
                </c:pt>
                <c:pt idx="8">
                  <c:v>466177</c:v>
                </c:pt>
                <c:pt idx="9">
                  <c:v>446724</c:v>
                </c:pt>
                <c:pt idx="10">
                  <c:v>440748</c:v>
                </c:pt>
              </c:numCache>
            </c:numRef>
          </c:val>
        </c:ser>
        <c:ser>
          <c:idx val="1"/>
          <c:order val="1"/>
          <c:tx>
            <c:strRef>
              <c:f>SEH!$B$62</c:f>
              <c:strCache>
                <c:ptCount val="1"/>
                <c:pt idx="0">
                  <c:v>Sportblessure</c:v>
                </c:pt>
              </c:strCache>
            </c:strRef>
          </c:tx>
          <c:spPr>
            <a:ln w="12700">
              <a:solidFill>
                <a:schemeClr val="tx1"/>
              </a:solidFill>
            </a:ln>
          </c:spPr>
          <c:marker>
            <c:symbol val="square"/>
            <c:size val="4"/>
            <c:spPr>
              <a:solidFill>
                <a:schemeClr val="tx1"/>
              </a:solidFill>
              <a:ln>
                <a:solidFill>
                  <a:schemeClr val="tx1"/>
                </a:solidFill>
              </a:ln>
            </c:spPr>
          </c:marker>
          <c:cat>
            <c:strRef>
              <c:f>SEH!$C$60:$M$60</c:f>
              <c:strCache>
                <c:ptCount val="11"/>
                <c:pt idx="0">
                  <c:v>2001</c:v>
                </c:pt>
                <c:pt idx="1">
                  <c:v>2002</c:v>
                </c:pt>
                <c:pt idx="2">
                  <c:v>2003</c:v>
                </c:pt>
                <c:pt idx="3">
                  <c:v>2004</c:v>
                </c:pt>
                <c:pt idx="4">
                  <c:v>2005</c:v>
                </c:pt>
                <c:pt idx="5">
                  <c:v>2006</c:v>
                </c:pt>
                <c:pt idx="6">
                  <c:v>2007</c:v>
                </c:pt>
                <c:pt idx="7">
                  <c:v>2008</c:v>
                </c:pt>
                <c:pt idx="8">
                  <c:v>2009</c:v>
                </c:pt>
                <c:pt idx="9">
                  <c:v>2010</c:v>
                </c:pt>
                <c:pt idx="10">
                  <c:v>2011</c:v>
                </c:pt>
              </c:strCache>
            </c:strRef>
          </c:cat>
          <c:val>
            <c:numRef>
              <c:f>SEH!$C$62:$M$62</c:f>
              <c:numCache>
                <c:formatCode>###0</c:formatCode>
                <c:ptCount val="11"/>
                <c:pt idx="0">
                  <c:v>164979</c:v>
                </c:pt>
                <c:pt idx="1">
                  <c:v>153761</c:v>
                </c:pt>
                <c:pt idx="2">
                  <c:v>148888</c:v>
                </c:pt>
                <c:pt idx="3">
                  <c:v>147278</c:v>
                </c:pt>
                <c:pt idx="4">
                  <c:v>145085</c:v>
                </c:pt>
                <c:pt idx="5">
                  <c:v>157114</c:v>
                </c:pt>
                <c:pt idx="6">
                  <c:v>164104</c:v>
                </c:pt>
                <c:pt idx="7">
                  <c:v>166417</c:v>
                </c:pt>
                <c:pt idx="8">
                  <c:v>173862</c:v>
                </c:pt>
                <c:pt idx="9">
                  <c:v>156681</c:v>
                </c:pt>
                <c:pt idx="10">
                  <c:v>157978</c:v>
                </c:pt>
              </c:numCache>
            </c:numRef>
          </c:val>
        </c:ser>
        <c:ser>
          <c:idx val="2"/>
          <c:order val="2"/>
          <c:tx>
            <c:strRef>
              <c:f>SEH!$B$63</c:f>
              <c:strCache>
                <c:ptCount val="1"/>
                <c:pt idx="0">
                  <c:v>Verkeersongeval</c:v>
                </c:pt>
              </c:strCache>
            </c:strRef>
          </c:tx>
          <c:spPr>
            <a:ln w="12700">
              <a:solidFill>
                <a:schemeClr val="tx1"/>
              </a:solidFill>
            </a:ln>
          </c:spPr>
          <c:marker>
            <c:symbol val="triangle"/>
            <c:size val="5"/>
            <c:spPr>
              <a:solidFill>
                <a:schemeClr val="tx1"/>
              </a:solidFill>
              <a:ln>
                <a:solidFill>
                  <a:schemeClr val="tx1"/>
                </a:solidFill>
              </a:ln>
            </c:spPr>
          </c:marker>
          <c:cat>
            <c:strRef>
              <c:f>SEH!$C$60:$M$60</c:f>
              <c:strCache>
                <c:ptCount val="11"/>
                <c:pt idx="0">
                  <c:v>2001</c:v>
                </c:pt>
                <c:pt idx="1">
                  <c:v>2002</c:v>
                </c:pt>
                <c:pt idx="2">
                  <c:v>2003</c:v>
                </c:pt>
                <c:pt idx="3">
                  <c:v>2004</c:v>
                </c:pt>
                <c:pt idx="4">
                  <c:v>2005</c:v>
                </c:pt>
                <c:pt idx="5">
                  <c:v>2006</c:v>
                </c:pt>
                <c:pt idx="6">
                  <c:v>2007</c:v>
                </c:pt>
                <c:pt idx="7">
                  <c:v>2008</c:v>
                </c:pt>
                <c:pt idx="8">
                  <c:v>2009</c:v>
                </c:pt>
                <c:pt idx="9">
                  <c:v>2010</c:v>
                </c:pt>
                <c:pt idx="10">
                  <c:v>2011</c:v>
                </c:pt>
              </c:strCache>
            </c:strRef>
          </c:cat>
          <c:val>
            <c:numRef>
              <c:f>SEH!$C$63:$M$63</c:f>
              <c:numCache>
                <c:formatCode>###0</c:formatCode>
                <c:ptCount val="11"/>
                <c:pt idx="0">
                  <c:v>145272</c:v>
                </c:pt>
                <c:pt idx="1">
                  <c:v>134287</c:v>
                </c:pt>
                <c:pt idx="2">
                  <c:v>132674</c:v>
                </c:pt>
                <c:pt idx="3">
                  <c:v>121764</c:v>
                </c:pt>
                <c:pt idx="4">
                  <c:v>123062</c:v>
                </c:pt>
                <c:pt idx="5">
                  <c:v>125498</c:v>
                </c:pt>
                <c:pt idx="6">
                  <c:v>132733</c:v>
                </c:pt>
                <c:pt idx="7">
                  <c:v>133692</c:v>
                </c:pt>
                <c:pt idx="8">
                  <c:v>126699</c:v>
                </c:pt>
                <c:pt idx="9">
                  <c:v>118168</c:v>
                </c:pt>
                <c:pt idx="10">
                  <c:v>133179</c:v>
                </c:pt>
              </c:numCache>
            </c:numRef>
          </c:val>
        </c:ser>
        <c:ser>
          <c:idx val="3"/>
          <c:order val="3"/>
          <c:tx>
            <c:strRef>
              <c:f>SEH!$B$64</c:f>
              <c:strCache>
                <c:ptCount val="1"/>
                <c:pt idx="0">
                  <c:v>Arbeidsongeval</c:v>
                </c:pt>
              </c:strCache>
            </c:strRef>
          </c:tx>
          <c:spPr>
            <a:ln w="12700">
              <a:solidFill>
                <a:schemeClr val="tx1"/>
              </a:solidFill>
            </a:ln>
          </c:spPr>
          <c:marker>
            <c:symbol val="circle"/>
            <c:size val="5"/>
            <c:spPr>
              <a:solidFill>
                <a:schemeClr val="tx1"/>
              </a:solidFill>
              <a:ln>
                <a:solidFill>
                  <a:schemeClr val="tx1"/>
                </a:solidFill>
              </a:ln>
            </c:spPr>
          </c:marker>
          <c:cat>
            <c:strRef>
              <c:f>SEH!$C$60:$M$60</c:f>
              <c:strCache>
                <c:ptCount val="11"/>
                <c:pt idx="0">
                  <c:v>2001</c:v>
                </c:pt>
                <c:pt idx="1">
                  <c:v>2002</c:v>
                </c:pt>
                <c:pt idx="2">
                  <c:v>2003</c:v>
                </c:pt>
                <c:pt idx="3">
                  <c:v>2004</c:v>
                </c:pt>
                <c:pt idx="4">
                  <c:v>2005</c:v>
                </c:pt>
                <c:pt idx="5">
                  <c:v>2006</c:v>
                </c:pt>
                <c:pt idx="6">
                  <c:v>2007</c:v>
                </c:pt>
                <c:pt idx="7">
                  <c:v>2008</c:v>
                </c:pt>
                <c:pt idx="8">
                  <c:v>2009</c:v>
                </c:pt>
                <c:pt idx="9">
                  <c:v>2010</c:v>
                </c:pt>
                <c:pt idx="10">
                  <c:v>2011</c:v>
                </c:pt>
              </c:strCache>
            </c:strRef>
          </c:cat>
          <c:val>
            <c:numRef>
              <c:f>SEH!$C$64:$M$64</c:f>
              <c:numCache>
                <c:formatCode>###0</c:formatCode>
                <c:ptCount val="11"/>
                <c:pt idx="0">
                  <c:v>102818</c:v>
                </c:pt>
                <c:pt idx="1">
                  <c:v>87483</c:v>
                </c:pt>
                <c:pt idx="2">
                  <c:v>80759</c:v>
                </c:pt>
                <c:pt idx="3">
                  <c:v>78488</c:v>
                </c:pt>
                <c:pt idx="4">
                  <c:v>77783</c:v>
                </c:pt>
                <c:pt idx="5">
                  <c:v>82878</c:v>
                </c:pt>
                <c:pt idx="6">
                  <c:v>93052</c:v>
                </c:pt>
                <c:pt idx="7">
                  <c:v>89838</c:v>
                </c:pt>
                <c:pt idx="8">
                  <c:v>76909</c:v>
                </c:pt>
                <c:pt idx="9">
                  <c:v>68684</c:v>
                </c:pt>
                <c:pt idx="10">
                  <c:v>76320</c:v>
                </c:pt>
              </c:numCache>
            </c:numRef>
          </c:val>
        </c:ser>
        <c:marker val="1"/>
        <c:axId val="68574208"/>
        <c:axId val="72348800"/>
      </c:lineChart>
      <c:catAx>
        <c:axId val="68574208"/>
        <c:scaling>
          <c:orientation val="minMax"/>
        </c:scaling>
        <c:axPos val="b"/>
        <c:tickLblPos val="nextTo"/>
        <c:crossAx val="72348800"/>
        <c:crosses val="autoZero"/>
        <c:auto val="1"/>
        <c:lblAlgn val="ctr"/>
        <c:lblOffset val="100"/>
      </c:catAx>
      <c:valAx>
        <c:axId val="72348800"/>
        <c:scaling>
          <c:orientation val="minMax"/>
        </c:scaling>
        <c:axPos val="l"/>
        <c:majorGridlines/>
        <c:numFmt formatCode="#,##0" sourceLinked="0"/>
        <c:tickLblPos val="nextTo"/>
        <c:crossAx val="68574208"/>
        <c:crosses val="autoZero"/>
        <c:crossBetween val="between"/>
      </c:valAx>
    </c:plotArea>
    <c:legend>
      <c:legendPos val="r"/>
    </c:legend>
    <c:plotVisOnly val="1"/>
    <c:dispBlanksAs val="gap"/>
  </c:chart>
  <c:spPr>
    <a:ln>
      <a:noFill/>
    </a:ln>
  </c:spPr>
  <c:txPr>
    <a:bodyPr/>
    <a:lstStyle/>
    <a:p>
      <a:pPr>
        <a:defRPr sz="800">
          <a:latin typeface="Arial" pitchFamily="34" charset="0"/>
          <a:cs typeface="Arial" pitchFamily="34" charset="0"/>
        </a:defRPr>
      </a:pPr>
      <a:endParaRPr lang="en-US"/>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a:pPr>
            <a:r>
              <a:rPr lang="en-US" sz="800"/>
              <a:t>Opzettelijk</a:t>
            </a:r>
            <a:r>
              <a:rPr lang="en-US" sz="800" baseline="0"/>
              <a:t> toegebracht letsel</a:t>
            </a:r>
            <a:endParaRPr lang="en-US" sz="800"/>
          </a:p>
        </c:rich>
      </c:tx>
      <c:layout>
        <c:manualLayout>
          <c:xMode val="edge"/>
          <c:yMode val="edge"/>
          <c:x val="0.30349337181770003"/>
          <c:y val="3.2407407407407676E-2"/>
        </c:manualLayout>
      </c:layout>
    </c:title>
    <c:plotArea>
      <c:layout/>
      <c:lineChart>
        <c:grouping val="standard"/>
        <c:ser>
          <c:idx val="0"/>
          <c:order val="0"/>
          <c:tx>
            <c:strRef>
              <c:f>SEH!$B$65</c:f>
              <c:strCache>
                <c:ptCount val="1"/>
                <c:pt idx="0">
                  <c:v>Geweldspleging</c:v>
                </c:pt>
              </c:strCache>
            </c:strRef>
          </c:tx>
          <c:spPr>
            <a:ln w="12700">
              <a:solidFill>
                <a:schemeClr val="tx1"/>
              </a:solidFill>
            </a:ln>
          </c:spPr>
          <c:marker>
            <c:symbol val="triangle"/>
            <c:size val="5"/>
            <c:spPr>
              <a:solidFill>
                <a:schemeClr val="bg1"/>
              </a:solidFill>
              <a:ln>
                <a:solidFill>
                  <a:schemeClr val="tx1"/>
                </a:solidFill>
              </a:ln>
            </c:spPr>
          </c:marker>
          <c:cat>
            <c:strRef>
              <c:f>SEH!$C$60:$M$60</c:f>
              <c:strCache>
                <c:ptCount val="11"/>
                <c:pt idx="0">
                  <c:v>2001</c:v>
                </c:pt>
                <c:pt idx="1">
                  <c:v>2002</c:v>
                </c:pt>
                <c:pt idx="2">
                  <c:v>2003</c:v>
                </c:pt>
                <c:pt idx="3">
                  <c:v>2004</c:v>
                </c:pt>
                <c:pt idx="4">
                  <c:v>2005</c:v>
                </c:pt>
                <c:pt idx="5">
                  <c:v>2006</c:v>
                </c:pt>
                <c:pt idx="6">
                  <c:v>2007</c:v>
                </c:pt>
                <c:pt idx="7">
                  <c:v>2008</c:v>
                </c:pt>
                <c:pt idx="8">
                  <c:v>2009</c:v>
                </c:pt>
                <c:pt idx="9">
                  <c:v>2010</c:v>
                </c:pt>
                <c:pt idx="10">
                  <c:v>2011</c:v>
                </c:pt>
              </c:strCache>
            </c:strRef>
          </c:cat>
          <c:val>
            <c:numRef>
              <c:f>SEH!$C$65:$M$65</c:f>
              <c:numCache>
                <c:formatCode>###0</c:formatCode>
                <c:ptCount val="11"/>
                <c:pt idx="0">
                  <c:v>38042</c:v>
                </c:pt>
                <c:pt idx="1">
                  <c:v>35289</c:v>
                </c:pt>
                <c:pt idx="2">
                  <c:v>33296</c:v>
                </c:pt>
                <c:pt idx="3">
                  <c:v>30654</c:v>
                </c:pt>
                <c:pt idx="4">
                  <c:v>30529</c:v>
                </c:pt>
                <c:pt idx="5">
                  <c:v>30085</c:v>
                </c:pt>
                <c:pt idx="6">
                  <c:v>31484</c:v>
                </c:pt>
                <c:pt idx="7">
                  <c:v>28654</c:v>
                </c:pt>
                <c:pt idx="8">
                  <c:v>27831</c:v>
                </c:pt>
                <c:pt idx="9">
                  <c:v>25395</c:v>
                </c:pt>
                <c:pt idx="10">
                  <c:v>24398</c:v>
                </c:pt>
              </c:numCache>
            </c:numRef>
          </c:val>
        </c:ser>
        <c:ser>
          <c:idx val="1"/>
          <c:order val="1"/>
          <c:tx>
            <c:strRef>
              <c:f>SEH!$B$66</c:f>
              <c:strCache>
                <c:ptCount val="1"/>
                <c:pt idx="0">
                  <c:v>Suïcidaal gedrag</c:v>
                </c:pt>
              </c:strCache>
            </c:strRef>
          </c:tx>
          <c:spPr>
            <a:ln w="12700">
              <a:solidFill>
                <a:schemeClr val="tx1"/>
              </a:solidFill>
            </a:ln>
          </c:spPr>
          <c:marker>
            <c:symbol val="square"/>
            <c:size val="4"/>
            <c:spPr>
              <a:solidFill>
                <a:schemeClr val="bg1"/>
              </a:solidFill>
              <a:ln>
                <a:solidFill>
                  <a:schemeClr val="tx1"/>
                </a:solidFill>
              </a:ln>
            </c:spPr>
          </c:marker>
          <c:cat>
            <c:strRef>
              <c:f>SEH!$C$60:$M$60</c:f>
              <c:strCache>
                <c:ptCount val="11"/>
                <c:pt idx="0">
                  <c:v>2001</c:v>
                </c:pt>
                <c:pt idx="1">
                  <c:v>2002</c:v>
                </c:pt>
                <c:pt idx="2">
                  <c:v>2003</c:v>
                </c:pt>
                <c:pt idx="3">
                  <c:v>2004</c:v>
                </c:pt>
                <c:pt idx="4">
                  <c:v>2005</c:v>
                </c:pt>
                <c:pt idx="5">
                  <c:v>2006</c:v>
                </c:pt>
                <c:pt idx="6">
                  <c:v>2007</c:v>
                </c:pt>
                <c:pt idx="7">
                  <c:v>2008</c:v>
                </c:pt>
                <c:pt idx="8">
                  <c:v>2009</c:v>
                </c:pt>
                <c:pt idx="9">
                  <c:v>2010</c:v>
                </c:pt>
                <c:pt idx="10">
                  <c:v>2011</c:v>
                </c:pt>
              </c:strCache>
            </c:strRef>
          </c:cat>
          <c:val>
            <c:numRef>
              <c:f>SEH!$C$66:$M$66</c:f>
              <c:numCache>
                <c:formatCode>###0</c:formatCode>
                <c:ptCount val="11"/>
                <c:pt idx="0">
                  <c:v>14357</c:v>
                </c:pt>
                <c:pt idx="1">
                  <c:v>14328</c:v>
                </c:pt>
                <c:pt idx="2">
                  <c:v>13885</c:v>
                </c:pt>
                <c:pt idx="3">
                  <c:v>13600</c:v>
                </c:pt>
                <c:pt idx="4">
                  <c:v>14529</c:v>
                </c:pt>
                <c:pt idx="5">
                  <c:v>16340</c:v>
                </c:pt>
                <c:pt idx="6">
                  <c:v>16072</c:v>
                </c:pt>
                <c:pt idx="7">
                  <c:v>14145</c:v>
                </c:pt>
                <c:pt idx="8">
                  <c:v>14073</c:v>
                </c:pt>
                <c:pt idx="9">
                  <c:v>13696</c:v>
                </c:pt>
                <c:pt idx="10">
                  <c:v>15983</c:v>
                </c:pt>
              </c:numCache>
            </c:numRef>
          </c:val>
        </c:ser>
        <c:marker val="1"/>
        <c:axId val="68392448"/>
        <c:axId val="68394368"/>
      </c:lineChart>
      <c:catAx>
        <c:axId val="68392448"/>
        <c:scaling>
          <c:orientation val="minMax"/>
        </c:scaling>
        <c:axPos val="b"/>
        <c:tickLblPos val="nextTo"/>
        <c:crossAx val="68394368"/>
        <c:crosses val="autoZero"/>
        <c:auto val="1"/>
        <c:lblAlgn val="ctr"/>
        <c:lblOffset val="100"/>
      </c:catAx>
      <c:valAx>
        <c:axId val="68394368"/>
        <c:scaling>
          <c:orientation val="minMax"/>
        </c:scaling>
        <c:axPos val="l"/>
        <c:majorGridlines/>
        <c:numFmt formatCode="#,##0" sourceLinked="0"/>
        <c:tickLblPos val="nextTo"/>
        <c:crossAx val="68392448"/>
        <c:crosses val="autoZero"/>
        <c:crossBetween val="between"/>
        <c:majorUnit val="10000"/>
      </c:valAx>
    </c:plotArea>
    <c:legend>
      <c:legendPos val="r"/>
    </c:legend>
    <c:plotVisOnly val="1"/>
    <c:dispBlanksAs val="gap"/>
  </c:chart>
  <c:spPr>
    <a:ln>
      <a:noFill/>
    </a:ln>
  </c:spPr>
  <c:txPr>
    <a:bodyPr/>
    <a:lstStyle/>
    <a:p>
      <a:pPr>
        <a:defRPr sz="800">
          <a:latin typeface="Arial" pitchFamily="34" charset="0"/>
          <a:cs typeface="Arial" pitchFamily="34" charset="0"/>
        </a:defRPr>
      </a:pPr>
      <a:endParaRPr lang="en-US"/>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sz="800"/>
            </a:pPr>
            <a:r>
              <a:rPr lang="en-US" sz="800"/>
              <a:t>Letsel door ongevallen</a:t>
            </a:r>
          </a:p>
        </c:rich>
      </c:tx>
      <c:layout>
        <c:manualLayout>
          <c:xMode val="edge"/>
          <c:yMode val="edge"/>
          <c:x val="0.25752310322004424"/>
          <c:y val="2.7777777777778109E-2"/>
        </c:manualLayout>
      </c:layout>
    </c:title>
    <c:plotArea>
      <c:layout/>
      <c:lineChart>
        <c:grouping val="standard"/>
        <c:ser>
          <c:idx val="0"/>
          <c:order val="0"/>
          <c:tx>
            <c:strRef>
              <c:f>doden!$B$17</c:f>
              <c:strCache>
                <c:ptCount val="1"/>
                <c:pt idx="0">
                  <c:v>Privé-ongeval</c:v>
                </c:pt>
              </c:strCache>
            </c:strRef>
          </c:tx>
          <c:spPr>
            <a:ln w="12700">
              <a:solidFill>
                <a:schemeClr val="tx1"/>
              </a:solidFill>
            </a:ln>
          </c:spPr>
          <c:marker>
            <c:symbol val="diamond"/>
            <c:size val="5"/>
            <c:spPr>
              <a:solidFill>
                <a:schemeClr val="tx1"/>
              </a:solidFill>
              <a:ln>
                <a:solidFill>
                  <a:schemeClr val="tx1"/>
                </a:solidFill>
              </a:ln>
            </c:spPr>
          </c:marker>
          <c:cat>
            <c:strRef>
              <c:f>doden!$C$16:$M$16</c:f>
              <c:strCache>
                <c:ptCount val="11"/>
                <c:pt idx="0">
                  <c:v>2001</c:v>
                </c:pt>
                <c:pt idx="1">
                  <c:v>2002</c:v>
                </c:pt>
                <c:pt idx="2">
                  <c:v>2003</c:v>
                </c:pt>
                <c:pt idx="3">
                  <c:v>2004</c:v>
                </c:pt>
                <c:pt idx="4">
                  <c:v>2005</c:v>
                </c:pt>
                <c:pt idx="5">
                  <c:v>2006</c:v>
                </c:pt>
                <c:pt idx="6">
                  <c:v>2007</c:v>
                </c:pt>
                <c:pt idx="7">
                  <c:v>2008</c:v>
                </c:pt>
                <c:pt idx="8">
                  <c:v>2009</c:v>
                </c:pt>
                <c:pt idx="9">
                  <c:v>2010</c:v>
                </c:pt>
                <c:pt idx="10">
                  <c:v>2011</c:v>
                </c:pt>
              </c:strCache>
            </c:strRef>
          </c:cat>
          <c:val>
            <c:numRef>
              <c:f>doden!$C$17:$M$17</c:f>
              <c:numCache>
                <c:formatCode>###0</c:formatCode>
                <c:ptCount val="11"/>
                <c:pt idx="0">
                  <c:v>2531</c:v>
                </c:pt>
                <c:pt idx="1">
                  <c:v>2306</c:v>
                </c:pt>
                <c:pt idx="2">
                  <c:v>2348</c:v>
                </c:pt>
                <c:pt idx="3">
                  <c:v>2323</c:v>
                </c:pt>
                <c:pt idx="4">
                  <c:v>2448</c:v>
                </c:pt>
                <c:pt idx="5">
                  <c:v>2463</c:v>
                </c:pt>
                <c:pt idx="6">
                  <c:v>2412</c:v>
                </c:pt>
                <c:pt idx="7">
                  <c:v>2549</c:v>
                </c:pt>
                <c:pt idx="8">
                  <c:v>2704</c:v>
                </c:pt>
                <c:pt idx="9">
                  <c:v>2756</c:v>
                </c:pt>
                <c:pt idx="10">
                  <c:v>2816</c:v>
                </c:pt>
              </c:numCache>
            </c:numRef>
          </c:val>
        </c:ser>
        <c:ser>
          <c:idx val="1"/>
          <c:order val="1"/>
          <c:tx>
            <c:strRef>
              <c:f>doden!$B$18</c:f>
              <c:strCache>
                <c:ptCount val="1"/>
                <c:pt idx="0">
                  <c:v>Verkeersongeval</c:v>
                </c:pt>
              </c:strCache>
            </c:strRef>
          </c:tx>
          <c:spPr>
            <a:ln w="12700">
              <a:solidFill>
                <a:schemeClr val="tx1"/>
              </a:solidFill>
            </a:ln>
          </c:spPr>
          <c:marker>
            <c:symbol val="triangle"/>
            <c:size val="5"/>
            <c:spPr>
              <a:solidFill>
                <a:schemeClr val="tx1"/>
              </a:solidFill>
              <a:ln>
                <a:solidFill>
                  <a:schemeClr val="tx1"/>
                </a:solidFill>
              </a:ln>
            </c:spPr>
          </c:marker>
          <c:cat>
            <c:strRef>
              <c:f>doden!$C$16:$M$16</c:f>
              <c:strCache>
                <c:ptCount val="11"/>
                <c:pt idx="0">
                  <c:v>2001</c:v>
                </c:pt>
                <c:pt idx="1">
                  <c:v>2002</c:v>
                </c:pt>
                <c:pt idx="2">
                  <c:v>2003</c:v>
                </c:pt>
                <c:pt idx="3">
                  <c:v>2004</c:v>
                </c:pt>
                <c:pt idx="4">
                  <c:v>2005</c:v>
                </c:pt>
                <c:pt idx="5">
                  <c:v>2006</c:v>
                </c:pt>
                <c:pt idx="6">
                  <c:v>2007</c:v>
                </c:pt>
                <c:pt idx="7">
                  <c:v>2008</c:v>
                </c:pt>
                <c:pt idx="8">
                  <c:v>2009</c:v>
                </c:pt>
                <c:pt idx="9">
                  <c:v>2010</c:v>
                </c:pt>
                <c:pt idx="10">
                  <c:v>2011</c:v>
                </c:pt>
              </c:strCache>
            </c:strRef>
          </c:cat>
          <c:val>
            <c:numRef>
              <c:f>doden!$C$18:$M$18</c:f>
              <c:numCache>
                <c:formatCode>General</c:formatCode>
                <c:ptCount val="11"/>
                <c:pt idx="0">
                  <c:v>1083</c:v>
                </c:pt>
                <c:pt idx="1">
                  <c:v>1066</c:v>
                </c:pt>
                <c:pt idx="2">
                  <c:v>1088</c:v>
                </c:pt>
                <c:pt idx="3">
                  <c:v>881</c:v>
                </c:pt>
                <c:pt idx="4">
                  <c:v>817</c:v>
                </c:pt>
                <c:pt idx="5">
                  <c:v>811</c:v>
                </c:pt>
                <c:pt idx="6">
                  <c:v>791</c:v>
                </c:pt>
                <c:pt idx="7">
                  <c:v>750</c:v>
                </c:pt>
                <c:pt idx="8">
                  <c:v>720</c:v>
                </c:pt>
                <c:pt idx="9">
                  <c:v>640</c:v>
                </c:pt>
                <c:pt idx="10">
                  <c:v>661</c:v>
                </c:pt>
              </c:numCache>
            </c:numRef>
          </c:val>
        </c:ser>
        <c:ser>
          <c:idx val="2"/>
          <c:order val="2"/>
          <c:tx>
            <c:strRef>
              <c:f>doden!$B$19</c:f>
              <c:strCache>
                <c:ptCount val="1"/>
                <c:pt idx="0">
                  <c:v>Arbeidsongeval</c:v>
                </c:pt>
              </c:strCache>
            </c:strRef>
          </c:tx>
          <c:spPr>
            <a:ln w="12700">
              <a:solidFill>
                <a:schemeClr val="tx1"/>
              </a:solidFill>
            </a:ln>
          </c:spPr>
          <c:marker>
            <c:symbol val="circle"/>
            <c:size val="5"/>
            <c:spPr>
              <a:solidFill>
                <a:schemeClr val="tx1"/>
              </a:solidFill>
              <a:ln>
                <a:solidFill>
                  <a:schemeClr val="tx1"/>
                </a:solidFill>
              </a:ln>
            </c:spPr>
          </c:marker>
          <c:cat>
            <c:strRef>
              <c:f>doden!$C$16:$M$16</c:f>
              <c:strCache>
                <c:ptCount val="11"/>
                <c:pt idx="0">
                  <c:v>2001</c:v>
                </c:pt>
                <c:pt idx="1">
                  <c:v>2002</c:v>
                </c:pt>
                <c:pt idx="2">
                  <c:v>2003</c:v>
                </c:pt>
                <c:pt idx="3">
                  <c:v>2004</c:v>
                </c:pt>
                <c:pt idx="4">
                  <c:v>2005</c:v>
                </c:pt>
                <c:pt idx="5">
                  <c:v>2006</c:v>
                </c:pt>
                <c:pt idx="6">
                  <c:v>2007</c:v>
                </c:pt>
                <c:pt idx="7">
                  <c:v>2008</c:v>
                </c:pt>
                <c:pt idx="8">
                  <c:v>2009</c:v>
                </c:pt>
                <c:pt idx="9">
                  <c:v>2010</c:v>
                </c:pt>
                <c:pt idx="10">
                  <c:v>2011</c:v>
                </c:pt>
              </c:strCache>
            </c:strRef>
          </c:cat>
          <c:val>
            <c:numRef>
              <c:f>doden!$C$19:$M$19</c:f>
              <c:numCache>
                <c:formatCode>###0</c:formatCode>
                <c:ptCount val="11"/>
                <c:pt idx="0">
                  <c:v>89</c:v>
                </c:pt>
                <c:pt idx="1">
                  <c:v>73</c:v>
                </c:pt>
                <c:pt idx="2">
                  <c:v>85</c:v>
                </c:pt>
                <c:pt idx="3">
                  <c:v>72</c:v>
                </c:pt>
                <c:pt idx="4">
                  <c:v>63</c:v>
                </c:pt>
                <c:pt idx="5">
                  <c:v>70</c:v>
                </c:pt>
                <c:pt idx="6">
                  <c:v>66</c:v>
                </c:pt>
                <c:pt idx="7">
                  <c:v>75</c:v>
                </c:pt>
                <c:pt idx="8">
                  <c:v>65</c:v>
                </c:pt>
                <c:pt idx="9">
                  <c:v>57</c:v>
                </c:pt>
                <c:pt idx="10">
                  <c:v>59</c:v>
                </c:pt>
              </c:numCache>
            </c:numRef>
          </c:val>
        </c:ser>
        <c:marker val="1"/>
        <c:axId val="74379648"/>
        <c:axId val="74381568"/>
      </c:lineChart>
      <c:catAx>
        <c:axId val="74379648"/>
        <c:scaling>
          <c:orientation val="minMax"/>
        </c:scaling>
        <c:axPos val="b"/>
        <c:tickLblPos val="nextTo"/>
        <c:crossAx val="74381568"/>
        <c:crosses val="autoZero"/>
        <c:auto val="1"/>
        <c:lblAlgn val="ctr"/>
        <c:lblOffset val="100"/>
      </c:catAx>
      <c:valAx>
        <c:axId val="74381568"/>
        <c:scaling>
          <c:orientation val="minMax"/>
        </c:scaling>
        <c:axPos val="l"/>
        <c:majorGridlines/>
        <c:numFmt formatCode="#,##0" sourceLinked="0"/>
        <c:tickLblPos val="nextTo"/>
        <c:crossAx val="74379648"/>
        <c:crosses val="autoZero"/>
        <c:crossBetween val="between"/>
      </c:valAx>
    </c:plotArea>
    <c:legend>
      <c:legendPos val="r"/>
    </c:legend>
    <c:plotVisOnly val="1"/>
    <c:dispBlanksAs val="gap"/>
  </c:chart>
  <c:spPr>
    <a:ln>
      <a:noFill/>
    </a:ln>
  </c:spPr>
  <c:txPr>
    <a:bodyPr/>
    <a:lstStyle/>
    <a:p>
      <a:pPr>
        <a:defRPr sz="800">
          <a:latin typeface="Arial" pitchFamily="34" charset="0"/>
          <a:cs typeface="Arial" pitchFamily="34" charset="0"/>
        </a:defRPr>
      </a:pPr>
      <a:endParaRPr lang="en-US"/>
    </a:p>
  </c:txPr>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a:pPr>
            <a:r>
              <a:rPr lang="en-US" sz="800"/>
              <a:t>Opzettelijk toegebracht letsel</a:t>
            </a:r>
          </a:p>
        </c:rich>
      </c:tx>
      <c:layout>
        <c:manualLayout>
          <c:xMode val="edge"/>
          <c:yMode val="edge"/>
          <c:x val="0.25271250535508238"/>
          <c:y val="3.4632034632034632E-2"/>
        </c:manualLayout>
      </c:layout>
    </c:title>
    <c:plotArea>
      <c:layout/>
      <c:lineChart>
        <c:grouping val="standard"/>
        <c:ser>
          <c:idx val="0"/>
          <c:order val="0"/>
          <c:tx>
            <c:strRef>
              <c:f>doden!$B$22</c:f>
              <c:strCache>
                <c:ptCount val="1"/>
                <c:pt idx="0">
                  <c:v>Suïcidaal gedrag</c:v>
                </c:pt>
              </c:strCache>
            </c:strRef>
          </c:tx>
          <c:spPr>
            <a:ln w="12700">
              <a:solidFill>
                <a:schemeClr val="tx1"/>
              </a:solidFill>
            </a:ln>
          </c:spPr>
          <c:marker>
            <c:symbol val="diamond"/>
            <c:size val="5"/>
            <c:spPr>
              <a:solidFill>
                <a:schemeClr val="bg1"/>
              </a:solidFill>
              <a:ln>
                <a:solidFill>
                  <a:schemeClr val="tx1"/>
                </a:solidFill>
              </a:ln>
            </c:spPr>
          </c:marker>
          <c:cat>
            <c:strRef>
              <c:f>doden!$C$16:$M$16</c:f>
              <c:strCache>
                <c:ptCount val="11"/>
                <c:pt idx="0">
                  <c:v>2001</c:v>
                </c:pt>
                <c:pt idx="1">
                  <c:v>2002</c:v>
                </c:pt>
                <c:pt idx="2">
                  <c:v>2003</c:v>
                </c:pt>
                <c:pt idx="3">
                  <c:v>2004</c:v>
                </c:pt>
                <c:pt idx="4">
                  <c:v>2005</c:v>
                </c:pt>
                <c:pt idx="5">
                  <c:v>2006</c:v>
                </c:pt>
                <c:pt idx="6">
                  <c:v>2007</c:v>
                </c:pt>
                <c:pt idx="7">
                  <c:v>2008</c:v>
                </c:pt>
                <c:pt idx="8">
                  <c:v>2009</c:v>
                </c:pt>
                <c:pt idx="9">
                  <c:v>2010</c:v>
                </c:pt>
                <c:pt idx="10">
                  <c:v>2011</c:v>
                </c:pt>
              </c:strCache>
            </c:strRef>
          </c:cat>
          <c:val>
            <c:numRef>
              <c:f>doden!$C$22:$M$22</c:f>
              <c:numCache>
                <c:formatCode>###0</c:formatCode>
                <c:ptCount val="11"/>
                <c:pt idx="0">
                  <c:v>1473</c:v>
                </c:pt>
                <c:pt idx="1">
                  <c:v>1567</c:v>
                </c:pt>
                <c:pt idx="2">
                  <c:v>1500</c:v>
                </c:pt>
                <c:pt idx="3">
                  <c:v>1514</c:v>
                </c:pt>
                <c:pt idx="4">
                  <c:v>1572</c:v>
                </c:pt>
                <c:pt idx="5">
                  <c:v>1524</c:v>
                </c:pt>
                <c:pt idx="6">
                  <c:v>1353</c:v>
                </c:pt>
                <c:pt idx="7">
                  <c:v>1435</c:v>
                </c:pt>
                <c:pt idx="8">
                  <c:v>1525</c:v>
                </c:pt>
                <c:pt idx="9">
                  <c:v>1600</c:v>
                </c:pt>
                <c:pt idx="10">
                  <c:v>1647</c:v>
                </c:pt>
              </c:numCache>
            </c:numRef>
          </c:val>
        </c:ser>
        <c:ser>
          <c:idx val="1"/>
          <c:order val="1"/>
          <c:tx>
            <c:strRef>
              <c:f>doden!$B$23</c:f>
              <c:strCache>
                <c:ptCount val="1"/>
                <c:pt idx="0">
                  <c:v>Geweldspleging</c:v>
                </c:pt>
              </c:strCache>
            </c:strRef>
          </c:tx>
          <c:spPr>
            <a:ln w="12700">
              <a:solidFill>
                <a:schemeClr val="tx1"/>
              </a:solidFill>
            </a:ln>
          </c:spPr>
          <c:marker>
            <c:symbol val="triangle"/>
            <c:size val="5"/>
            <c:spPr>
              <a:solidFill>
                <a:schemeClr val="bg1"/>
              </a:solidFill>
              <a:ln>
                <a:solidFill>
                  <a:schemeClr val="tx1"/>
                </a:solidFill>
              </a:ln>
            </c:spPr>
          </c:marker>
          <c:cat>
            <c:strRef>
              <c:f>doden!$C$16:$M$16</c:f>
              <c:strCache>
                <c:ptCount val="11"/>
                <c:pt idx="0">
                  <c:v>2001</c:v>
                </c:pt>
                <c:pt idx="1">
                  <c:v>2002</c:v>
                </c:pt>
                <c:pt idx="2">
                  <c:v>2003</c:v>
                </c:pt>
                <c:pt idx="3">
                  <c:v>2004</c:v>
                </c:pt>
                <c:pt idx="4">
                  <c:v>2005</c:v>
                </c:pt>
                <c:pt idx="5">
                  <c:v>2006</c:v>
                </c:pt>
                <c:pt idx="6">
                  <c:v>2007</c:v>
                </c:pt>
                <c:pt idx="7">
                  <c:v>2008</c:v>
                </c:pt>
                <c:pt idx="8">
                  <c:v>2009</c:v>
                </c:pt>
                <c:pt idx="9">
                  <c:v>2010</c:v>
                </c:pt>
                <c:pt idx="10">
                  <c:v>2011</c:v>
                </c:pt>
              </c:strCache>
            </c:strRef>
          </c:cat>
          <c:val>
            <c:numRef>
              <c:f>doden!$C$23:$M$23</c:f>
              <c:numCache>
                <c:formatCode>###0</c:formatCode>
                <c:ptCount val="11"/>
                <c:pt idx="0">
                  <c:v>202</c:v>
                </c:pt>
                <c:pt idx="1">
                  <c:v>195</c:v>
                </c:pt>
                <c:pt idx="2">
                  <c:v>202</c:v>
                </c:pt>
                <c:pt idx="3">
                  <c:v>191</c:v>
                </c:pt>
                <c:pt idx="4">
                  <c:v>174</c:v>
                </c:pt>
                <c:pt idx="5">
                  <c:v>128</c:v>
                </c:pt>
                <c:pt idx="6">
                  <c:v>143</c:v>
                </c:pt>
                <c:pt idx="7">
                  <c:v>150</c:v>
                </c:pt>
                <c:pt idx="8">
                  <c:v>154</c:v>
                </c:pt>
                <c:pt idx="9">
                  <c:v>144</c:v>
                </c:pt>
                <c:pt idx="10">
                  <c:v>143</c:v>
                </c:pt>
              </c:numCache>
            </c:numRef>
          </c:val>
        </c:ser>
        <c:marker val="1"/>
        <c:axId val="75389184"/>
        <c:axId val="131338624"/>
      </c:lineChart>
      <c:catAx>
        <c:axId val="75389184"/>
        <c:scaling>
          <c:orientation val="minMax"/>
        </c:scaling>
        <c:axPos val="b"/>
        <c:tickLblPos val="nextTo"/>
        <c:crossAx val="131338624"/>
        <c:crosses val="autoZero"/>
        <c:auto val="1"/>
        <c:lblAlgn val="ctr"/>
        <c:lblOffset val="100"/>
      </c:catAx>
      <c:valAx>
        <c:axId val="131338624"/>
        <c:scaling>
          <c:orientation val="minMax"/>
          <c:max val="2000"/>
        </c:scaling>
        <c:axPos val="l"/>
        <c:majorGridlines/>
        <c:numFmt formatCode="#,##0" sourceLinked="0"/>
        <c:tickLblPos val="nextTo"/>
        <c:crossAx val="75389184"/>
        <c:crosses val="autoZero"/>
        <c:crossBetween val="between"/>
        <c:majorUnit val="500"/>
      </c:valAx>
    </c:plotArea>
    <c:legend>
      <c:legendPos val="r"/>
    </c:legend>
    <c:plotVisOnly val="1"/>
    <c:dispBlanksAs val="gap"/>
  </c:chart>
  <c:spPr>
    <a:ln>
      <a:noFill/>
    </a:ln>
  </c:spPr>
  <c:txPr>
    <a:bodyPr/>
    <a:lstStyle/>
    <a:p>
      <a:pPr>
        <a:defRPr sz="800">
          <a:latin typeface="Arial" pitchFamily="34" charset="0"/>
          <a:cs typeface="Arial" pitchFamily="34" charset="0"/>
        </a:defRPr>
      </a:pPr>
      <a:endParaRPr lang="en-US"/>
    </a:p>
  </c:txPr>
  <c:externalData r:id="rId2"/>
</c:chartSpace>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ap:Properties xmlns:vt="http://schemas.openxmlformats.org/officeDocument/2006/docPropsVTypes" xmlns:ap="http://schemas.openxmlformats.org/officeDocument/2006/extended-properties">
  <ap:Pages>12</ap:Pages>
  <ap:Words>21107</ap:Words>
  <ap:Characters>120312</ap:Characters>
  <ap:DocSecurity>4</ap:DocSecurity>
  <ap:Lines>1002</ap:Lines>
  <ap:Paragraphs>282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141137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2013-04-03T07:24:00.0000000Z</lastPrinted>
  <dcterms:created xsi:type="dcterms:W3CDTF">2013-05-13T10:17:00.0000000Z</dcterms:created>
  <dcterms:modified xsi:type="dcterms:W3CDTF">2013-05-13T10:17:00.0000000Z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0x0101008C217B3004EB3C4494F071A7BBE2FFAC</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