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Pr="002E7201" w:rsidR="00386755" w:rsidP="00BA2143">
      <w:pPr>
        <w:pStyle w:val="NoSpacing"/>
        <w:spacing w:line="240" w:lineRule="exact"/>
        <w:rPr>
          <w:rFonts w:ascii="Verdana" w:hAnsi="Verdana"/>
          <w:b/>
          <w:sz w:val="20"/>
          <w:szCs w:val="20"/>
        </w:rPr>
      </w:pPr>
      <w:r w:rsidRPr="002E7201">
        <w:rPr>
          <w:rFonts w:ascii="Verdana" w:hAnsi="Verdana"/>
          <w:b/>
          <w:sz w:val="20"/>
          <w:szCs w:val="20"/>
        </w:rPr>
        <w:t>Geannoteerde agenda formele Onderwijs, Jeugd, Cultuur en Sportraad 16 en 17 mei 2013 te Brussel</w:t>
      </w:r>
    </w:p>
    <w:p w:rsidRPr="002E7201" w:rsidR="00F20E27" w:rsidP="00BA2143">
      <w:pPr>
        <w:pStyle w:val="NoSpacing"/>
        <w:spacing w:line="240" w:lineRule="exact"/>
        <w:rPr>
          <w:rFonts w:ascii="Verdana" w:hAnsi="Verdana"/>
          <w:b/>
          <w:sz w:val="20"/>
          <w:szCs w:val="20"/>
        </w:rPr>
      </w:pPr>
    </w:p>
    <w:p w:rsidRPr="002E7201" w:rsidR="00F20E27" w:rsidP="00BA2143">
      <w:pPr>
        <w:spacing w:line="240" w:lineRule="exact"/>
        <w:rPr>
          <w:sz w:val="20"/>
        </w:rPr>
      </w:pPr>
      <w:r w:rsidRPr="002E7201">
        <w:rPr>
          <w:sz w:val="20"/>
        </w:rPr>
        <w:t xml:space="preserve">Er is op dit moment </w:t>
      </w:r>
      <w:r>
        <w:rPr>
          <w:sz w:val="20"/>
        </w:rPr>
        <w:t xml:space="preserve">alleen een voorlopige </w:t>
      </w:r>
      <w:r>
        <w:rPr>
          <w:sz w:val="20"/>
        </w:rPr>
        <w:t>agenda van de</w:t>
      </w:r>
      <w:r>
        <w:rPr>
          <w:sz w:val="20"/>
        </w:rPr>
        <w:t xml:space="preserve"> </w:t>
      </w:r>
      <w:r w:rsidRPr="002E7201">
        <w:rPr>
          <w:sz w:val="20"/>
        </w:rPr>
        <w:t xml:space="preserve">Raad beschikbaar. </w:t>
      </w:r>
      <w:r>
        <w:rPr>
          <w:sz w:val="20"/>
        </w:rPr>
        <w:t>Hierbij vindt u</w:t>
      </w:r>
      <w:r>
        <w:rPr>
          <w:sz w:val="20"/>
        </w:rPr>
        <w:t xml:space="preserve"> de inzet van het kabinet op onderstaande agendapunte</w:t>
      </w:r>
      <w:r>
        <w:rPr>
          <w:sz w:val="20"/>
        </w:rPr>
        <w:t>n</w:t>
      </w:r>
      <w:r>
        <w:rPr>
          <w:sz w:val="20"/>
        </w:rPr>
        <w:t xml:space="preserve">, die zijn </w:t>
      </w:r>
      <w:r>
        <w:rPr>
          <w:sz w:val="20"/>
        </w:rPr>
        <w:t>opgesteld aan de hand van concepten die in de voorbereidende raadswerkgroepen zijn besproken:</w:t>
      </w:r>
    </w:p>
    <w:p w:rsidRPr="002E7201" w:rsidR="00386755" w:rsidP="00BA2143">
      <w:pPr>
        <w:spacing w:line="240" w:lineRule="exact"/>
        <w:outlineLvl w:val="0"/>
        <w:rPr>
          <w:b/>
          <w:i/>
          <w:sz w:val="20"/>
        </w:rPr>
      </w:pPr>
    </w:p>
    <w:p w:rsidRPr="002E7201" w:rsidR="00386755" w:rsidP="00BA2143">
      <w:pPr>
        <w:spacing w:line="240" w:lineRule="exact"/>
        <w:outlineLvl w:val="0"/>
        <w:rPr>
          <w:b/>
          <w:i/>
          <w:sz w:val="20"/>
        </w:rPr>
      </w:pPr>
      <w:r w:rsidRPr="002E7201">
        <w:rPr>
          <w:b/>
          <w:i/>
          <w:sz w:val="20"/>
        </w:rPr>
        <w:t xml:space="preserve">Jeugdraad (op </w:t>
      </w:r>
      <w:r>
        <w:rPr>
          <w:b/>
          <w:i/>
          <w:sz w:val="20"/>
        </w:rPr>
        <w:t xml:space="preserve">donderdag </w:t>
      </w:r>
      <w:r w:rsidRPr="002E7201">
        <w:rPr>
          <w:b/>
          <w:i/>
          <w:sz w:val="20"/>
        </w:rPr>
        <w:t>16 mei)</w:t>
      </w:r>
    </w:p>
    <w:p w:rsidRPr="002E7201" w:rsidR="007E13FB" w:rsidP="00BA2143">
      <w:pPr>
        <w:spacing w:line="240" w:lineRule="exact"/>
        <w:rPr>
          <w:b/>
          <w:i/>
          <w:sz w:val="20"/>
        </w:rPr>
      </w:pPr>
    </w:p>
    <w:p w:rsidRPr="002E7201" w:rsidR="007E13FB" w:rsidP="00BA2143">
      <w:pPr>
        <w:spacing w:line="240" w:lineRule="exact"/>
        <w:rPr>
          <w:b/>
          <w:sz w:val="20"/>
        </w:rPr>
      </w:pPr>
    </w:p>
    <w:p w:rsidRPr="002E7201" w:rsidR="00524B8D" w:rsidP="00BA2143">
      <w:pPr>
        <w:pStyle w:val="ListParagraph"/>
        <w:numPr>
          <w:ilvl w:val="0"/>
          <w:numId w:val="4"/>
        </w:numPr>
        <w:spacing w:line="240" w:lineRule="exact"/>
        <w:rPr>
          <w:b/>
          <w:sz w:val="20"/>
        </w:rPr>
      </w:pPr>
      <w:r w:rsidRPr="002E7201">
        <w:rPr>
          <w:b/>
          <w:sz w:val="20"/>
        </w:rPr>
        <w:t>Raadsconclusies over het maximaliseren van het potentieel van jeugdbeleid teneinde de doelstellingen van Europe 2020 te bereike</w:t>
      </w:r>
      <w:r w:rsidRPr="002E7201">
        <w:rPr>
          <w:b/>
          <w:sz w:val="20"/>
        </w:rPr>
        <w:t>n.</w:t>
      </w:r>
    </w:p>
    <w:p w:rsidR="00524B8D" w:rsidP="00BA2143">
      <w:pPr>
        <w:pStyle w:val="ListParagraph"/>
        <w:spacing w:line="240" w:lineRule="exact"/>
        <w:rPr>
          <w:sz w:val="20"/>
        </w:rPr>
      </w:pPr>
      <w:r>
        <w:rPr>
          <w:sz w:val="20"/>
        </w:rPr>
        <w:t>In deze raadsconclusies worden de lidstaten onder meer verzocht de actieve betrokkenheid van de ministeries voor jeugd te bevorderen in de nationale beleidsvorming met betrekking tot de uitvoering van de Europa 2020-beleidsstrategie</w:t>
      </w:r>
      <w:r>
        <w:rPr>
          <w:sz w:val="20"/>
        </w:rPr>
        <w:t>. Verder worden lidst</w:t>
      </w:r>
      <w:r>
        <w:rPr>
          <w:sz w:val="20"/>
        </w:rPr>
        <w:t xml:space="preserve">aten verzocht </w:t>
      </w:r>
      <w:r>
        <w:rPr>
          <w:sz w:val="20"/>
        </w:rPr>
        <w:t xml:space="preserve">om ervoor te zorgen dat de mening van jongeren wordt </w:t>
      </w:r>
      <w:r>
        <w:rPr>
          <w:sz w:val="20"/>
        </w:rPr>
        <w:t xml:space="preserve">meegenomen bij het uitstippelen </w:t>
      </w:r>
      <w:r>
        <w:rPr>
          <w:sz w:val="20"/>
        </w:rPr>
        <w:t xml:space="preserve">van jeugdbeleid. </w:t>
      </w:r>
    </w:p>
    <w:p w:rsidR="00524B8D" w:rsidP="00BA2143">
      <w:pPr>
        <w:pStyle w:val="ListParagraph"/>
        <w:spacing w:line="240" w:lineRule="exact"/>
        <w:rPr>
          <w:sz w:val="20"/>
        </w:rPr>
      </w:pPr>
    </w:p>
    <w:p w:rsidRPr="002E7201" w:rsidR="00524B8D" w:rsidP="00BA2143">
      <w:pPr>
        <w:pStyle w:val="ListParagraph"/>
        <w:spacing w:line="240" w:lineRule="exact"/>
        <w:rPr>
          <w:sz w:val="20"/>
        </w:rPr>
      </w:pPr>
      <w:r w:rsidRPr="002E7201">
        <w:rPr>
          <w:sz w:val="20"/>
        </w:rPr>
        <w:t>Nederland kan zich vinden in deze conclusies. Op verzoek van Nederland en met steun van onder andere Duitsland, België en Tsjechië is in d</w:t>
      </w:r>
      <w:r w:rsidRPr="002E7201">
        <w:rPr>
          <w:sz w:val="20"/>
        </w:rPr>
        <w:t>e tekst een verwijzing opgenomen naar de meerwaarde van een positief en zelfstandig jeugdbeleid. Het voorzitterschap heeft een duidelijkere verwijzing opgenomen naar de aangenomen tekst over “Youth Guarantees” en naar de rol van jeugd in het Europees Semes</w:t>
      </w:r>
      <w:r w:rsidRPr="002E7201">
        <w:rPr>
          <w:sz w:val="20"/>
        </w:rPr>
        <w:t xml:space="preserve">ter. </w:t>
      </w:r>
    </w:p>
    <w:p w:rsidRPr="00524B8D" w:rsidR="00524B8D" w:rsidP="00BA2143">
      <w:pPr>
        <w:spacing w:line="240" w:lineRule="exact"/>
        <w:rPr>
          <w:sz w:val="20"/>
        </w:rPr>
      </w:pPr>
    </w:p>
    <w:p w:rsidRPr="002E7201" w:rsidR="00B94007" w:rsidP="00BA2143">
      <w:pPr>
        <w:pStyle w:val="ListParagraph"/>
        <w:numPr>
          <w:ilvl w:val="0"/>
          <w:numId w:val="4"/>
        </w:numPr>
        <w:spacing w:line="240" w:lineRule="exact"/>
        <w:rPr>
          <w:sz w:val="20"/>
        </w:rPr>
      </w:pPr>
      <w:r w:rsidRPr="002E7201">
        <w:rPr>
          <w:b/>
          <w:sz w:val="20"/>
        </w:rPr>
        <w:t xml:space="preserve">Raadsconclusies over de bijdrage van kwalitatief jeugdwerk aan de ontwikkeling, het welzijn en de sociale insluiting van jongeren. </w:t>
      </w:r>
      <w:r w:rsidRPr="002E7201">
        <w:rPr>
          <w:sz w:val="20"/>
        </w:rPr>
        <w:tab/>
      </w:r>
    </w:p>
    <w:p w:rsidR="00524B8D" w:rsidP="00BA2143">
      <w:pPr>
        <w:spacing w:line="240" w:lineRule="exact"/>
        <w:rPr>
          <w:sz w:val="20"/>
        </w:rPr>
      </w:pPr>
      <w:r w:rsidRPr="002E7201">
        <w:rPr>
          <w:sz w:val="20"/>
        </w:rPr>
        <w:tab/>
      </w:r>
      <w:r>
        <w:rPr>
          <w:sz w:val="20"/>
        </w:rPr>
        <w:t xml:space="preserve">Het Ierse voorzitterschap heeft raadsconclusies geformuleerd om de bijdrage te </w:t>
      </w:r>
      <w:r>
        <w:rPr>
          <w:sz w:val="20"/>
        </w:rPr>
        <w:tab/>
      </w:r>
      <w:r>
        <w:rPr>
          <w:sz w:val="20"/>
        </w:rPr>
        <w:t xml:space="preserve">benadrukken die door kwalitatief goed jeugdwerk kan worden geleverd aan de </w:t>
      </w:r>
      <w:r>
        <w:rPr>
          <w:sz w:val="20"/>
        </w:rPr>
        <w:tab/>
        <w:t xml:space="preserve">verbetering van de positie van jongeren in Europa. De huidige generatie jongeren </w:t>
      </w:r>
      <w:r>
        <w:rPr>
          <w:sz w:val="20"/>
        </w:rPr>
        <w:tab/>
        <w:t xml:space="preserve">in Europa wordt geconfronteerd met ongekende uitdagingen op het gebied van </w:t>
      </w:r>
      <w:r>
        <w:rPr>
          <w:sz w:val="20"/>
        </w:rPr>
        <w:tab/>
        <w:t>jeugdwerkloosheid en h</w:t>
      </w:r>
      <w:r>
        <w:rPr>
          <w:sz w:val="20"/>
        </w:rPr>
        <w:t xml:space="preserve">et risico op armoede. Voor het jeugdbeleid en het </w:t>
      </w:r>
      <w:r>
        <w:rPr>
          <w:sz w:val="20"/>
        </w:rPr>
        <w:tab/>
        <w:t xml:space="preserve">jongerenwerk is een rol weggelegd om deze uitdagingen aan te gaan. Activiteiten </w:t>
      </w:r>
      <w:r>
        <w:rPr>
          <w:sz w:val="20"/>
        </w:rPr>
        <w:tab/>
        <w:t xml:space="preserve">in het jongerenwerk vullen maatregelen op het gebied van onderwijs en opleiding, </w:t>
      </w:r>
      <w:r>
        <w:rPr>
          <w:sz w:val="20"/>
        </w:rPr>
        <w:tab/>
        <w:t>werkgelegenheid en sociale inclusie aan en</w:t>
      </w:r>
      <w:r>
        <w:rPr>
          <w:sz w:val="20"/>
        </w:rPr>
        <w:t xml:space="preserve"> vergroten het effect van het beleid op </w:t>
      </w:r>
      <w:r>
        <w:rPr>
          <w:sz w:val="20"/>
        </w:rPr>
        <w:tab/>
        <w:t>deze gebieden op het leven van jongeren.</w:t>
      </w:r>
    </w:p>
    <w:p w:rsidR="00524B8D" w:rsidP="00BA2143">
      <w:pPr>
        <w:spacing w:line="240" w:lineRule="exact"/>
        <w:rPr>
          <w:sz w:val="20"/>
        </w:rPr>
      </w:pPr>
      <w:r>
        <w:rPr>
          <w:sz w:val="20"/>
        </w:rPr>
        <w:tab/>
      </w:r>
    </w:p>
    <w:p w:rsidRPr="002E7201" w:rsidR="00386755" w:rsidP="00BA2143">
      <w:pPr>
        <w:spacing w:line="240" w:lineRule="exact"/>
        <w:rPr>
          <w:sz w:val="20"/>
        </w:rPr>
      </w:pPr>
      <w:r>
        <w:rPr>
          <w:sz w:val="20"/>
        </w:rPr>
        <w:tab/>
      </w:r>
      <w:r w:rsidRPr="002E7201">
        <w:rPr>
          <w:sz w:val="20"/>
        </w:rPr>
        <w:t xml:space="preserve">Nederland kan instemmen met deze raadsconclusies. Het Ierse voorzitterschap </w:t>
      </w:r>
      <w:r w:rsidRPr="002E7201">
        <w:rPr>
          <w:sz w:val="20"/>
        </w:rPr>
        <w:t xml:space="preserve">zal </w:t>
      </w:r>
      <w:r>
        <w:rPr>
          <w:sz w:val="20"/>
        </w:rPr>
        <w:tab/>
      </w:r>
      <w:r w:rsidRPr="002E7201">
        <w:rPr>
          <w:sz w:val="20"/>
        </w:rPr>
        <w:t>de gezamenlijke conclusies van de jeu</w:t>
      </w:r>
      <w:r w:rsidRPr="002E7201">
        <w:rPr>
          <w:sz w:val="20"/>
        </w:rPr>
        <w:t>gdconferentie</w:t>
      </w:r>
      <w:r w:rsidRPr="002E7201">
        <w:rPr>
          <w:sz w:val="20"/>
        </w:rPr>
        <w:t>,</w:t>
      </w:r>
      <w:r w:rsidRPr="002E7201">
        <w:rPr>
          <w:sz w:val="20"/>
        </w:rPr>
        <w:t xml:space="preserve"> </w:t>
      </w:r>
      <w:r w:rsidRPr="002E7201">
        <w:rPr>
          <w:sz w:val="20"/>
        </w:rPr>
        <w:t xml:space="preserve">die in maart in Dublin is </w:t>
      </w:r>
      <w:r>
        <w:rPr>
          <w:sz w:val="20"/>
        </w:rPr>
        <w:tab/>
      </w:r>
      <w:r w:rsidRPr="002E7201">
        <w:rPr>
          <w:sz w:val="20"/>
        </w:rPr>
        <w:t>gehouden</w:t>
      </w:r>
      <w:r w:rsidRPr="002E7201">
        <w:rPr>
          <w:sz w:val="20"/>
        </w:rPr>
        <w:t>,</w:t>
      </w:r>
      <w:r w:rsidRPr="002E7201">
        <w:rPr>
          <w:sz w:val="20"/>
        </w:rPr>
        <w:t xml:space="preserve"> i</w:t>
      </w:r>
      <w:r w:rsidRPr="002E7201">
        <w:rPr>
          <w:sz w:val="20"/>
        </w:rPr>
        <w:t xml:space="preserve">n </w:t>
      </w:r>
      <w:r w:rsidRPr="002E7201">
        <w:rPr>
          <w:sz w:val="20"/>
        </w:rPr>
        <w:t xml:space="preserve">de tekst te verwerken. </w:t>
      </w:r>
    </w:p>
    <w:p w:rsidRPr="002E7201" w:rsidR="00386755" w:rsidP="00BA2143">
      <w:pPr>
        <w:spacing w:line="240" w:lineRule="exact"/>
        <w:outlineLvl w:val="0"/>
        <w:rPr>
          <w:sz w:val="20"/>
        </w:rPr>
      </w:pPr>
    </w:p>
    <w:p w:rsidRPr="002E7201" w:rsidR="00386755" w:rsidP="00BA2143">
      <w:pPr>
        <w:pStyle w:val="ListParagraph"/>
        <w:numPr>
          <w:ilvl w:val="0"/>
          <w:numId w:val="4"/>
        </w:numPr>
        <w:spacing w:line="240" w:lineRule="exact"/>
        <w:outlineLvl w:val="0"/>
        <w:rPr>
          <w:b/>
          <w:sz w:val="20"/>
        </w:rPr>
      </w:pPr>
      <w:r w:rsidRPr="002E7201">
        <w:rPr>
          <w:b/>
          <w:sz w:val="20"/>
        </w:rPr>
        <w:t xml:space="preserve">Gedachtewisseling jongerenwerk. </w:t>
      </w:r>
    </w:p>
    <w:p w:rsidRPr="002E7201" w:rsidR="00386755" w:rsidP="00BA2143">
      <w:pPr>
        <w:pStyle w:val="ListParagraph"/>
        <w:spacing w:line="240" w:lineRule="exact"/>
        <w:outlineLvl w:val="0"/>
        <w:rPr>
          <w:sz w:val="20"/>
          <w:lang w:val="nl-BE"/>
        </w:rPr>
      </w:pPr>
      <w:r w:rsidRPr="002E7201">
        <w:rPr>
          <w:sz w:val="20"/>
          <w:lang w:val="nl-BE"/>
        </w:rPr>
        <w:t xml:space="preserve">Tijdens de Raad zal tevens een gedachtewisseling gehouden worden over de vraag hoe beter in te zetten op jongerenwerk. </w:t>
      </w:r>
      <w:r w:rsidRPr="002E7201">
        <w:rPr>
          <w:sz w:val="20"/>
        </w:rPr>
        <w:t>Voorafgaand zal een discussiestuk rondgestuurd worden. I</w:t>
      </w:r>
      <w:r w:rsidRPr="002E7201">
        <w:rPr>
          <w:sz w:val="20"/>
          <w:lang w:val="nl-BE"/>
        </w:rPr>
        <w:t>n de gedachtewisselin</w:t>
      </w:r>
      <w:r w:rsidRPr="002E7201">
        <w:rPr>
          <w:sz w:val="20"/>
          <w:lang w:val="nl-BE"/>
        </w:rPr>
        <w:t xml:space="preserve">g zal Nederland het belang benadrukken van de aanpak op lokaal en regionaal niveau. Activiteiten op nationaal en Europees niveau dienen er vooral op gericht te zijn om het lokale en regionale niveau daarbij te faciliteren via de verspreiding van kennis en </w:t>
      </w:r>
      <w:r w:rsidRPr="002E7201">
        <w:rPr>
          <w:sz w:val="20"/>
          <w:lang w:val="nl-BE"/>
        </w:rPr>
        <w:t xml:space="preserve">goede voorbeelden. De actieve betrokkenheid van jongeren zelf, met name op de decentrale niveaus, is daarbij van groot belang. </w:t>
      </w:r>
    </w:p>
    <w:p w:rsidRPr="002E7201" w:rsidR="00386755" w:rsidP="00BA2143">
      <w:pPr>
        <w:pStyle w:val="ListParagraph"/>
        <w:spacing w:line="240" w:lineRule="exact"/>
        <w:outlineLvl w:val="0"/>
        <w:rPr>
          <w:sz w:val="20"/>
          <w:lang w:val="nl-BE"/>
        </w:rPr>
      </w:pPr>
    </w:p>
    <w:p w:rsidRPr="002E7201" w:rsidR="007E13FB" w:rsidP="00BA2143">
      <w:pPr>
        <w:pStyle w:val="ListParagraph"/>
        <w:spacing w:line="240" w:lineRule="exact"/>
        <w:rPr>
          <w:sz w:val="20"/>
        </w:rPr>
      </w:pPr>
      <w:r w:rsidRPr="002E7201">
        <w:rPr>
          <w:sz w:val="20"/>
        </w:rPr>
        <w:t>Uit de Raadswerkgroep kwam naar voren dat de ministers gevraagd zullen worden te reageren op de volgende vragen:</w:t>
      </w:r>
    </w:p>
    <w:p w:rsidRPr="002E7201" w:rsidR="007E13FB" w:rsidP="00BA2143">
      <w:pPr>
        <w:pStyle w:val="ListParagraph"/>
        <w:spacing w:line="240" w:lineRule="exact"/>
        <w:rPr>
          <w:sz w:val="20"/>
        </w:rPr>
      </w:pPr>
      <w:r w:rsidRPr="002E7201">
        <w:rPr>
          <w:sz w:val="20"/>
        </w:rPr>
        <w:t xml:space="preserve">- </w:t>
      </w:r>
      <w:r w:rsidRPr="002E7201">
        <w:rPr>
          <w:sz w:val="20"/>
        </w:rPr>
        <w:t>W</w:t>
      </w:r>
      <w:r w:rsidRPr="002E7201">
        <w:rPr>
          <w:sz w:val="20"/>
        </w:rPr>
        <w:t xml:space="preserve">elke </w:t>
      </w:r>
      <w:r w:rsidRPr="002E7201">
        <w:rPr>
          <w:sz w:val="20"/>
        </w:rPr>
        <w:t>concrete acties ondernomen kunnen worden om jongerenwerk te verbeteren;</w:t>
      </w:r>
    </w:p>
    <w:p w:rsidRPr="002E7201" w:rsidR="007E13FB" w:rsidP="00BA2143">
      <w:pPr>
        <w:pStyle w:val="ListParagraph"/>
        <w:spacing w:line="240" w:lineRule="exact"/>
        <w:rPr>
          <w:sz w:val="20"/>
        </w:rPr>
      </w:pPr>
      <w:r w:rsidRPr="002E7201">
        <w:rPr>
          <w:sz w:val="20"/>
        </w:rPr>
        <w:t>- Hoe kan het jongerenwerk de uitdagingen</w:t>
      </w:r>
      <w:r>
        <w:rPr>
          <w:sz w:val="20"/>
        </w:rPr>
        <w:t xml:space="preserve"> </w:t>
      </w:r>
      <w:r w:rsidRPr="002E7201">
        <w:rPr>
          <w:sz w:val="20"/>
        </w:rPr>
        <w:t>van de jeugd tegemoet komen;</w:t>
      </w:r>
    </w:p>
    <w:p w:rsidRPr="002E7201" w:rsidR="007E13FB" w:rsidP="00BA2143">
      <w:pPr>
        <w:pStyle w:val="ListParagraph"/>
        <w:spacing w:line="240" w:lineRule="exact"/>
        <w:rPr>
          <w:sz w:val="20"/>
        </w:rPr>
      </w:pPr>
      <w:r w:rsidRPr="002E7201">
        <w:rPr>
          <w:sz w:val="20"/>
        </w:rPr>
        <w:t xml:space="preserve">- </w:t>
      </w:r>
      <w:r w:rsidRPr="002E7201">
        <w:rPr>
          <w:sz w:val="20"/>
        </w:rPr>
        <w:t>W</w:t>
      </w:r>
      <w:r w:rsidRPr="002E7201">
        <w:rPr>
          <w:sz w:val="20"/>
        </w:rPr>
        <w:t>at speelt er op het gebied van jongerenwerk in de LS</w:t>
      </w:r>
      <w:r>
        <w:rPr>
          <w:sz w:val="20"/>
        </w:rPr>
        <w:t>?</w:t>
      </w:r>
    </w:p>
    <w:p w:rsidRPr="002E7201" w:rsidR="00386755" w:rsidP="00BA2143">
      <w:pPr>
        <w:pStyle w:val="ListParagraph"/>
        <w:spacing w:line="240" w:lineRule="exact"/>
        <w:outlineLvl w:val="0"/>
        <w:rPr>
          <w:sz w:val="20"/>
        </w:rPr>
      </w:pPr>
    </w:p>
    <w:p w:rsidRPr="002E7201" w:rsidR="00386755" w:rsidP="00BA2143">
      <w:pPr>
        <w:pStyle w:val="ListParagraph"/>
        <w:spacing w:line="240" w:lineRule="exact"/>
        <w:outlineLvl w:val="0"/>
        <w:rPr>
          <w:b/>
          <w:i/>
          <w:sz w:val="20"/>
          <w:lang w:val="nl-BE"/>
        </w:rPr>
      </w:pPr>
    </w:p>
    <w:p w:rsidR="00386755" w:rsidP="00BA2143">
      <w:pPr>
        <w:spacing w:line="240" w:lineRule="exact"/>
        <w:rPr>
          <w:b/>
          <w:i/>
          <w:sz w:val="20"/>
          <w:lang w:val="nl-BE"/>
        </w:rPr>
      </w:pPr>
      <w:r w:rsidRPr="002E7201">
        <w:rPr>
          <w:b/>
          <w:i/>
          <w:sz w:val="20"/>
          <w:lang w:val="nl-BE"/>
        </w:rPr>
        <w:t>Sportraad (op 17 mei)</w:t>
      </w:r>
    </w:p>
    <w:p w:rsidR="00535425" w:rsidP="00BA2143">
      <w:pPr>
        <w:spacing w:line="240" w:lineRule="exact"/>
        <w:rPr>
          <w:b/>
          <w:i/>
          <w:sz w:val="20"/>
          <w:lang w:val="nl-BE"/>
        </w:rPr>
      </w:pPr>
    </w:p>
    <w:p w:rsidR="0006333E" w:rsidP="00BA2143">
      <w:pPr>
        <w:spacing w:line="240" w:lineRule="exact"/>
        <w:rPr>
          <w:b/>
          <w:i/>
          <w:sz w:val="20"/>
          <w:lang w:val="nl-BE"/>
        </w:rPr>
      </w:pPr>
    </w:p>
    <w:p w:rsidRPr="002E7201" w:rsidR="0006333E" w:rsidP="00BA2143">
      <w:pPr>
        <w:pStyle w:val="ListParagraph"/>
        <w:numPr>
          <w:ilvl w:val="0"/>
          <w:numId w:val="7"/>
        </w:numPr>
        <w:spacing w:line="240" w:lineRule="exact"/>
        <w:rPr>
          <w:b/>
          <w:sz w:val="20"/>
        </w:rPr>
      </w:pPr>
      <w:r w:rsidRPr="002E7201">
        <w:rPr>
          <w:b/>
          <w:sz w:val="20"/>
          <w:lang w:val="nl-BE"/>
        </w:rPr>
        <w:t xml:space="preserve">Mandaat van de Europese Commissie om te onderhandelen over een internationale conventie tegen matchfixing. </w:t>
      </w:r>
    </w:p>
    <w:p w:rsidRPr="002E7201" w:rsidR="0006333E" w:rsidP="00BA2143">
      <w:pPr>
        <w:spacing w:line="240" w:lineRule="exact"/>
        <w:ind w:left="705"/>
        <w:rPr>
          <w:sz w:val="20"/>
          <w:lang w:val="en-US"/>
        </w:rPr>
      </w:pPr>
      <w:r w:rsidRPr="002E7201">
        <w:rPr>
          <w:sz w:val="20"/>
        </w:rPr>
        <w:t xml:space="preserve">Door middel van dit mandaatbesluit geeft de Raad aan de Europese Commissie de </w:t>
      </w:r>
      <w:r>
        <w:rPr>
          <w:sz w:val="20"/>
        </w:rPr>
        <w:tab/>
        <w:t>b</w:t>
      </w:r>
      <w:r w:rsidRPr="002E7201">
        <w:rPr>
          <w:sz w:val="20"/>
        </w:rPr>
        <w:t>evoegdheid om te onderhandelen over de voorgenomen Conventie van de</w:t>
      </w:r>
      <w:r w:rsidRPr="002E7201">
        <w:rPr>
          <w:sz w:val="20"/>
        </w:rPr>
        <w:t xml:space="preserve"> Raad </w:t>
      </w:r>
      <w:r>
        <w:rPr>
          <w:sz w:val="20"/>
        </w:rPr>
        <w:tab/>
      </w:r>
      <w:r w:rsidRPr="002E7201">
        <w:rPr>
          <w:sz w:val="20"/>
        </w:rPr>
        <w:t xml:space="preserve">van Europa ter bestrijding van het manipuleren van sportresultaten (matchfixing). </w:t>
      </w:r>
      <w:r>
        <w:rPr>
          <w:sz w:val="20"/>
        </w:rPr>
        <w:tab/>
      </w:r>
      <w:r w:rsidRPr="002E7201">
        <w:rPr>
          <w:sz w:val="20"/>
        </w:rPr>
        <w:t xml:space="preserve">De Europese Commissie mag onderhandelen over de zaken die vallen binnen de </w:t>
      </w:r>
      <w:r>
        <w:rPr>
          <w:sz w:val="20"/>
        </w:rPr>
        <w:tab/>
      </w:r>
      <w:r w:rsidRPr="002E7201">
        <w:rPr>
          <w:sz w:val="20"/>
        </w:rPr>
        <w:t>competentie van de EU,</w:t>
      </w:r>
      <w:r>
        <w:rPr>
          <w:sz w:val="20"/>
        </w:rPr>
        <w:t xml:space="preserve"> </w:t>
      </w:r>
      <w:r w:rsidRPr="002E7201">
        <w:rPr>
          <w:sz w:val="20"/>
        </w:rPr>
        <w:t xml:space="preserve">dus waar de Commissie  bevoegd is. </w:t>
      </w:r>
      <w:r w:rsidRPr="002E7201">
        <w:rPr>
          <w:sz w:val="20"/>
          <w:lang w:val="en-US"/>
        </w:rPr>
        <w:t xml:space="preserve">De bepalingen van </w:t>
      </w:r>
      <w:r>
        <w:rPr>
          <w:sz w:val="20"/>
          <w:lang w:val="en-US"/>
        </w:rPr>
        <w:tab/>
      </w:r>
      <w:r w:rsidRPr="002E7201">
        <w:rPr>
          <w:sz w:val="20"/>
          <w:lang w:val="en-US"/>
        </w:rPr>
        <w:t>de voorgenome</w:t>
      </w:r>
      <w:r w:rsidRPr="002E7201">
        <w:rPr>
          <w:sz w:val="20"/>
          <w:lang w:val="en-US"/>
        </w:rPr>
        <w:t xml:space="preserve">n Conventie van de Raad van Europa inzake matchfixing </w:t>
      </w:r>
      <w:r w:rsidRPr="002E7201">
        <w:rPr>
          <w:sz w:val="20"/>
          <w:lang w:val="en-US"/>
        </w:rPr>
        <w:t xml:space="preserve">die </w:t>
      </w:r>
      <w:r w:rsidRPr="002E7201">
        <w:rPr>
          <w:sz w:val="20"/>
          <w:lang w:val="en-US"/>
        </w:rPr>
        <w:t xml:space="preserve">de </w:t>
      </w:r>
      <w:r w:rsidRPr="002E7201">
        <w:rPr>
          <w:sz w:val="20"/>
          <w:lang w:val="en-US"/>
        </w:rPr>
        <w:t>betreffende</w:t>
      </w:r>
      <w:r w:rsidRPr="002E7201">
        <w:rPr>
          <w:sz w:val="20"/>
          <w:lang w:val="en-US"/>
        </w:rPr>
        <w:t xml:space="preserve"> </w:t>
      </w:r>
      <w:r w:rsidRPr="002E7201">
        <w:rPr>
          <w:sz w:val="20"/>
          <w:lang w:val="en-US"/>
        </w:rPr>
        <w:t>competentiegebieden</w:t>
      </w:r>
      <w:r w:rsidRPr="002E7201">
        <w:rPr>
          <w:sz w:val="20"/>
          <w:lang w:val="en-US"/>
        </w:rPr>
        <w:t xml:space="preserve"> van de EU kunnen raken, worden opgesomd </w:t>
      </w:r>
      <w:r w:rsidRPr="002E7201">
        <w:rPr>
          <w:sz w:val="20"/>
          <w:lang w:val="en-US"/>
        </w:rPr>
        <w:t xml:space="preserve">in het concept Raadsbesluit (“fairness and openness in sporting competitions and </w:t>
      </w:r>
      <w:r w:rsidRPr="002E7201">
        <w:rPr>
          <w:sz w:val="20"/>
          <w:lang w:val="en-US"/>
        </w:rPr>
        <w:t>cooperation between bodies responsible</w:t>
      </w:r>
      <w:r w:rsidRPr="002E7201">
        <w:rPr>
          <w:sz w:val="20"/>
          <w:lang w:val="en-US"/>
        </w:rPr>
        <w:t xml:space="preserve"> for sports, and by protecting the physical </w:t>
      </w:r>
      <w:r>
        <w:rPr>
          <w:sz w:val="20"/>
          <w:lang w:val="en-US"/>
        </w:rPr>
        <w:tab/>
      </w:r>
      <w:r w:rsidRPr="002E7201">
        <w:rPr>
          <w:sz w:val="20"/>
          <w:lang w:val="en-US"/>
        </w:rPr>
        <w:t xml:space="preserve">and moral integrity of sports(wo)men”, “internal Market freedoms related to </w:t>
      </w:r>
      <w:r w:rsidRPr="002E7201">
        <w:rPr>
          <w:sz w:val="20"/>
          <w:lang w:val="en-US"/>
        </w:rPr>
        <w:t xml:space="preserve">match-fixing and sports betting”, “judicial cooperation in criminal matters and </w:t>
      </w:r>
      <w:r w:rsidRPr="002E7201">
        <w:rPr>
          <w:sz w:val="20"/>
          <w:lang w:val="en-US"/>
        </w:rPr>
        <w:t>police cooperat</w:t>
      </w:r>
      <w:r>
        <w:rPr>
          <w:sz w:val="20"/>
          <w:lang w:val="en-US"/>
        </w:rPr>
        <w:t xml:space="preserve">ion related to the manipulation </w:t>
      </w:r>
      <w:r w:rsidRPr="002E7201">
        <w:rPr>
          <w:sz w:val="20"/>
          <w:lang w:val="en-US"/>
        </w:rPr>
        <w:t>of sp</w:t>
      </w:r>
      <w:r w:rsidRPr="002E7201">
        <w:rPr>
          <w:sz w:val="20"/>
          <w:lang w:val="en-US"/>
        </w:rPr>
        <w:t xml:space="preserve">orts results” and “data </w:t>
      </w:r>
      <w:r>
        <w:rPr>
          <w:sz w:val="20"/>
          <w:lang w:val="en-US"/>
        </w:rPr>
        <w:tab/>
      </w:r>
      <w:r w:rsidRPr="002E7201">
        <w:rPr>
          <w:sz w:val="20"/>
          <w:lang w:val="en-US"/>
        </w:rPr>
        <w:t>protection in relation to the mentioned areas”).</w:t>
      </w:r>
    </w:p>
    <w:p w:rsidRPr="002E7201" w:rsidR="0006333E" w:rsidP="00BA2143">
      <w:pPr>
        <w:spacing w:line="240" w:lineRule="exact"/>
        <w:rPr>
          <w:sz w:val="20"/>
          <w:lang w:val="en-US"/>
        </w:rPr>
      </w:pPr>
    </w:p>
    <w:p w:rsidR="0006333E" w:rsidP="00BA2143">
      <w:pPr>
        <w:spacing w:line="240" w:lineRule="exact"/>
        <w:ind w:left="705"/>
        <w:rPr>
          <w:sz w:val="20"/>
        </w:rPr>
      </w:pPr>
      <w:r w:rsidRPr="00BA2143">
        <w:rPr>
          <w:sz w:val="20"/>
        </w:rPr>
        <w:t>De Juridische dienst van de Raad heeft op verzoek van de Raadswerkgroep een</w:t>
      </w:r>
      <w:r>
        <w:rPr>
          <w:sz w:val="20"/>
        </w:rPr>
        <w:t xml:space="preserve"> </w:t>
      </w:r>
      <w:r>
        <w:rPr>
          <w:sz w:val="20"/>
        </w:rPr>
        <w:t>opiniestuk gesc</w:t>
      </w:r>
      <w:r w:rsidRPr="002E7201">
        <w:rPr>
          <w:sz w:val="20"/>
        </w:rPr>
        <w:t>hreven</w:t>
      </w:r>
      <w:r w:rsidRPr="002E7201">
        <w:rPr>
          <w:sz w:val="20"/>
        </w:rPr>
        <w:t xml:space="preserve"> naar aanleiding van een aantal vragen over het concept </w:t>
      </w:r>
      <w:r>
        <w:rPr>
          <w:sz w:val="20"/>
        </w:rPr>
        <w:tab/>
      </w:r>
      <w:r>
        <w:rPr>
          <w:sz w:val="20"/>
        </w:rPr>
        <w:t xml:space="preserve">Raadsbesluit, dat betrekking heeft </w:t>
      </w:r>
      <w:r>
        <w:rPr>
          <w:sz w:val="20"/>
        </w:rPr>
        <w:t xml:space="preserve">op de rechtsgrondslag en de reikwijdte van </w:t>
      </w:r>
      <w:r>
        <w:rPr>
          <w:sz w:val="20"/>
        </w:rPr>
        <w:tab/>
      </w:r>
      <w:r>
        <w:rPr>
          <w:sz w:val="20"/>
        </w:rPr>
        <w:t xml:space="preserve">het mandaat. </w:t>
      </w:r>
    </w:p>
    <w:p w:rsidRPr="002E7201" w:rsidR="00D7356C" w:rsidP="00BA2143">
      <w:pPr>
        <w:spacing w:line="240" w:lineRule="exact"/>
        <w:rPr>
          <w:sz w:val="20"/>
        </w:rPr>
      </w:pPr>
    </w:p>
    <w:p w:rsidR="0006333E" w:rsidP="00BA2143">
      <w:pPr>
        <w:spacing w:line="240" w:lineRule="exact"/>
        <w:rPr>
          <w:sz w:val="20"/>
        </w:rPr>
      </w:pPr>
      <w:r>
        <w:rPr>
          <w:sz w:val="20"/>
        </w:rPr>
        <w:tab/>
      </w:r>
      <w:r w:rsidRPr="002E7201">
        <w:rPr>
          <w:sz w:val="20"/>
        </w:rPr>
        <w:t xml:space="preserve">Naar aanleiding van de Raadswerkgroep van 15 april jl. zal het Voorzitterschap de </w:t>
      </w:r>
      <w:r>
        <w:rPr>
          <w:sz w:val="20"/>
        </w:rPr>
        <w:tab/>
      </w:r>
      <w:r w:rsidRPr="002E7201">
        <w:rPr>
          <w:sz w:val="20"/>
        </w:rPr>
        <w:t>tekst nog op onderdelen aanpassen.</w:t>
      </w:r>
      <w:r>
        <w:rPr>
          <w:sz w:val="20"/>
        </w:rPr>
        <w:t xml:space="preserve"> De aangepaste tekst zal besproken worden </w:t>
      </w:r>
      <w:r>
        <w:rPr>
          <w:sz w:val="20"/>
        </w:rPr>
        <w:tab/>
        <w:t xml:space="preserve">tijdens de laatste Raadswerkgroep onder het Iers voorzitterschap op </w:t>
      </w:r>
      <w:r w:rsidRPr="002E7201">
        <w:rPr>
          <w:sz w:val="20"/>
        </w:rPr>
        <w:t xml:space="preserve">29 april </w:t>
      </w:r>
      <w:r>
        <w:rPr>
          <w:sz w:val="20"/>
        </w:rPr>
        <w:t>a.s.</w:t>
      </w:r>
      <w:r>
        <w:rPr>
          <w:sz w:val="20"/>
        </w:rPr>
        <w:tab/>
      </w:r>
      <w:r>
        <w:rPr>
          <w:sz w:val="20"/>
        </w:rPr>
        <w:t>Het voorzitter</w:t>
      </w:r>
      <w:r>
        <w:rPr>
          <w:sz w:val="20"/>
        </w:rPr>
        <w:t xml:space="preserve">schap wil dan </w:t>
      </w:r>
      <w:r>
        <w:rPr>
          <w:sz w:val="20"/>
        </w:rPr>
        <w:t xml:space="preserve">een besluit </w:t>
      </w:r>
      <w:r>
        <w:rPr>
          <w:sz w:val="20"/>
        </w:rPr>
        <w:t xml:space="preserve">nemen </w:t>
      </w:r>
      <w:r>
        <w:rPr>
          <w:sz w:val="20"/>
        </w:rPr>
        <w:t xml:space="preserve">over de procedurele en materiële </w:t>
      </w:r>
      <w:r>
        <w:rPr>
          <w:sz w:val="20"/>
        </w:rPr>
        <w:tab/>
        <w:t xml:space="preserve">rechtsgrondslag van het Raadsbesluit, </w:t>
      </w:r>
      <w:r>
        <w:rPr>
          <w:sz w:val="20"/>
        </w:rPr>
        <w:t xml:space="preserve">in het licht van het opiniestuk </w:t>
      </w:r>
      <w:r>
        <w:rPr>
          <w:sz w:val="20"/>
        </w:rPr>
        <w:t xml:space="preserve">van de </w:t>
      </w:r>
      <w:r>
        <w:rPr>
          <w:sz w:val="20"/>
        </w:rPr>
        <w:tab/>
        <w:t xml:space="preserve">Juridische dienst van de Raad. </w:t>
      </w:r>
    </w:p>
    <w:p w:rsidR="0006333E" w:rsidP="00BA2143">
      <w:pPr>
        <w:spacing w:line="240" w:lineRule="exact"/>
        <w:rPr>
          <w:sz w:val="20"/>
        </w:rPr>
      </w:pPr>
    </w:p>
    <w:p w:rsidR="0006333E" w:rsidP="00BA2143">
      <w:pPr>
        <w:spacing w:line="240" w:lineRule="exact"/>
        <w:rPr>
          <w:sz w:val="20"/>
          <w:u w:val="single"/>
        </w:rPr>
      </w:pPr>
      <w:r>
        <w:rPr>
          <w:sz w:val="20"/>
        </w:rPr>
        <w:tab/>
      </w:r>
      <w:r w:rsidRPr="002E7201">
        <w:rPr>
          <w:sz w:val="20"/>
          <w:u w:val="single"/>
        </w:rPr>
        <w:t>Inzet Nederland</w:t>
      </w:r>
    </w:p>
    <w:p w:rsidR="0006333E" w:rsidP="00BA2143">
      <w:pPr>
        <w:spacing w:line="240" w:lineRule="exact"/>
        <w:rPr>
          <w:sz w:val="20"/>
        </w:rPr>
      </w:pPr>
      <w:r>
        <w:rPr>
          <w:sz w:val="20"/>
        </w:rPr>
        <w:tab/>
      </w:r>
      <w:r w:rsidRPr="002E7201">
        <w:rPr>
          <w:sz w:val="20"/>
        </w:rPr>
        <w:t>Nederland kan instemmen met het Raadsbesluit</w:t>
      </w:r>
      <w:r>
        <w:rPr>
          <w:sz w:val="20"/>
        </w:rPr>
        <w:t>. Het Raadsbeslui</w:t>
      </w:r>
      <w:r>
        <w:rPr>
          <w:sz w:val="20"/>
        </w:rPr>
        <w:t xml:space="preserve">t is nodig om te </w:t>
      </w:r>
      <w:r>
        <w:rPr>
          <w:sz w:val="20"/>
        </w:rPr>
        <w:tab/>
        <w:t xml:space="preserve">voorkomen dat de </w:t>
      </w:r>
      <w:r w:rsidRPr="002E7201">
        <w:rPr>
          <w:sz w:val="20"/>
        </w:rPr>
        <w:t xml:space="preserve">toekomstige Conventie van de Raad van Europa inzake </w:t>
      </w:r>
      <w:r>
        <w:rPr>
          <w:sz w:val="20"/>
        </w:rPr>
        <w:tab/>
      </w:r>
      <w:r w:rsidRPr="002E7201">
        <w:rPr>
          <w:sz w:val="20"/>
        </w:rPr>
        <w:t xml:space="preserve">matchfixing niet in strijd komt met het EU </w:t>
      </w:r>
      <w:r w:rsidRPr="002E7201">
        <w:rPr>
          <w:i/>
          <w:sz w:val="20"/>
        </w:rPr>
        <w:t>acquis</w:t>
      </w:r>
      <w:r w:rsidRPr="002E7201">
        <w:rPr>
          <w:sz w:val="20"/>
        </w:rPr>
        <w:t xml:space="preserve">. </w:t>
      </w:r>
      <w:r>
        <w:rPr>
          <w:sz w:val="20"/>
        </w:rPr>
        <w:t xml:space="preserve">Nederland heeft zich er voor </w:t>
      </w:r>
      <w:r>
        <w:rPr>
          <w:sz w:val="20"/>
        </w:rPr>
        <w:tab/>
        <w:t xml:space="preserve">ingezet dat in het mandaat voldoende duidelijk naar voren komt </w:t>
      </w:r>
      <w:r w:rsidRPr="002E7201">
        <w:rPr>
          <w:sz w:val="20"/>
        </w:rPr>
        <w:t xml:space="preserve">dat de Europese </w:t>
      </w:r>
      <w:r>
        <w:rPr>
          <w:sz w:val="20"/>
        </w:rPr>
        <w:tab/>
      </w:r>
      <w:r w:rsidRPr="002E7201">
        <w:rPr>
          <w:sz w:val="20"/>
        </w:rPr>
        <w:t>Commiss</w:t>
      </w:r>
      <w:r w:rsidRPr="002E7201">
        <w:rPr>
          <w:sz w:val="20"/>
        </w:rPr>
        <w:t xml:space="preserve">ie alléén mag onderhandelen over de zaken die vallen binnen de </w:t>
      </w:r>
      <w:r>
        <w:rPr>
          <w:sz w:val="20"/>
        </w:rPr>
        <w:tab/>
      </w:r>
      <w:r w:rsidRPr="002E7201">
        <w:rPr>
          <w:sz w:val="20"/>
        </w:rPr>
        <w:t xml:space="preserve">competentie van de EU. De verwachting is dat ook de andere Lidstaten hun </w:t>
      </w:r>
      <w:r>
        <w:rPr>
          <w:sz w:val="20"/>
        </w:rPr>
        <w:tab/>
      </w:r>
      <w:r w:rsidRPr="002E7201">
        <w:rPr>
          <w:sz w:val="20"/>
        </w:rPr>
        <w:t>akkoord zullen geven.</w:t>
      </w:r>
    </w:p>
    <w:p w:rsidRPr="0006333E" w:rsidR="0006333E" w:rsidP="00BA2143">
      <w:pPr>
        <w:pStyle w:val="ListParagraph"/>
        <w:spacing w:line="240" w:lineRule="exact"/>
        <w:rPr>
          <w:b/>
          <w:sz w:val="20"/>
          <w:lang w:val="nl-BE"/>
        </w:rPr>
      </w:pPr>
    </w:p>
    <w:p w:rsidRPr="002E7201" w:rsidR="00526313" w:rsidP="00BA2143">
      <w:pPr>
        <w:spacing w:line="240" w:lineRule="exact"/>
        <w:rPr>
          <w:sz w:val="20"/>
          <w:lang w:val="nl-BE"/>
        </w:rPr>
      </w:pPr>
    </w:p>
    <w:p w:rsidRPr="002E7201" w:rsidR="004415C1" w:rsidP="00BA2143">
      <w:pPr>
        <w:pStyle w:val="ListParagraph"/>
        <w:numPr>
          <w:ilvl w:val="0"/>
          <w:numId w:val="7"/>
        </w:numPr>
        <w:spacing w:line="240" w:lineRule="exact"/>
        <w:rPr>
          <w:sz w:val="20"/>
          <w:lang w:val="en-US"/>
        </w:rPr>
      </w:pPr>
      <w:r w:rsidRPr="002E7201">
        <w:rPr>
          <w:b/>
          <w:bCs/>
          <w:sz w:val="20"/>
          <w:lang w:val="en-US"/>
        </w:rPr>
        <w:t>Raadsconclusies over ‘Dual careers for athletes’</w:t>
      </w:r>
    </w:p>
    <w:p w:rsidRPr="002E7201" w:rsidR="004415C1" w:rsidP="00BA2143">
      <w:pPr>
        <w:spacing w:line="240" w:lineRule="exact"/>
        <w:ind w:left="705"/>
        <w:rPr>
          <w:sz w:val="20"/>
        </w:rPr>
      </w:pPr>
      <w:r w:rsidRPr="002E7201">
        <w:rPr>
          <w:sz w:val="20"/>
        </w:rPr>
        <w:t xml:space="preserve">De voorliggende Raadsconclusies zijn een uitvloeisel van de ‘EU </w:t>
      </w:r>
      <w:r w:rsidRPr="002E7201">
        <w:rPr>
          <w:i/>
          <w:iCs/>
          <w:sz w:val="20"/>
        </w:rPr>
        <w:t>Guidelines</w:t>
      </w:r>
      <w:r w:rsidRPr="002E7201">
        <w:rPr>
          <w:i/>
          <w:iCs/>
          <w:sz w:val="20"/>
        </w:rPr>
        <w:t xml:space="preserve"> </w:t>
      </w:r>
      <w:r w:rsidRPr="002E7201">
        <w:rPr>
          <w:i/>
          <w:iCs/>
          <w:sz w:val="20"/>
        </w:rPr>
        <w:t>on</w:t>
      </w:r>
      <w:r w:rsidRPr="002E7201">
        <w:rPr>
          <w:i/>
          <w:iCs/>
          <w:sz w:val="20"/>
        </w:rPr>
        <w:t xml:space="preserve"> </w:t>
      </w:r>
      <w:r>
        <w:rPr>
          <w:i/>
          <w:iCs/>
          <w:sz w:val="20"/>
        </w:rPr>
        <w:tab/>
      </w:r>
      <w:r w:rsidRPr="002E7201">
        <w:rPr>
          <w:i/>
          <w:iCs/>
          <w:sz w:val="20"/>
        </w:rPr>
        <w:t>Dual</w:t>
      </w:r>
      <w:r w:rsidRPr="002E7201">
        <w:rPr>
          <w:i/>
          <w:iCs/>
          <w:sz w:val="20"/>
        </w:rPr>
        <w:t xml:space="preserve"> </w:t>
      </w:r>
      <w:r w:rsidRPr="002E7201">
        <w:rPr>
          <w:i/>
          <w:iCs/>
          <w:sz w:val="20"/>
        </w:rPr>
        <w:t>Careers</w:t>
      </w:r>
      <w:r w:rsidRPr="002E7201">
        <w:rPr>
          <w:i/>
          <w:iCs/>
          <w:sz w:val="20"/>
        </w:rPr>
        <w:t xml:space="preserve"> </w:t>
      </w:r>
      <w:r w:rsidRPr="002E7201">
        <w:rPr>
          <w:i/>
          <w:iCs/>
          <w:sz w:val="20"/>
        </w:rPr>
        <w:tab/>
        <w:t xml:space="preserve">of </w:t>
      </w:r>
      <w:r w:rsidRPr="002E7201">
        <w:rPr>
          <w:i/>
          <w:iCs/>
          <w:sz w:val="20"/>
        </w:rPr>
        <w:t>Athletes</w:t>
      </w:r>
      <w:r w:rsidRPr="002E7201">
        <w:rPr>
          <w:sz w:val="20"/>
        </w:rPr>
        <w:t xml:space="preserve">’ van de EU </w:t>
      </w:r>
      <w:r w:rsidRPr="002E7201">
        <w:rPr>
          <w:i/>
          <w:iCs/>
          <w:sz w:val="20"/>
        </w:rPr>
        <w:t xml:space="preserve">Expert Group “Education and Training in </w:t>
      </w:r>
      <w:r>
        <w:rPr>
          <w:i/>
          <w:iCs/>
          <w:sz w:val="20"/>
        </w:rPr>
        <w:tab/>
      </w:r>
      <w:r w:rsidRPr="002E7201">
        <w:rPr>
          <w:i/>
          <w:iCs/>
          <w:sz w:val="20"/>
        </w:rPr>
        <w:t xml:space="preserve">Sport” </w:t>
      </w:r>
      <w:r w:rsidRPr="002E7201">
        <w:rPr>
          <w:sz w:val="20"/>
        </w:rPr>
        <w:t xml:space="preserve">. Deze richtsnoeren </w:t>
      </w:r>
      <w:r w:rsidRPr="002E7201">
        <w:rPr>
          <w:sz w:val="20"/>
        </w:rPr>
        <w:tab/>
        <w:t xml:space="preserve">bevatten een aantal voorstellen voor beleidsacties met </w:t>
      </w:r>
      <w:r>
        <w:rPr>
          <w:sz w:val="20"/>
        </w:rPr>
        <w:tab/>
      </w:r>
      <w:r w:rsidRPr="002E7201">
        <w:rPr>
          <w:sz w:val="20"/>
        </w:rPr>
        <w:t xml:space="preserve">betrekking tot </w:t>
      </w:r>
      <w:r w:rsidRPr="002E7201">
        <w:rPr>
          <w:sz w:val="20"/>
        </w:rPr>
        <w:t xml:space="preserve">‘dual careers in sport’. Bij ‘dual careers’ gaat het erom dat </w:t>
      </w:r>
      <w:r>
        <w:rPr>
          <w:sz w:val="20"/>
        </w:rPr>
        <w:tab/>
      </w:r>
      <w:r w:rsidRPr="002E7201">
        <w:rPr>
          <w:sz w:val="20"/>
        </w:rPr>
        <w:t xml:space="preserve">(aankomende) topatleten hun sportcarrière op een optimale en flexibele wijze </w:t>
      </w:r>
      <w:r>
        <w:rPr>
          <w:sz w:val="20"/>
        </w:rPr>
        <w:tab/>
      </w:r>
      <w:r w:rsidRPr="002E7201">
        <w:rPr>
          <w:sz w:val="20"/>
        </w:rPr>
        <w:t xml:space="preserve">kunnen combineren met onderwijs en/of werk. De voorliggende </w:t>
      </w:r>
      <w:r w:rsidRPr="002E7201">
        <w:rPr>
          <w:sz w:val="20"/>
        </w:rPr>
        <w:t>Raadsconclusies roepen de Lidstaten, sportorganisaties</w:t>
      </w:r>
      <w:r w:rsidRPr="002E7201">
        <w:rPr>
          <w:sz w:val="20"/>
        </w:rPr>
        <w:t xml:space="preserve"> en andere </w:t>
      </w:r>
      <w:r w:rsidRPr="002E7201">
        <w:rPr>
          <w:sz w:val="20"/>
        </w:rPr>
        <w:t xml:space="preserve">betrokken </w:t>
      </w:r>
      <w:r w:rsidRPr="002E7201">
        <w:rPr>
          <w:sz w:val="20"/>
        </w:rPr>
        <w:t xml:space="preserve">partijen (bijvoorbeeld onderwijsinstellingen) op om een aantal stimulerende </w:t>
      </w:r>
      <w:r w:rsidRPr="002E7201">
        <w:rPr>
          <w:sz w:val="20"/>
        </w:rPr>
        <w:t xml:space="preserve">acties en maatregelen te nemen. Onderwerpen die in de Raadsconclusies aan de </w:t>
      </w:r>
      <w:r>
        <w:rPr>
          <w:sz w:val="20"/>
        </w:rPr>
        <w:tab/>
      </w:r>
      <w:r w:rsidRPr="002E7201">
        <w:rPr>
          <w:sz w:val="20"/>
        </w:rPr>
        <w:t xml:space="preserve">orde komen zijn onder meer de bevordering van: aangepaste </w:t>
      </w:r>
      <w:r w:rsidRPr="002E7201">
        <w:rPr>
          <w:sz w:val="20"/>
        </w:rPr>
        <w:t>onderwijsprogramma’</w:t>
      </w:r>
      <w:r w:rsidRPr="002E7201">
        <w:rPr>
          <w:sz w:val="20"/>
        </w:rPr>
        <w:t xml:space="preserve">s voor atleten en een ‘quality accreditation system’, ‘dual </w:t>
      </w:r>
      <w:r w:rsidRPr="002E7201">
        <w:rPr>
          <w:sz w:val="20"/>
        </w:rPr>
        <w:t>career</w:t>
      </w:r>
      <w:r w:rsidRPr="002E7201">
        <w:rPr>
          <w:sz w:val="20"/>
        </w:rPr>
        <w:t xml:space="preserve">’ programma’s voor atleten in de publieke sector (als voorbeeld voor andere </w:t>
      </w:r>
      <w:r w:rsidRPr="002E7201">
        <w:rPr>
          <w:sz w:val="20"/>
        </w:rPr>
        <w:t>werkgevers), aangepaste zorgverzekeringen voor atleten, en (‘</w:t>
      </w:r>
      <w:r w:rsidRPr="002E7201">
        <w:rPr>
          <w:sz w:val="20"/>
        </w:rPr>
        <w:t>where</w:t>
      </w:r>
      <w:r w:rsidRPr="002E7201">
        <w:rPr>
          <w:sz w:val="20"/>
        </w:rPr>
        <w:t xml:space="preserve"> </w:t>
      </w:r>
      <w:r w:rsidRPr="002E7201">
        <w:rPr>
          <w:sz w:val="20"/>
        </w:rPr>
        <w:t>appropriate</w:t>
      </w:r>
      <w:r w:rsidRPr="002E7201">
        <w:rPr>
          <w:sz w:val="20"/>
        </w:rPr>
        <w:t>’)</w:t>
      </w:r>
      <w:r w:rsidRPr="002E7201">
        <w:rPr>
          <w:sz w:val="20"/>
        </w:rPr>
        <w:t>‘</w:t>
      </w:r>
      <w:r w:rsidRPr="002E7201">
        <w:rPr>
          <w:sz w:val="20"/>
        </w:rPr>
        <w:t>dual</w:t>
      </w:r>
      <w:r w:rsidRPr="002E7201">
        <w:rPr>
          <w:sz w:val="20"/>
        </w:rPr>
        <w:t xml:space="preserve"> </w:t>
      </w:r>
      <w:r w:rsidRPr="002E7201">
        <w:rPr>
          <w:sz w:val="20"/>
        </w:rPr>
        <w:t>career</w:t>
      </w:r>
      <w:r w:rsidRPr="002E7201">
        <w:rPr>
          <w:sz w:val="20"/>
        </w:rPr>
        <w:t>’ beurzen voor top</w:t>
      </w:r>
      <w:r w:rsidRPr="002E7201">
        <w:rPr>
          <w:sz w:val="20"/>
        </w:rPr>
        <w:t>sporters in het hoger onderwijs. Sportorganisaties</w:t>
      </w:r>
      <w:r>
        <w:rPr>
          <w:sz w:val="20"/>
        </w:rPr>
        <w:t xml:space="preserve"> </w:t>
      </w:r>
      <w:r w:rsidRPr="002E7201">
        <w:rPr>
          <w:sz w:val="20"/>
        </w:rPr>
        <w:t xml:space="preserve">worden opgeroepen om bijvoorbeeld ‘dual careers athlete ambassadors’ aan te </w:t>
      </w:r>
      <w:r>
        <w:rPr>
          <w:sz w:val="20"/>
        </w:rPr>
        <w:tab/>
      </w:r>
      <w:r w:rsidRPr="002E7201">
        <w:rPr>
          <w:sz w:val="20"/>
        </w:rPr>
        <w:t xml:space="preserve">wijzen en </w:t>
      </w:r>
      <w:r w:rsidRPr="002E7201">
        <w:rPr>
          <w:sz w:val="20"/>
        </w:rPr>
        <w:t xml:space="preserve">onderhandelingen te stimuleren tussen bedrijven en atleten om </w:t>
      </w:r>
      <w:r w:rsidRPr="002E7201">
        <w:rPr>
          <w:sz w:val="20"/>
        </w:rPr>
        <w:t>werkervaring op te doen. In de laatste paragraaf van d</w:t>
      </w:r>
      <w:r w:rsidRPr="002E7201">
        <w:rPr>
          <w:sz w:val="20"/>
        </w:rPr>
        <w:t xml:space="preserve">e Raadsconclusies wordt de </w:t>
      </w:r>
      <w:r w:rsidRPr="002E7201">
        <w:rPr>
          <w:sz w:val="20"/>
        </w:rPr>
        <w:t xml:space="preserve">Europese Commissie gevraagd een aantal acties te ondernemen, bijvoorbeeld de </w:t>
      </w:r>
      <w:r>
        <w:rPr>
          <w:sz w:val="20"/>
        </w:rPr>
        <w:tab/>
      </w:r>
      <w:r w:rsidRPr="002E7201">
        <w:rPr>
          <w:sz w:val="20"/>
        </w:rPr>
        <w:t xml:space="preserve">uitwisseling van ‘best practices’, bevordering van samenwerking tussen </w:t>
      </w:r>
      <w:r>
        <w:rPr>
          <w:sz w:val="20"/>
        </w:rPr>
        <w:tab/>
      </w:r>
      <w:r w:rsidRPr="002E7201">
        <w:rPr>
          <w:sz w:val="20"/>
        </w:rPr>
        <w:t xml:space="preserve">onderwijsinstellingen en de ontwikkeling van een monitoring systeem, met </w:t>
      </w:r>
      <w:r>
        <w:rPr>
          <w:sz w:val="20"/>
        </w:rPr>
        <w:tab/>
      </w:r>
      <w:r w:rsidRPr="002E7201">
        <w:rPr>
          <w:sz w:val="20"/>
        </w:rPr>
        <w:t>mini</w:t>
      </w:r>
      <w:r w:rsidRPr="002E7201">
        <w:rPr>
          <w:sz w:val="20"/>
        </w:rPr>
        <w:t xml:space="preserve">mum kwaliteitseisen op Europees niveau die kunnen functioneren als </w:t>
      </w:r>
      <w:r>
        <w:rPr>
          <w:sz w:val="20"/>
        </w:rPr>
        <w:tab/>
      </w:r>
      <w:r w:rsidRPr="002E7201">
        <w:rPr>
          <w:sz w:val="20"/>
        </w:rPr>
        <w:t xml:space="preserve">referentiepunt voor instellingen die zich bezighouden met ‘dual career’ </w:t>
      </w:r>
      <w:r>
        <w:rPr>
          <w:sz w:val="20"/>
        </w:rPr>
        <w:tab/>
      </w:r>
      <w:r w:rsidRPr="002E7201">
        <w:rPr>
          <w:sz w:val="20"/>
        </w:rPr>
        <w:t xml:space="preserve">ontwikkeling.Het laatste document met de </w:t>
      </w:r>
      <w:r>
        <w:rPr>
          <w:sz w:val="20"/>
        </w:rPr>
        <w:t xml:space="preserve">concept </w:t>
      </w:r>
      <w:r w:rsidRPr="002E7201">
        <w:rPr>
          <w:sz w:val="20"/>
        </w:rPr>
        <w:t xml:space="preserve">Raadsconclusies is van 16 april </w:t>
      </w:r>
      <w:r>
        <w:rPr>
          <w:sz w:val="20"/>
        </w:rPr>
        <w:tab/>
      </w:r>
      <w:r w:rsidRPr="002E7201">
        <w:rPr>
          <w:sz w:val="20"/>
        </w:rPr>
        <w:t>jl. Het Voorzitterschap tracht nu</w:t>
      </w:r>
      <w:r w:rsidRPr="002E7201">
        <w:rPr>
          <w:sz w:val="20"/>
        </w:rPr>
        <w:t xml:space="preserve">, in de afrondende fase, tot een </w:t>
      </w:r>
      <w:r>
        <w:rPr>
          <w:sz w:val="20"/>
        </w:rPr>
        <w:tab/>
      </w:r>
      <w:r w:rsidRPr="002E7201">
        <w:rPr>
          <w:sz w:val="20"/>
        </w:rPr>
        <w:t>compromistekst te komen waarin alle lidstaten zich kunnen vinden.</w:t>
      </w:r>
    </w:p>
    <w:p w:rsidRPr="002E7201" w:rsidR="006C2BBF" w:rsidP="00BA2143">
      <w:pPr>
        <w:spacing w:line="240" w:lineRule="exact"/>
        <w:rPr>
          <w:sz w:val="20"/>
        </w:rPr>
      </w:pPr>
    </w:p>
    <w:p w:rsidR="00DC25BC" w:rsidP="00BA2143">
      <w:pPr>
        <w:spacing w:line="240" w:lineRule="exact"/>
        <w:rPr>
          <w:sz w:val="20"/>
          <w:u w:val="single"/>
        </w:rPr>
      </w:pPr>
      <w:r w:rsidRPr="0006333E">
        <w:rPr>
          <w:sz w:val="20"/>
        </w:rPr>
        <w:tab/>
      </w:r>
      <w:r w:rsidRPr="0006333E">
        <w:rPr>
          <w:sz w:val="20"/>
          <w:u w:val="single"/>
        </w:rPr>
        <w:t>Inzet Nederland</w:t>
      </w:r>
    </w:p>
    <w:p w:rsidR="00535425" w:rsidP="00BA2143">
      <w:pPr>
        <w:spacing w:line="240" w:lineRule="exact"/>
        <w:rPr>
          <w:b/>
          <w:sz w:val="20"/>
        </w:rPr>
      </w:pPr>
      <w:r w:rsidRPr="00DC25BC">
        <w:rPr>
          <w:sz w:val="20"/>
        </w:rPr>
        <w:tab/>
        <w:t xml:space="preserve">Ook in Nederland is sprake van een actief beleid ten aanzien van dit onderwerp. </w:t>
      </w:r>
      <w:r w:rsidRPr="00DC25BC">
        <w:rPr>
          <w:sz w:val="20"/>
        </w:rPr>
        <w:tab/>
      </w:r>
      <w:r>
        <w:rPr>
          <w:sz w:val="20"/>
        </w:rPr>
        <w:t xml:space="preserve">De Nederlandse overheid ondersteunt de vier Centra voor topsport en Onderwijs </w:t>
      </w:r>
      <w:r>
        <w:rPr>
          <w:sz w:val="20"/>
        </w:rPr>
        <w:tab/>
        <w:t xml:space="preserve">(CTO’s), waarbij onderwijs optimaal wordt afgestemd op de topsportcarrière. Door </w:t>
      </w:r>
      <w:r>
        <w:rPr>
          <w:sz w:val="20"/>
        </w:rPr>
        <w:tab/>
        <w:t xml:space="preserve">de inzet van onder andere flexibel onderwijs, kunnen topsporters hun studie </w:t>
      </w:r>
      <w:r>
        <w:rPr>
          <w:sz w:val="20"/>
        </w:rPr>
        <w:tab/>
        <w:t>afmaken wat hun ka</w:t>
      </w:r>
      <w:r>
        <w:rPr>
          <w:sz w:val="20"/>
        </w:rPr>
        <w:t xml:space="preserve">ns op een maatschappelijke carrière vergroot. Daarnaast </w:t>
      </w:r>
      <w:r>
        <w:rPr>
          <w:sz w:val="20"/>
        </w:rPr>
        <w:tab/>
        <w:t xml:space="preserve">ondersteunt VWS het programma “Goud op de werkvloer”, waarbij topsporters </w:t>
      </w:r>
      <w:r>
        <w:rPr>
          <w:sz w:val="20"/>
        </w:rPr>
        <w:tab/>
        <w:t xml:space="preserve">een baan kunnen combineren met hun topsportcarrière. Werkgevers creëren </w:t>
      </w:r>
      <w:r>
        <w:rPr>
          <w:sz w:val="20"/>
        </w:rPr>
        <w:tab/>
        <w:t xml:space="preserve">hierbij topsportvriendelijke werkplekken, waardoor </w:t>
      </w:r>
      <w:r>
        <w:rPr>
          <w:sz w:val="20"/>
        </w:rPr>
        <w:t xml:space="preserve">topsporters al tijdens hun </w:t>
      </w:r>
      <w:r>
        <w:rPr>
          <w:sz w:val="20"/>
        </w:rPr>
        <w:tab/>
        <w:t xml:space="preserve">topsportcarrière werkervaring kunnen opdoen. De overstap naar een </w:t>
      </w:r>
      <w:r>
        <w:rPr>
          <w:sz w:val="20"/>
        </w:rPr>
        <w:tab/>
        <w:t xml:space="preserve">maatschappelijke carrière na afloop van de topsportcarrière wordt hiermee </w:t>
      </w:r>
      <w:r>
        <w:rPr>
          <w:sz w:val="20"/>
        </w:rPr>
        <w:tab/>
        <w:t>vergroot.</w:t>
      </w:r>
    </w:p>
    <w:p w:rsidR="00535425" w:rsidP="00BA2143">
      <w:pPr>
        <w:spacing w:line="240" w:lineRule="exact"/>
        <w:rPr>
          <w:b/>
          <w:sz w:val="20"/>
        </w:rPr>
      </w:pPr>
    </w:p>
    <w:p w:rsidR="00535425" w:rsidP="00BA2143">
      <w:pPr>
        <w:spacing w:line="240" w:lineRule="exact"/>
        <w:rPr>
          <w:sz w:val="20"/>
        </w:rPr>
      </w:pPr>
      <w:r>
        <w:rPr>
          <w:sz w:val="20"/>
        </w:rPr>
        <w:tab/>
      </w:r>
      <w:r>
        <w:rPr>
          <w:sz w:val="20"/>
        </w:rPr>
        <w:t xml:space="preserve">Nederland acht de Raadsconclusies als een ondersteuning van het Nederlandse </w:t>
      </w:r>
      <w:r>
        <w:rPr>
          <w:sz w:val="20"/>
        </w:rPr>
        <w:tab/>
        <w:t xml:space="preserve">beleid op dit terrein en is tevens van mening dat de aanbevelingen in de </w:t>
      </w:r>
      <w:r>
        <w:rPr>
          <w:sz w:val="20"/>
        </w:rPr>
        <w:tab/>
        <w:t xml:space="preserve">Raadsconclusies een waardevolle bijdrage kunnen leveren aan de samenwerking </w:t>
      </w:r>
      <w:r>
        <w:rPr>
          <w:sz w:val="20"/>
        </w:rPr>
        <w:tab/>
        <w:t>en stimuleringsmaatregelen i</w:t>
      </w:r>
      <w:r>
        <w:rPr>
          <w:sz w:val="20"/>
        </w:rPr>
        <w:t xml:space="preserve">n de EU als geheel. </w:t>
      </w:r>
    </w:p>
    <w:p w:rsidR="00006C87" w:rsidP="00BA2143">
      <w:pPr>
        <w:spacing w:line="240" w:lineRule="exact"/>
        <w:rPr>
          <w:sz w:val="20"/>
        </w:rPr>
      </w:pPr>
    </w:p>
    <w:p w:rsidRPr="002E7201" w:rsidR="006C2BBF" w:rsidP="00BA2143">
      <w:pPr>
        <w:spacing w:line="240" w:lineRule="exact"/>
        <w:rPr>
          <w:sz w:val="20"/>
        </w:rPr>
      </w:pPr>
      <w:r>
        <w:rPr>
          <w:sz w:val="20"/>
        </w:rPr>
        <w:tab/>
      </w:r>
      <w:r w:rsidRPr="002E7201">
        <w:rPr>
          <w:sz w:val="20"/>
        </w:rPr>
        <w:t xml:space="preserve">Nederland kan daarom instemmen met </w:t>
      </w:r>
      <w:r>
        <w:rPr>
          <w:sz w:val="20"/>
        </w:rPr>
        <w:t xml:space="preserve">de tekst van de Raadsconclusies. Er zal </w:t>
      </w:r>
      <w:r>
        <w:rPr>
          <w:sz w:val="20"/>
        </w:rPr>
        <w:tab/>
      </w:r>
      <w:r>
        <w:rPr>
          <w:sz w:val="20"/>
        </w:rPr>
        <w:t xml:space="preserve">echter </w:t>
      </w:r>
      <w:r w:rsidRPr="002E7201">
        <w:rPr>
          <w:sz w:val="20"/>
        </w:rPr>
        <w:t xml:space="preserve">ten aanzien van één punt een voorbehoud </w:t>
      </w:r>
      <w:r>
        <w:rPr>
          <w:sz w:val="20"/>
        </w:rPr>
        <w:t>worden aangetekend</w:t>
      </w:r>
      <w:r w:rsidRPr="002E7201">
        <w:rPr>
          <w:sz w:val="20"/>
        </w:rPr>
        <w:t xml:space="preserve"> in </w:t>
      </w:r>
      <w:r>
        <w:rPr>
          <w:sz w:val="20"/>
        </w:rPr>
        <w:t>Cor</w:t>
      </w:r>
      <w:r w:rsidRPr="002E7201">
        <w:rPr>
          <w:sz w:val="20"/>
        </w:rPr>
        <w:t>eper</w:t>
      </w:r>
      <w:r w:rsidRPr="002E7201">
        <w:rPr>
          <w:sz w:val="20"/>
        </w:rPr>
        <w:t xml:space="preserve">. </w:t>
      </w:r>
      <w:r>
        <w:rPr>
          <w:sz w:val="20"/>
        </w:rPr>
        <w:tab/>
      </w:r>
      <w:r w:rsidRPr="002E7201">
        <w:rPr>
          <w:sz w:val="20"/>
        </w:rPr>
        <w:t xml:space="preserve">Dat betreft onderdeel 6.1 van de voorliggende Raadsconclusies, inzake het </w:t>
      </w:r>
      <w:r>
        <w:rPr>
          <w:sz w:val="20"/>
        </w:rPr>
        <w:tab/>
      </w:r>
      <w:r w:rsidRPr="002E7201">
        <w:rPr>
          <w:sz w:val="20"/>
        </w:rPr>
        <w:t>ver</w:t>
      </w:r>
      <w:r w:rsidRPr="002E7201">
        <w:rPr>
          <w:sz w:val="20"/>
        </w:rPr>
        <w:t xml:space="preserve">zoek aan de Europese Commissie om met een voorstel voor een </w:t>
      </w:r>
      <w:r>
        <w:rPr>
          <w:sz w:val="20"/>
        </w:rPr>
        <w:tab/>
      </w:r>
      <w:r w:rsidRPr="002E7201">
        <w:rPr>
          <w:sz w:val="20"/>
        </w:rPr>
        <w:t xml:space="preserve">Raadsaanbeveling te komen. Nederland is hier geen voorstander van omdat </w:t>
      </w:r>
      <w:r>
        <w:rPr>
          <w:sz w:val="20"/>
        </w:rPr>
        <w:tab/>
      </w:r>
      <w:r w:rsidRPr="002E7201">
        <w:rPr>
          <w:sz w:val="20"/>
        </w:rPr>
        <w:t xml:space="preserve">het </w:t>
      </w:r>
      <w:r>
        <w:rPr>
          <w:sz w:val="20"/>
        </w:rPr>
        <w:tab/>
      </w:r>
      <w:r w:rsidRPr="002E7201">
        <w:rPr>
          <w:sz w:val="20"/>
        </w:rPr>
        <w:t xml:space="preserve">moet leiden tot een nieuwe set indicatoren met betrekking tot de </w:t>
      </w:r>
      <w:r>
        <w:rPr>
          <w:sz w:val="20"/>
        </w:rPr>
        <w:tab/>
      </w:r>
      <w:r w:rsidRPr="002E7201">
        <w:rPr>
          <w:sz w:val="20"/>
        </w:rPr>
        <w:t>implementatie van beleidsacties op het gebied van ‘</w:t>
      </w:r>
      <w:r w:rsidRPr="002E7201">
        <w:rPr>
          <w:sz w:val="20"/>
        </w:rPr>
        <w:t xml:space="preserve">dual careers’ in de EU, die </w:t>
      </w:r>
      <w:r>
        <w:rPr>
          <w:sz w:val="20"/>
        </w:rPr>
        <w:tab/>
      </w:r>
      <w:r w:rsidRPr="002E7201">
        <w:rPr>
          <w:sz w:val="20"/>
        </w:rPr>
        <w:t xml:space="preserve">dan ook gemonitored zullen moeten worden. Nederland vindt dit, net als </w:t>
      </w:r>
      <w:r>
        <w:rPr>
          <w:sz w:val="20"/>
        </w:rPr>
        <w:tab/>
      </w:r>
      <w:r w:rsidRPr="002E7201">
        <w:rPr>
          <w:sz w:val="20"/>
        </w:rPr>
        <w:t xml:space="preserve">Denemarken, Zweden en Oostenrijk, niet wenselijk. Nederland denkt dat het </w:t>
      </w:r>
      <w:r>
        <w:rPr>
          <w:sz w:val="20"/>
        </w:rPr>
        <w:tab/>
      </w:r>
      <w:r w:rsidRPr="002E7201">
        <w:rPr>
          <w:sz w:val="20"/>
        </w:rPr>
        <w:t xml:space="preserve">te weinig toegevoegde waarde zal hebben in verhouding tot de vereiste extra </w:t>
      </w:r>
      <w:r>
        <w:rPr>
          <w:sz w:val="20"/>
        </w:rPr>
        <w:tab/>
      </w:r>
      <w:r w:rsidRPr="002E7201">
        <w:rPr>
          <w:sz w:val="20"/>
        </w:rPr>
        <w:t>(ad</w:t>
      </w:r>
      <w:r w:rsidRPr="002E7201">
        <w:rPr>
          <w:sz w:val="20"/>
        </w:rPr>
        <w:t>ministratieve) werkzaamheden ten behoeve van de</w:t>
      </w:r>
      <w:r>
        <w:rPr>
          <w:sz w:val="20"/>
        </w:rPr>
        <w:t xml:space="preserve"> </w:t>
      </w:r>
      <w:r w:rsidRPr="002E7201">
        <w:rPr>
          <w:sz w:val="20"/>
        </w:rPr>
        <w:t>monitoring.</w:t>
      </w:r>
    </w:p>
    <w:p w:rsidRPr="002E7201" w:rsidR="002E7201" w:rsidP="00BA2143">
      <w:pPr>
        <w:spacing w:line="240" w:lineRule="exact"/>
        <w:outlineLvl w:val="0"/>
        <w:rPr>
          <w:b/>
          <w:sz w:val="20"/>
        </w:rPr>
      </w:pPr>
      <w:r w:rsidRPr="002E7201">
        <w:rPr>
          <w:sz w:val="20"/>
        </w:rPr>
        <w:tab/>
      </w:r>
      <w:r w:rsidRPr="002E7201">
        <w:rPr>
          <w:sz w:val="20"/>
        </w:rPr>
        <w:tab/>
      </w:r>
    </w:p>
    <w:p w:rsidR="0006333E" w:rsidP="00BA2143">
      <w:pPr>
        <w:spacing w:line="240" w:lineRule="exact"/>
        <w:rPr>
          <w:sz w:val="20"/>
        </w:rPr>
      </w:pPr>
    </w:p>
    <w:p w:rsidR="0006333E" w:rsidP="00BA2143">
      <w:pPr>
        <w:pStyle w:val="ListParagraph"/>
        <w:numPr>
          <w:ilvl w:val="0"/>
          <w:numId w:val="7"/>
        </w:numPr>
        <w:spacing w:line="240" w:lineRule="exact"/>
        <w:rPr>
          <w:b/>
          <w:sz w:val="20"/>
        </w:rPr>
      </w:pPr>
      <w:r w:rsidRPr="0006333E">
        <w:rPr>
          <w:b/>
          <w:sz w:val="20"/>
        </w:rPr>
        <w:t>Anti-Doping</w:t>
      </w:r>
    </w:p>
    <w:p w:rsidR="0093166C" w:rsidP="00BA2143">
      <w:pPr>
        <w:pStyle w:val="ListParagraph"/>
        <w:spacing w:line="240" w:lineRule="exact"/>
        <w:rPr>
          <w:sz w:val="20"/>
        </w:rPr>
      </w:pPr>
      <w:r>
        <w:rPr>
          <w:sz w:val="20"/>
        </w:rPr>
        <w:t>Het agendapu</w:t>
      </w:r>
      <w:r>
        <w:rPr>
          <w:sz w:val="20"/>
        </w:rPr>
        <w:t xml:space="preserve">nt bestaat uit drie onderdelen waaronder </w:t>
      </w:r>
      <w:r>
        <w:rPr>
          <w:sz w:val="20"/>
        </w:rPr>
        <w:t xml:space="preserve">informatie </w:t>
      </w:r>
      <w:r>
        <w:rPr>
          <w:sz w:val="20"/>
        </w:rPr>
        <w:t xml:space="preserve">van de voorzitter </w:t>
      </w:r>
      <w:r>
        <w:rPr>
          <w:sz w:val="20"/>
        </w:rPr>
        <w:t xml:space="preserve">over </w:t>
      </w:r>
      <w:r>
        <w:rPr>
          <w:sz w:val="20"/>
        </w:rPr>
        <w:t xml:space="preserve">de </w:t>
      </w:r>
      <w:r>
        <w:rPr>
          <w:sz w:val="20"/>
        </w:rPr>
        <w:t xml:space="preserve">bijeenkomsten van de </w:t>
      </w:r>
      <w:r>
        <w:rPr>
          <w:sz w:val="20"/>
        </w:rPr>
        <w:t>WADA (World A</w:t>
      </w:r>
      <w:r>
        <w:rPr>
          <w:sz w:val="20"/>
        </w:rPr>
        <w:t>nti-</w:t>
      </w:r>
      <w:r>
        <w:rPr>
          <w:sz w:val="20"/>
        </w:rPr>
        <w:t xml:space="preserve">Doping Agency) in Montreal, in </w:t>
      </w:r>
      <w:r>
        <w:rPr>
          <w:sz w:val="20"/>
        </w:rPr>
        <w:t xml:space="preserve">mei 2013. </w:t>
      </w:r>
      <w:r>
        <w:rPr>
          <w:sz w:val="20"/>
        </w:rPr>
        <w:t>Nederland k</w:t>
      </w:r>
      <w:r>
        <w:rPr>
          <w:sz w:val="20"/>
        </w:rPr>
        <w:t xml:space="preserve">an de informatie op dit punt aanhoren. </w:t>
      </w:r>
      <w:r>
        <w:rPr>
          <w:sz w:val="20"/>
        </w:rPr>
        <w:t xml:space="preserve">Vervolgens staat de aanwijzing van een </w:t>
      </w:r>
      <w:r>
        <w:rPr>
          <w:sz w:val="20"/>
        </w:rPr>
        <w:t xml:space="preserve">EU-vertegenwoordiger in het stichtingenbestuur van </w:t>
      </w:r>
      <w:r>
        <w:rPr>
          <w:sz w:val="20"/>
        </w:rPr>
        <w:t>WADA</w:t>
      </w:r>
      <w:r>
        <w:rPr>
          <w:sz w:val="20"/>
        </w:rPr>
        <w:t xml:space="preserve"> </w:t>
      </w:r>
      <w:r>
        <w:rPr>
          <w:sz w:val="20"/>
        </w:rPr>
        <w:t>op</w:t>
      </w:r>
      <w:r>
        <w:rPr>
          <w:sz w:val="20"/>
        </w:rPr>
        <w:t xml:space="preserve"> de agenda, voor de periode </w:t>
      </w:r>
      <w:r>
        <w:rPr>
          <w:sz w:val="20"/>
        </w:rPr>
        <w:t>2013-2015.</w:t>
      </w:r>
    </w:p>
    <w:p w:rsidR="0093166C" w:rsidP="00BA2143">
      <w:pPr>
        <w:pStyle w:val="ListParagraph"/>
        <w:spacing w:line="240" w:lineRule="exact"/>
        <w:rPr>
          <w:sz w:val="20"/>
        </w:rPr>
      </w:pPr>
    </w:p>
    <w:p w:rsidR="0093166C" w:rsidP="00BA2143">
      <w:pPr>
        <w:pStyle w:val="ListParagraph"/>
        <w:spacing w:line="240" w:lineRule="exact"/>
        <w:rPr>
          <w:sz w:val="20"/>
        </w:rPr>
      </w:pPr>
      <w:r>
        <w:rPr>
          <w:sz w:val="20"/>
          <w:u w:val="single"/>
        </w:rPr>
        <w:t>Inzet</w:t>
      </w:r>
      <w:r w:rsidRPr="0093166C">
        <w:rPr>
          <w:sz w:val="20"/>
          <w:u w:val="single"/>
        </w:rPr>
        <w:t xml:space="preserve"> Nederland</w:t>
      </w:r>
      <w:r>
        <w:rPr>
          <w:sz w:val="20"/>
        </w:rPr>
        <w:t xml:space="preserve">: </w:t>
      </w:r>
    </w:p>
    <w:p w:rsidR="0093166C" w:rsidP="00BA2143">
      <w:pPr>
        <w:pStyle w:val="ListParagraph"/>
        <w:spacing w:line="240" w:lineRule="exact"/>
        <w:rPr>
          <w:sz w:val="20"/>
        </w:rPr>
      </w:pPr>
      <w:r w:rsidRPr="0093166C">
        <w:rPr>
          <w:sz w:val="20"/>
        </w:rPr>
        <w:t>Tijdens de Raad van 27 november 2012 is de heer Alexandre</w:t>
      </w:r>
      <w:r w:rsidRPr="0093166C">
        <w:rPr>
          <w:sz w:val="20"/>
        </w:rPr>
        <w:t xml:space="preserve"> Miguel Mestre (</w:t>
      </w:r>
      <w:r>
        <w:rPr>
          <w:sz w:val="20"/>
        </w:rPr>
        <w:t>s</w:t>
      </w:r>
      <w:r w:rsidRPr="0093166C">
        <w:rPr>
          <w:sz w:val="20"/>
        </w:rPr>
        <w:t>taatssecretaris voor Jeugd en Sport van Portugal) benoemd als EU-</w:t>
      </w:r>
      <w:r>
        <w:rPr>
          <w:sz w:val="20"/>
        </w:rPr>
        <w:t xml:space="preserve">vertegenwoordiger </w:t>
      </w:r>
      <w:r w:rsidRPr="0093166C">
        <w:rPr>
          <w:sz w:val="20"/>
        </w:rPr>
        <w:t xml:space="preserve">in </w:t>
      </w:r>
      <w:r>
        <w:rPr>
          <w:sz w:val="20"/>
        </w:rPr>
        <w:t xml:space="preserve">het </w:t>
      </w:r>
      <w:r w:rsidRPr="0093166C">
        <w:rPr>
          <w:sz w:val="20"/>
        </w:rPr>
        <w:t xml:space="preserve">WADA Foundation Board (2013-2015). Echter aangezien de heer Mestre niet langer beschikbaar is voor deze positie moet er een nieuwe </w:t>
      </w:r>
      <w:r>
        <w:rPr>
          <w:sz w:val="20"/>
        </w:rPr>
        <w:t>benoemingsprocedur</w:t>
      </w:r>
      <w:r>
        <w:rPr>
          <w:sz w:val="20"/>
        </w:rPr>
        <w:t xml:space="preserve">e </w:t>
      </w:r>
      <w:r w:rsidRPr="0093166C">
        <w:rPr>
          <w:sz w:val="20"/>
        </w:rPr>
        <w:t xml:space="preserve">worden </w:t>
      </w:r>
      <w:r>
        <w:rPr>
          <w:sz w:val="20"/>
        </w:rPr>
        <w:t>gevolgd</w:t>
      </w:r>
      <w:r w:rsidRPr="0093166C">
        <w:rPr>
          <w:sz w:val="20"/>
        </w:rPr>
        <w:t>. Naast de heer Mestre was er bij de vorige benoemingsprocedure nog een kandi</w:t>
      </w:r>
      <w:r>
        <w:rPr>
          <w:sz w:val="20"/>
        </w:rPr>
        <w:t>daat, de heer Philippe Muyters (</w:t>
      </w:r>
      <w:r w:rsidRPr="0093166C">
        <w:rPr>
          <w:sz w:val="20"/>
        </w:rPr>
        <w:t xml:space="preserve">de Vlaamse minister van </w:t>
      </w:r>
      <w:r>
        <w:rPr>
          <w:sz w:val="20"/>
        </w:rPr>
        <w:t>Financien, Begroting, Werk, Ruimtelijke Ordening en Sport</w:t>
      </w:r>
      <w:r w:rsidRPr="0093166C">
        <w:rPr>
          <w:sz w:val="20"/>
        </w:rPr>
        <w:t>). De heer Muyters heeft nog steeds interesse in d</w:t>
      </w:r>
      <w:r w:rsidRPr="0093166C">
        <w:rPr>
          <w:sz w:val="20"/>
        </w:rPr>
        <w:t xml:space="preserve">e functie en stelt zich opnieuw </w:t>
      </w:r>
      <w:r w:rsidRPr="0093166C">
        <w:rPr>
          <w:sz w:val="20"/>
        </w:rPr>
        <w:t xml:space="preserve">beschikbaar. Nederland  zal (net als tijdens de voorgaande benoemingsprocedure) de benoeming van de heer Muyters steunen. </w:t>
      </w:r>
    </w:p>
    <w:p w:rsidR="00B5723C" w:rsidP="00BA2143">
      <w:pPr>
        <w:pStyle w:val="ListParagraph"/>
        <w:spacing w:line="240" w:lineRule="exact"/>
        <w:rPr>
          <w:sz w:val="20"/>
        </w:rPr>
      </w:pPr>
    </w:p>
    <w:p w:rsidR="0006333E" w:rsidP="00BA2143">
      <w:pPr>
        <w:pStyle w:val="ListParagraph"/>
        <w:spacing w:line="240" w:lineRule="exact"/>
        <w:rPr>
          <w:sz w:val="20"/>
        </w:rPr>
      </w:pPr>
      <w:r>
        <w:rPr>
          <w:sz w:val="20"/>
        </w:rPr>
        <w:t xml:space="preserve">Tot slot zal er een </w:t>
      </w:r>
      <w:r w:rsidRPr="005452A0">
        <w:rPr>
          <w:sz w:val="20"/>
        </w:rPr>
        <w:t xml:space="preserve">gedachtewisseling </w:t>
      </w:r>
      <w:r>
        <w:rPr>
          <w:sz w:val="20"/>
        </w:rPr>
        <w:t xml:space="preserve">plaatsvinden </w:t>
      </w:r>
      <w:r w:rsidRPr="005452A0">
        <w:rPr>
          <w:sz w:val="20"/>
        </w:rPr>
        <w:t>over</w:t>
      </w:r>
      <w:r>
        <w:rPr>
          <w:sz w:val="20"/>
        </w:rPr>
        <w:t xml:space="preserve"> de rol van publieke </w:t>
      </w:r>
      <w:r w:rsidRPr="005452A0">
        <w:rPr>
          <w:sz w:val="20"/>
        </w:rPr>
        <w:t>autoriteiten in de strij</w:t>
      </w:r>
      <w:r w:rsidRPr="005452A0">
        <w:rPr>
          <w:sz w:val="20"/>
        </w:rPr>
        <w:t xml:space="preserve">d tegen </w:t>
      </w:r>
      <w:r w:rsidRPr="005452A0">
        <w:rPr>
          <w:sz w:val="20"/>
        </w:rPr>
        <w:t>doping in de sport.</w:t>
      </w:r>
      <w:r>
        <w:rPr>
          <w:sz w:val="20"/>
        </w:rPr>
        <w:t xml:space="preserve"> Er is </w:t>
      </w:r>
      <w:r>
        <w:rPr>
          <w:sz w:val="20"/>
        </w:rPr>
        <w:t xml:space="preserve">op dit moment </w:t>
      </w:r>
      <w:r>
        <w:rPr>
          <w:sz w:val="20"/>
        </w:rPr>
        <w:t xml:space="preserve">nog geen discussiestuk beschikbaar van het </w:t>
      </w:r>
      <w:r>
        <w:rPr>
          <w:sz w:val="20"/>
        </w:rPr>
        <w:t>V</w:t>
      </w:r>
      <w:r>
        <w:rPr>
          <w:sz w:val="20"/>
        </w:rPr>
        <w:t>oorzitterschap met vragen die aan de</w:t>
      </w:r>
      <w:r>
        <w:rPr>
          <w:sz w:val="20"/>
        </w:rPr>
        <w:t xml:space="preserve"> L</w:t>
      </w:r>
      <w:r>
        <w:rPr>
          <w:sz w:val="20"/>
        </w:rPr>
        <w:t xml:space="preserve">idstaten gesteld zullen worden </w:t>
      </w:r>
      <w:r>
        <w:rPr>
          <w:sz w:val="20"/>
        </w:rPr>
        <w:t xml:space="preserve">en </w:t>
      </w:r>
      <w:r>
        <w:rPr>
          <w:sz w:val="20"/>
        </w:rPr>
        <w:t>waar de ministers zich over kunnen uitspreken</w:t>
      </w:r>
      <w:r>
        <w:rPr>
          <w:sz w:val="20"/>
        </w:rPr>
        <w:t xml:space="preserve">. Mocht gevraagd worden naar </w:t>
      </w:r>
      <w:r>
        <w:rPr>
          <w:sz w:val="20"/>
        </w:rPr>
        <w:t xml:space="preserve">maatregelen die </w:t>
      </w:r>
      <w:r>
        <w:rPr>
          <w:sz w:val="20"/>
        </w:rPr>
        <w:t>Li</w:t>
      </w:r>
      <w:r>
        <w:rPr>
          <w:sz w:val="20"/>
        </w:rPr>
        <w:t>dstaten treffen o</w:t>
      </w:r>
      <w:r>
        <w:rPr>
          <w:sz w:val="20"/>
        </w:rPr>
        <w:t>p het gebied van antidoping</w:t>
      </w:r>
      <w:r>
        <w:rPr>
          <w:sz w:val="20"/>
        </w:rPr>
        <w:t>, dan zal Nederland de Raad hierover informeren</w:t>
      </w:r>
      <w:r>
        <w:rPr>
          <w:sz w:val="20"/>
        </w:rPr>
        <w:t>.</w:t>
      </w:r>
    </w:p>
    <w:p w:rsidRPr="005452A0" w:rsidR="005452A0" w:rsidP="00BA2143">
      <w:pPr>
        <w:pStyle w:val="Prrafodelista"/>
        <w:spacing w:line="240" w:lineRule="exact"/>
        <w:ind w:left="1080"/>
        <w:rPr>
          <w:rFonts w:ascii="Verdana" w:hAnsi="Verdana"/>
          <w:sz w:val="20"/>
          <w:szCs w:val="20"/>
          <w:lang w:val="nl-NL"/>
        </w:rPr>
      </w:pPr>
    </w:p>
    <w:p w:rsidRPr="00035DE0" w:rsidR="0006333E" w:rsidP="00BA2143">
      <w:pPr>
        <w:spacing w:line="240" w:lineRule="exact"/>
        <w:rPr>
          <w:rFonts w:eastAsia="Calibri"/>
          <w:sz w:val="20"/>
          <w:lang w:eastAsia="en-US"/>
        </w:rPr>
      </w:pPr>
    </w:p>
    <w:p w:rsidRPr="00035DE0" w:rsidR="00860D34" w:rsidP="00BA2143">
      <w:pPr>
        <w:spacing w:line="240" w:lineRule="exact"/>
        <w:contextualSpacing/>
        <w:rPr>
          <w:rFonts w:eastAsia="Calibri"/>
          <w:sz w:val="20"/>
          <w:lang w:eastAsia="en-US"/>
        </w:rPr>
      </w:pPr>
      <w:r w:rsidRPr="00035DE0">
        <w:rPr>
          <w:rFonts w:eastAsia="Calibri"/>
          <w:sz w:val="20"/>
          <w:lang w:eastAsia="en-US"/>
        </w:rPr>
        <w:t xml:space="preserve"> </w:t>
      </w:r>
    </w:p>
    <w:p w:rsidRPr="00035DE0" w:rsidR="00860D34" w:rsidP="00BA2143">
      <w:pPr>
        <w:pStyle w:val="ListParagraph"/>
        <w:spacing w:line="240" w:lineRule="exact"/>
        <w:ind w:left="1353"/>
        <w:outlineLvl w:val="0"/>
        <w:rPr>
          <w:b/>
          <w:sz w:val="20"/>
        </w:rPr>
      </w:pPr>
    </w:p>
    <w:p w:rsidRPr="00035DE0" w:rsidR="00A17C6E" w:rsidP="00BA2143">
      <w:pPr>
        <w:spacing w:line="240" w:lineRule="exact"/>
        <w:outlineLvl w:val="0"/>
        <w:rPr>
          <w:szCs w:val="18"/>
        </w:rPr>
      </w:pPr>
      <w:r w:rsidRPr="00035DE0">
        <w:rPr>
          <w:b/>
          <w:sz w:val="20"/>
        </w:rPr>
        <w:tab/>
      </w:r>
    </w:p>
    <w:sectPr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60363"/>
    <w:multiLevelType w:val="hybridMultilevel"/>
    <w:tmpl w:val="C41024A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145B29"/>
    <w:multiLevelType w:val="hybridMultilevel"/>
    <w:tmpl w:val="77AC62BC"/>
    <w:lvl w:ilvl="0">
      <w:start w:val="1"/>
      <w:numFmt w:val="decimal"/>
      <w:lvlText w:val="%1."/>
      <w:lvlJc w:val="left"/>
      <w:pPr>
        <w:ind w:left="1353" w:hanging="360"/>
      </w:pPr>
      <w:rPr>
        <w:rFonts w:hint="default"/>
        <w:b/>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
    <w:nsid w:val="0E592BC5"/>
    <w:multiLevelType w:val="hybridMultilevel"/>
    <w:tmpl w:val="89B0BE5C"/>
    <w:lvl w:ilvl="0">
      <w:start w:val="1"/>
      <w:numFmt w:val="decimal"/>
      <w:lvlText w:val="%1."/>
      <w:lvlJc w:val="left"/>
      <w:pPr>
        <w:ind w:left="720" w:hanging="360"/>
      </w:pPr>
      <w:rPr>
        <w:rFonts w:hint="default"/>
        <w:b/>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437F8D"/>
    <w:multiLevelType w:val="hybridMultilevel"/>
    <w:tmpl w:val="63B46826"/>
    <w:lvl w:ilvl="0">
      <w:start w:val="20"/>
      <w:numFmt w:val="bullet"/>
      <w:lvlText w:val="-"/>
      <w:lvlJc w:val="left"/>
      <w:pPr>
        <w:ind w:left="720" w:hanging="360"/>
      </w:pPr>
      <w:rPr>
        <w:rFonts w:ascii="Verdana" w:eastAsia="Calibri" w:hAnsi="Verdana"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254B22"/>
    <w:multiLevelType w:val="hybridMultilevel"/>
    <w:tmpl w:val="DC5A2A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DFF4A35"/>
    <w:multiLevelType w:val="hybridMultilevel"/>
    <w:tmpl w:val="3224FDD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E8C2DFF"/>
    <w:multiLevelType w:val="hybridMultilevel"/>
    <w:tmpl w:val="00E0F78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5271C8A"/>
    <w:multiLevelType w:val="hybridMultilevel"/>
    <w:tmpl w:val="E3CC8B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10;" w:salt="hIqOl99kIr/+N0hyovEq7Q==&#10;"/>
  <w:defaultTabStop w:val="708"/>
  <w:hyphenationZone w:val="425"/>
  <w:characterSpacingControl w:val="doNotCompress"/>
  <w:compat/>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55"/>
    <w:pPr>
      <w:spacing w:after="0" w:line="240" w:lineRule="atLeast"/>
    </w:pPr>
    <w:rPr>
      <w:rFonts w:ascii="Verdana" w:eastAsia="Times New Roman" w:hAnsi="Verdana" w:cs="Times New Roman"/>
      <w:sz w:val="18"/>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755"/>
    <w:pPr>
      <w:spacing w:after="0" w:line="240" w:lineRule="auto"/>
    </w:pPr>
  </w:style>
  <w:style w:type="paragraph" w:styleId="ListParagraph">
    <w:name w:val="List Paragraph"/>
    <w:basedOn w:val="Normal"/>
    <w:uiPriority w:val="34"/>
    <w:qFormat/>
    <w:rsid w:val="00386755"/>
    <w:pPr>
      <w:ind w:left="720"/>
      <w:contextualSpacing/>
    </w:pPr>
  </w:style>
  <w:style w:type="paragraph" w:customStyle="1" w:styleId="Lijstalinea1">
    <w:name w:val="Lijstalinea1"/>
    <w:basedOn w:val="Normal"/>
    <w:rsid w:val="003D62B3"/>
    <w:pPr>
      <w:spacing w:after="200" w:line="276" w:lineRule="auto"/>
      <w:ind w:left="720"/>
      <w:contextualSpacing/>
    </w:pPr>
    <w:rPr>
      <w:rFonts w:ascii="Calibri" w:hAnsi="Calibri"/>
      <w:sz w:val="22"/>
      <w:szCs w:val="22"/>
      <w:lang w:val="en-IE" w:eastAsia="en-IE"/>
    </w:rPr>
  </w:style>
  <w:style w:type="paragraph" w:customStyle="1" w:styleId="Prrafodelista">
    <w:name w:val="Párrafo de lista"/>
    <w:basedOn w:val="Normal"/>
    <w:rsid w:val="0006333E"/>
    <w:pPr>
      <w:widowControl w:val="0"/>
      <w:spacing w:line="240" w:lineRule="auto"/>
      <w:ind w:left="708"/>
    </w:pPr>
    <w:rPr>
      <w:rFonts w:ascii="Times New Roman" w:eastAsia="Calibri" w:hAnsi="Times New Roman"/>
      <w:sz w:val="24"/>
      <w:szCs w:val="24"/>
      <w:lang w:val="en-GB"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3" /><Relationship Type="http://schemas.openxmlformats.org/officeDocument/2006/relationships/styles" Target="styles.xml" Id="rId7" /><Relationship Type="http://schemas.openxmlformats.org/officeDocument/2006/relationships/webSettings" Target="webSettings.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theme" Target="theme/theme1.xml" Id="rId5"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1676</ap:Words>
  <ap:Characters>9224</ap:Characters>
  <ap:DocSecurity>8</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2013-04-22T13:24:00.0000000Z</lastPrinted>
  <dcterms:created xsi:type="dcterms:W3CDTF">2013-04-18T10:51:00.0000000Z</dcterms:created>
  <dcterms:modified xsi:type="dcterms:W3CDTF">2013-04-23T14:24:00.0000000Z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0x0101007A8923595B953A4C80AA8AAE62FDFAC8</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