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88" w:rsidP="00342D88" w:rsidRDefault="00342D88">
      <w:pPr>
        <w:spacing w:after="0"/>
        <w:rPr>
          <w:rFonts w:ascii="Verdana" w:hAnsi="Verdana"/>
          <w:b/>
          <w:sz w:val="18"/>
          <w:szCs w:val="18"/>
        </w:rPr>
      </w:pPr>
      <w:r>
        <w:rPr>
          <w:rFonts w:ascii="Verdana" w:hAnsi="Verdana"/>
          <w:b/>
          <w:sz w:val="18"/>
          <w:szCs w:val="18"/>
        </w:rPr>
        <w:t xml:space="preserve">Planning </w:t>
      </w:r>
      <w:r w:rsidRPr="00455954" w:rsidR="00455954">
        <w:rPr>
          <w:rFonts w:ascii="Verdana" w:hAnsi="Verdana"/>
          <w:b/>
          <w:sz w:val="18"/>
          <w:szCs w:val="18"/>
        </w:rPr>
        <w:t xml:space="preserve">wetsgevingsprioriteiten van de minister en staatssecretaris van VWS </w:t>
      </w:r>
    </w:p>
    <w:p w:rsidR="00342D88" w:rsidP="00342D88" w:rsidRDefault="00342D88">
      <w:pPr>
        <w:spacing w:after="0"/>
        <w:rPr>
          <w:rFonts w:ascii="Verdana" w:hAnsi="Verdana"/>
          <w:b/>
          <w:sz w:val="18"/>
          <w:szCs w:val="18"/>
        </w:rPr>
      </w:pPr>
    </w:p>
    <w:p w:rsidR="00455954" w:rsidP="00342D88" w:rsidRDefault="00342D88">
      <w:pPr>
        <w:spacing w:after="0"/>
        <w:rPr>
          <w:rFonts w:ascii="Verdana" w:hAnsi="Verdana"/>
          <w:sz w:val="18"/>
          <w:szCs w:val="18"/>
        </w:rPr>
      </w:pPr>
      <w:r w:rsidRPr="00342D88">
        <w:rPr>
          <w:rFonts w:ascii="Verdana" w:hAnsi="Verdana"/>
          <w:sz w:val="18"/>
          <w:szCs w:val="18"/>
        </w:rPr>
        <w:t xml:space="preserve">Per kwartaal is voor 2013 aangegeven wanneer de Tweede Kamer de wetsvoorstellen </w:t>
      </w:r>
      <w:r w:rsidRPr="00342D88" w:rsidR="00455954">
        <w:rPr>
          <w:rFonts w:ascii="Verdana" w:hAnsi="Verdana"/>
          <w:sz w:val="18"/>
          <w:szCs w:val="18"/>
        </w:rPr>
        <w:t>kan verwachten</w:t>
      </w:r>
      <w:r w:rsidRPr="00342D88">
        <w:rPr>
          <w:rFonts w:ascii="Verdana" w:hAnsi="Verdana"/>
          <w:sz w:val="18"/>
          <w:szCs w:val="18"/>
        </w:rPr>
        <w:t xml:space="preserve"> die dienen tot uitvoering van de prioriteiten van de minister en staatssecretaris van VWS.</w:t>
      </w:r>
      <w:r>
        <w:rPr>
          <w:rFonts w:ascii="Verdana" w:hAnsi="Verdana"/>
          <w:sz w:val="18"/>
          <w:szCs w:val="18"/>
        </w:rPr>
        <w:t xml:space="preserve"> Ook de geplande wetsvoorstellen voor 2014 en 2015 zijn vermeld. Zowel de titel als de inhoud zijn daarbij weergegeven alsmede de beoogde invoeringsdatum van de wet. RA2012 verwijst hierbij naar het Regeerakkoord 2012.</w:t>
      </w:r>
    </w:p>
    <w:p w:rsidR="00342D88" w:rsidP="00342D88" w:rsidRDefault="00342D88">
      <w:pPr>
        <w:spacing w:after="0"/>
        <w:rPr>
          <w:rFonts w:ascii="Verdana" w:hAnsi="Verdana"/>
          <w:sz w:val="18"/>
          <w:szCs w:val="18"/>
        </w:rPr>
      </w:pPr>
    </w:p>
    <w:p w:rsidRPr="00455954" w:rsidR="00A17C6E" w:rsidP="00342D88" w:rsidRDefault="00A745A4">
      <w:pPr>
        <w:spacing w:after="0"/>
        <w:rPr>
          <w:rFonts w:ascii="Verdana" w:hAnsi="Verdana"/>
          <w:b/>
          <w:sz w:val="18"/>
          <w:szCs w:val="18"/>
        </w:rPr>
      </w:pPr>
      <w:r w:rsidRPr="00455954">
        <w:rPr>
          <w:rFonts w:ascii="Verdana" w:hAnsi="Verdana"/>
          <w:b/>
          <w:sz w:val="18"/>
          <w:szCs w:val="18"/>
        </w:rPr>
        <w:t>Tweede kwartaal 2013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tblPr>
      <w:tblGrid>
        <w:gridCol w:w="3615"/>
        <w:gridCol w:w="4110"/>
        <w:gridCol w:w="1487"/>
      </w:tblGrid>
      <w:tr w:rsidRPr="002649B5" w:rsidR="00A745A4" w:rsidTr="00A745A4">
        <w:trPr>
          <w:trHeight w:val="315"/>
        </w:trPr>
        <w:tc>
          <w:tcPr>
            <w:tcW w:w="1962" w:type="pct"/>
            <w:shd w:val="clear" w:color="auto" w:fill="A6A6A6" w:themeFill="background1" w:themeFillShade="A6"/>
            <w:noWrap/>
            <w:hideMark/>
          </w:tcPr>
          <w:p w:rsidRPr="002649B5" w:rsidR="00A745A4" w:rsidP="00342D88" w:rsidRDefault="00A745A4">
            <w:pPr>
              <w:spacing w:after="0" w:line="240" w:lineRule="auto"/>
              <w:rPr>
                <w:rFonts w:eastAsia="Times New Roman" w:cs="Arial"/>
                <w:b/>
                <w:bCs/>
                <w:color w:val="000000"/>
                <w:sz w:val="18"/>
                <w:szCs w:val="18"/>
                <w:lang w:eastAsia="nl-NL"/>
              </w:rPr>
            </w:pPr>
            <w:r w:rsidRPr="002649B5">
              <w:rPr>
                <w:rFonts w:eastAsia="Times New Roman" w:cs="Arial"/>
                <w:b/>
                <w:bCs/>
                <w:color w:val="000000"/>
                <w:sz w:val="18"/>
                <w:szCs w:val="18"/>
                <w:lang w:eastAsia="nl-NL"/>
              </w:rPr>
              <w:t>Titel</w:t>
            </w:r>
            <w:r>
              <w:rPr>
                <w:rFonts w:eastAsia="Times New Roman" w:cs="Arial"/>
                <w:b/>
                <w:bCs/>
                <w:color w:val="000000"/>
                <w:sz w:val="18"/>
                <w:szCs w:val="18"/>
                <w:lang w:eastAsia="nl-NL"/>
              </w:rPr>
              <w:t xml:space="preserve"> van de wet</w:t>
            </w:r>
          </w:p>
        </w:tc>
        <w:tc>
          <w:tcPr>
            <w:tcW w:w="2231" w:type="pct"/>
            <w:shd w:val="clear" w:color="auto" w:fill="A6A6A6" w:themeFill="background1" w:themeFillShade="A6"/>
            <w:noWrap/>
            <w:hideMark/>
          </w:tcPr>
          <w:p w:rsidRPr="002649B5" w:rsidR="00A745A4" w:rsidP="00342D88" w:rsidRDefault="00A745A4">
            <w:pPr>
              <w:spacing w:after="0" w:line="240" w:lineRule="auto"/>
              <w:rPr>
                <w:rFonts w:eastAsia="Times New Roman" w:cs="Arial"/>
                <w:b/>
                <w:bCs/>
                <w:color w:val="000000"/>
                <w:sz w:val="18"/>
                <w:szCs w:val="18"/>
                <w:lang w:eastAsia="nl-NL"/>
              </w:rPr>
            </w:pPr>
            <w:r w:rsidRPr="002649B5">
              <w:rPr>
                <w:rFonts w:eastAsia="Times New Roman" w:cs="Arial"/>
                <w:b/>
                <w:bCs/>
                <w:color w:val="000000"/>
                <w:sz w:val="18"/>
                <w:szCs w:val="18"/>
                <w:lang w:eastAsia="nl-NL"/>
              </w:rPr>
              <w:t>Inhoud</w:t>
            </w:r>
            <w:r>
              <w:rPr>
                <w:rFonts w:eastAsia="Times New Roman" w:cs="Arial"/>
                <w:b/>
                <w:bCs/>
                <w:color w:val="000000"/>
                <w:sz w:val="18"/>
                <w:szCs w:val="18"/>
                <w:lang w:eastAsia="nl-NL"/>
              </w:rPr>
              <w:t xml:space="preserve"> van de wet</w:t>
            </w:r>
          </w:p>
        </w:tc>
        <w:tc>
          <w:tcPr>
            <w:tcW w:w="807" w:type="pct"/>
            <w:shd w:val="clear" w:color="auto" w:fill="A6A6A6" w:themeFill="background1" w:themeFillShade="A6"/>
            <w:noWrap/>
            <w:vAlign w:val="bottom"/>
            <w:hideMark/>
          </w:tcPr>
          <w:p w:rsidRPr="002649B5" w:rsidR="00A745A4" w:rsidP="00342D88" w:rsidRDefault="00A745A4">
            <w:pPr>
              <w:spacing w:after="0" w:line="240" w:lineRule="auto"/>
              <w:rPr>
                <w:rFonts w:eastAsia="Times New Roman" w:cs="Arial"/>
                <w:b/>
                <w:bCs/>
                <w:color w:val="000000"/>
                <w:sz w:val="18"/>
                <w:szCs w:val="18"/>
                <w:lang w:eastAsia="nl-NL"/>
              </w:rPr>
            </w:pPr>
            <w:r>
              <w:rPr>
                <w:rFonts w:eastAsia="Times New Roman" w:cs="Arial"/>
                <w:b/>
                <w:bCs/>
                <w:color w:val="000000"/>
                <w:sz w:val="18"/>
                <w:szCs w:val="18"/>
                <w:lang w:eastAsia="nl-NL"/>
              </w:rPr>
              <w:t>Beoogde i</w:t>
            </w:r>
            <w:r w:rsidRPr="002649B5">
              <w:rPr>
                <w:rFonts w:eastAsia="Times New Roman" w:cs="Arial"/>
                <w:b/>
                <w:bCs/>
                <w:color w:val="000000"/>
                <w:sz w:val="18"/>
                <w:szCs w:val="18"/>
                <w:lang w:eastAsia="nl-NL"/>
              </w:rPr>
              <w:t>nvoeringsdatum</w:t>
            </w:r>
            <w:r>
              <w:rPr>
                <w:rFonts w:eastAsia="Times New Roman" w:cs="Arial"/>
                <w:b/>
                <w:bCs/>
                <w:color w:val="000000"/>
                <w:sz w:val="18"/>
                <w:szCs w:val="18"/>
                <w:lang w:eastAsia="nl-NL"/>
              </w:rPr>
              <w:t xml:space="preserve"> van de wet</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v.d. Wet op de jeugdzorg, houdende vaststelling grondslag voor kwaliteitseisen over beroepsoefenaren in de jeugdzorg en voor aanwijzen kwaliteitsregister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Verbetering kwaliteit professionals in de jeugdzorg. (RA2012, blz. 25)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Intrekking van de Wet tegemoetkoming chronisch zieken en gehandicapten en wijziging van de Zvw (schrappen CER)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(RA2012, nrs. 58/59/60). Bezuiniging 553 mln (2013) tot 649 mln (2016); 200 mln (2013); 486 mln (2015) tot 492 mln (2016)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Geneesmiddelenwet ter impl.van rl. geneesmiddelen voor menselijk gebruik om te verhinderen dat vervalste geneesmiddelen in de legale distributiekanalen komen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Verhinderen dat vervalste geneesmiddelen in de legale distributieketen belanden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Tabakswet ter verhoging van de minimumleeftijd van 16 naar 18 jaar van personen aan wie tabaksproducten mogen worden verkocht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Verhoging koopleeftijd naar 18 jaar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4439D4" w:rsidTr="00A745A4">
        <w:trPr>
          <w:trHeight w:val="20"/>
        </w:trPr>
        <w:tc>
          <w:tcPr>
            <w:tcW w:w="1962" w:type="pct"/>
            <w:shd w:val="clear" w:color="auto" w:fill="auto"/>
            <w:hideMark/>
          </w:tcPr>
          <w:p w:rsidRPr="002649B5" w:rsidR="004439D4" w:rsidP="00342D88" w:rsidRDefault="004439D4">
            <w:pPr>
              <w:spacing w:after="0" w:line="240" w:lineRule="auto"/>
              <w:rPr>
                <w:rFonts w:eastAsia="Times New Roman" w:cs="Arial"/>
                <w:color w:val="000000"/>
                <w:sz w:val="18"/>
                <w:szCs w:val="18"/>
                <w:lang w:eastAsia="nl-NL"/>
              </w:rPr>
            </w:pPr>
          </w:p>
        </w:tc>
        <w:tc>
          <w:tcPr>
            <w:tcW w:w="2231" w:type="pct"/>
            <w:shd w:val="clear" w:color="auto" w:fill="auto"/>
            <w:hideMark/>
          </w:tcPr>
          <w:p w:rsidRPr="002649B5" w:rsidR="004439D4" w:rsidP="00342D88" w:rsidRDefault="004439D4">
            <w:pPr>
              <w:spacing w:after="0" w:line="240" w:lineRule="auto"/>
              <w:rPr>
                <w:rFonts w:eastAsia="Times New Roman" w:cs="Arial"/>
                <w:color w:val="000000"/>
                <w:sz w:val="18"/>
                <w:szCs w:val="18"/>
                <w:lang w:eastAsia="nl-NL"/>
              </w:rPr>
            </w:pPr>
          </w:p>
        </w:tc>
        <w:tc>
          <w:tcPr>
            <w:tcW w:w="807" w:type="pct"/>
            <w:shd w:val="clear" w:color="auto" w:fill="auto"/>
            <w:hideMark/>
          </w:tcPr>
          <w:p w:rsidRPr="002649B5" w:rsidR="004439D4" w:rsidP="00342D88" w:rsidRDefault="004439D4">
            <w:pPr>
              <w:spacing w:after="0" w:line="240" w:lineRule="auto"/>
              <w:rPr>
                <w:rFonts w:eastAsia="Times New Roman" w:cs="Arial"/>
                <w:color w:val="000000"/>
                <w:sz w:val="18"/>
                <w:szCs w:val="18"/>
                <w:lang w:eastAsia="nl-NL"/>
              </w:rPr>
            </w:pPr>
          </w:p>
        </w:tc>
      </w:tr>
    </w:tbl>
    <w:p w:rsidR="00A745A4" w:rsidP="00342D88" w:rsidRDefault="00A745A4">
      <w:pPr>
        <w:spacing w:after="0"/>
        <w:rPr>
          <w:rFonts w:ascii="Verdana" w:hAnsi="Verdana"/>
          <w:sz w:val="18"/>
          <w:szCs w:val="18"/>
        </w:rPr>
      </w:pPr>
    </w:p>
    <w:p w:rsidRPr="00455954" w:rsidR="00A745A4" w:rsidP="00342D88" w:rsidRDefault="00A745A4">
      <w:pPr>
        <w:spacing w:after="0"/>
        <w:rPr>
          <w:rFonts w:ascii="Verdana" w:hAnsi="Verdana"/>
          <w:b/>
          <w:sz w:val="18"/>
          <w:szCs w:val="18"/>
        </w:rPr>
      </w:pPr>
      <w:r w:rsidRPr="00455954">
        <w:rPr>
          <w:rFonts w:ascii="Verdana" w:hAnsi="Verdana"/>
          <w:b/>
          <w:sz w:val="18"/>
          <w:szCs w:val="18"/>
        </w:rPr>
        <w:t>Derde kwartaal 2013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15"/>
        <w:gridCol w:w="4110"/>
        <w:gridCol w:w="1487"/>
      </w:tblGrid>
      <w:tr w:rsidRPr="002649B5" w:rsidR="00A745A4" w:rsidTr="009F2952">
        <w:trPr>
          <w:cantSplit/>
          <w:trHeight w:val="20"/>
        </w:trPr>
        <w:tc>
          <w:tcPr>
            <w:tcW w:w="1962"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Titel</w:t>
            </w:r>
            <w:r w:rsidRPr="00A745A4">
              <w:rPr>
                <w:rFonts w:eastAsia="Times New Roman" w:cs="Arial"/>
                <w:b/>
                <w:color w:val="000000"/>
                <w:sz w:val="18"/>
                <w:szCs w:val="18"/>
                <w:lang w:eastAsia="nl-NL"/>
              </w:rPr>
              <w:t xml:space="preserve"> van de wet</w:t>
            </w:r>
          </w:p>
        </w:tc>
        <w:tc>
          <w:tcPr>
            <w:tcW w:w="2231"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Inhoud</w:t>
            </w:r>
            <w:r w:rsidRPr="00A745A4">
              <w:rPr>
                <w:rFonts w:eastAsia="Times New Roman" w:cs="Arial"/>
                <w:b/>
                <w:color w:val="000000"/>
                <w:sz w:val="18"/>
                <w:szCs w:val="18"/>
                <w:lang w:eastAsia="nl-NL"/>
              </w:rPr>
              <w:t xml:space="preserve"> van de wet</w:t>
            </w:r>
          </w:p>
        </w:tc>
        <w:tc>
          <w:tcPr>
            <w:tcW w:w="807" w:type="pct"/>
            <w:shd w:val="clear" w:color="auto" w:fill="A6A6A6" w:themeFill="background1" w:themeFillShade="A6"/>
            <w:vAlign w:val="bottom"/>
            <w:hideMark/>
          </w:tcPr>
          <w:p w:rsidRPr="002649B5" w:rsidR="00A745A4" w:rsidP="00342D88" w:rsidRDefault="00A745A4">
            <w:pPr>
              <w:spacing w:after="0" w:line="240" w:lineRule="auto"/>
              <w:rPr>
                <w:rFonts w:eastAsia="Times New Roman" w:cs="Arial"/>
                <w:b/>
                <w:color w:val="000000"/>
                <w:sz w:val="18"/>
                <w:szCs w:val="18"/>
                <w:lang w:eastAsia="nl-NL"/>
              </w:rPr>
            </w:pPr>
            <w:r w:rsidRPr="00A745A4">
              <w:rPr>
                <w:rFonts w:eastAsia="Times New Roman" w:cs="Arial"/>
                <w:b/>
                <w:color w:val="000000"/>
                <w:sz w:val="18"/>
                <w:szCs w:val="18"/>
                <w:lang w:eastAsia="nl-NL"/>
              </w:rPr>
              <w:t>Beoogde i</w:t>
            </w:r>
            <w:r w:rsidRPr="002649B5">
              <w:rPr>
                <w:rFonts w:eastAsia="Times New Roman" w:cs="Arial"/>
                <w:b/>
                <w:color w:val="000000"/>
                <w:sz w:val="18"/>
                <w:szCs w:val="18"/>
                <w:lang w:eastAsia="nl-NL"/>
              </w:rPr>
              <w:t>nvoeringsdatum</w:t>
            </w:r>
            <w:r w:rsidRPr="00A745A4">
              <w:rPr>
                <w:rFonts w:eastAsia="Times New Roman" w:cs="Arial"/>
                <w:b/>
                <w:color w:val="000000"/>
                <w:sz w:val="18"/>
                <w:szCs w:val="18"/>
                <w:lang w:eastAsia="nl-NL"/>
              </w:rPr>
              <w:t xml:space="preserve"> van de wet</w:t>
            </w:r>
          </w:p>
        </w:tc>
      </w:tr>
      <w:tr w:rsidRPr="002649B5" w:rsidR="00A745A4" w:rsidTr="009F2952">
        <w:trPr>
          <w:cantSplit/>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Jeugdwet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Taken van de gemeente inzake de jeugdzorg en invoering eigen bijdrage jeugdzorg. (RA2012, nr. 52). Bezuniging 40 mln (2015) tot 150 mln (2017)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9F2952">
        <w:trPr>
          <w:cantSplit/>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Zorgverzekeringswet in verband met invoering van een inkomensafhankelijk eigen risico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Invoering inkomensafhankelijk eigen risico (RA2012 nr. 45)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9F2952">
        <w:trPr>
          <w:cantSplit/>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Wet op de jeugdzorg ea wetten inzake BSN in de jeugdzorg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Gebruik BSN in de jeugdzorg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9F2952">
        <w:trPr>
          <w:cantSplit/>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Zvw om het recht op prestaties uit de zorgverzekering te beperken in geval van verblijf buiten het Eur. deel van Nederland, de EU/EER of Zwitserland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Schrappen van de dekking bij zorg buiten EU; beperking werelddekking zorgverzekering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9F2952">
        <w:trPr>
          <w:cantSplit/>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Warenwet ivm verhogen vh maximum bedrag vd bestuurlijke boete en enkele andere wijzigingen (aanprijzen tatoeage en piercing en wijziging Warenwet BES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Verhogen maximum bedrag van de bestuurlijke boeten, het invoeren van een verbod om tatoeages en piercings aan te prijzen zonder vergunning en enkele andere wijzigingen zoals uitbreiden aanwijzings-bevoegdheid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1-7-2014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Wet marktordening gezondheidszorg in verband met verbetering toezicht en opsporing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Bestuurlijke handhaving door NZa van fraude door spooknota's, materiele controle verzekeraars bij restitutie en verbeteren opsporingsmogelijkheden NZa; declaratieverbod niet geleverde zorg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Tabakswet ivm verhoging strafmaximum overtreding rookverbod horeca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Verhogen wettelijk boeteplafond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Wet medisch-wetenschappelijk onderzoek met mensen (meldplicht ernstige voorvallen)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Aanscherping van de meldplicht van ernstige voorvallen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1-7-2014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lastRenderedPageBreak/>
              <w:t>Wijziging van de WTZi en de Wmg in verband met opheffing van CBZ en CSZ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CBZ wordt opgeheven en CSZ gaat op in NZa (annex aan RA2012)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1-7-2014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Zvw ivm verbetering maatregelen bij niet-betalen premie en bestuursrechtelijke premie en enkele andere wijzigingen (verbetering wanbetalers-maatregelen)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Preventieve maatregelen, verbetering adresgegevens; wijzigingsmogelijk bestuursrechtelijke premie en uittreden uit regime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9F2952">
        <w:trPr>
          <w:cantSplit/>
          <w:trHeight w:val="20"/>
        </w:trPr>
        <w:tc>
          <w:tcPr>
            <w:tcW w:w="1962"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Zorgverzekeringswet ivm anonieme e-mental health </w:t>
            </w:r>
          </w:p>
        </w:tc>
        <w:tc>
          <w:tcPr>
            <w:tcW w:w="2231"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Bekostiging anonieme e-mental health </w:t>
            </w:r>
          </w:p>
        </w:tc>
        <w:tc>
          <w:tcPr>
            <w:tcW w:w="807" w:type="pct"/>
            <w:shd w:val="clear" w:color="auto" w:fill="auto"/>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bl>
    <w:p w:rsidR="00A745A4" w:rsidP="00342D88" w:rsidRDefault="00A745A4">
      <w:pPr>
        <w:spacing w:after="0"/>
        <w:rPr>
          <w:rFonts w:ascii="Verdana" w:hAnsi="Verdana"/>
          <w:sz w:val="18"/>
          <w:szCs w:val="18"/>
        </w:rPr>
      </w:pPr>
    </w:p>
    <w:p w:rsidRPr="00455954" w:rsidR="00A745A4" w:rsidP="00342D88" w:rsidRDefault="00A745A4">
      <w:pPr>
        <w:spacing w:after="0"/>
        <w:rPr>
          <w:rFonts w:ascii="Verdana" w:hAnsi="Verdana"/>
          <w:b/>
          <w:sz w:val="18"/>
          <w:szCs w:val="18"/>
        </w:rPr>
      </w:pPr>
      <w:r w:rsidRPr="00455954">
        <w:rPr>
          <w:rFonts w:ascii="Verdana" w:hAnsi="Verdana"/>
          <w:b/>
          <w:sz w:val="18"/>
          <w:szCs w:val="18"/>
        </w:rPr>
        <w:t>Vierde kwartaal 2013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15"/>
        <w:gridCol w:w="4110"/>
        <w:gridCol w:w="1487"/>
      </w:tblGrid>
      <w:tr w:rsidRPr="002649B5" w:rsidR="00A745A4" w:rsidTr="00A745A4">
        <w:trPr>
          <w:trHeight w:val="20"/>
        </w:trPr>
        <w:tc>
          <w:tcPr>
            <w:tcW w:w="1962"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Titel</w:t>
            </w:r>
            <w:r w:rsidRPr="00A745A4">
              <w:rPr>
                <w:rFonts w:eastAsia="Times New Roman" w:cs="Arial"/>
                <w:b/>
                <w:color w:val="000000"/>
                <w:sz w:val="18"/>
                <w:szCs w:val="18"/>
                <w:lang w:eastAsia="nl-NL"/>
              </w:rPr>
              <w:t xml:space="preserve"> van de wet</w:t>
            </w:r>
          </w:p>
        </w:tc>
        <w:tc>
          <w:tcPr>
            <w:tcW w:w="2231"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Inhoud</w:t>
            </w:r>
            <w:r w:rsidRPr="00A745A4">
              <w:rPr>
                <w:rFonts w:eastAsia="Times New Roman" w:cs="Arial"/>
                <w:b/>
                <w:color w:val="000000"/>
                <w:sz w:val="18"/>
                <w:szCs w:val="18"/>
                <w:lang w:eastAsia="nl-NL"/>
              </w:rPr>
              <w:t xml:space="preserve"> van de wet</w:t>
            </w:r>
          </w:p>
        </w:tc>
        <w:tc>
          <w:tcPr>
            <w:tcW w:w="807" w:type="pct"/>
            <w:shd w:val="clear" w:color="auto" w:fill="A6A6A6" w:themeFill="background1" w:themeFillShade="A6"/>
            <w:vAlign w:val="bottom"/>
            <w:hideMark/>
          </w:tcPr>
          <w:p w:rsidRPr="002649B5" w:rsidR="00A745A4" w:rsidP="00342D88" w:rsidRDefault="00A745A4">
            <w:pPr>
              <w:spacing w:after="0" w:line="240" w:lineRule="auto"/>
              <w:rPr>
                <w:rFonts w:eastAsia="Times New Roman" w:cs="Arial"/>
                <w:b/>
                <w:color w:val="000000"/>
                <w:sz w:val="18"/>
                <w:szCs w:val="18"/>
                <w:lang w:eastAsia="nl-NL"/>
              </w:rPr>
            </w:pPr>
            <w:r w:rsidRPr="00A745A4">
              <w:rPr>
                <w:rFonts w:eastAsia="Times New Roman" w:cs="Arial"/>
                <w:b/>
                <w:color w:val="000000"/>
                <w:sz w:val="18"/>
                <w:szCs w:val="18"/>
                <w:lang w:eastAsia="nl-NL"/>
              </w:rPr>
              <w:t>Beoogde i</w:t>
            </w:r>
            <w:r w:rsidRPr="002649B5">
              <w:rPr>
                <w:rFonts w:eastAsia="Times New Roman" w:cs="Arial"/>
                <w:b/>
                <w:color w:val="000000"/>
                <w:sz w:val="18"/>
                <w:szCs w:val="18"/>
                <w:lang w:eastAsia="nl-NL"/>
              </w:rPr>
              <w:t>nvoeringsdatum</w:t>
            </w:r>
            <w:r w:rsidRPr="00A745A4">
              <w:rPr>
                <w:rFonts w:eastAsia="Times New Roman" w:cs="Arial"/>
                <w:b/>
                <w:color w:val="000000"/>
                <w:sz w:val="18"/>
                <w:szCs w:val="18"/>
                <w:lang w:eastAsia="nl-NL"/>
              </w:rPr>
              <w:t xml:space="preserve"> van de wet</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Goedkeuring van het VN-Verdrag mensen met een beperking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Gelijke behandeling. Goedkeuring verdrag en een aanpassingswet die gelijktijdig in werking moet treden (RA2012, blz.19).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1-7-2015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Wet gelijke behandeling ogv handicap of chronische ziekte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Gelijke behandeling. Mogelijk worden wijzigingen andere wetten ivm VN-verdrag mensen met een beperking meegenomen. (RA2012, blz. 19).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1-7-2015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Gezondheidswet en Wet op de jeugdzorg teneinde een mogelijkheid op te nemen tot openbaarmaking van tot personen herleidbare informatie betreffende de naleving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VWA en IGZ krijgen uitdrukkelijk bevoegdheid om informatie over naleving wetgeving openbaar te maken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tuchtrechtbepalingen in de Wet BIG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Aanpassing tuchtnormen, voorlopige voorziening /beroepsverbod bij ernstig vermoeden dat beroepsbeoefenaar volksgezondheid schaadt</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wetten teneinde een basis te scheppen voor het heffen retributies door IGZ/CBG/CIBG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Wettelijke basis voor heffing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Wetsvoorstel goed bestuur en medezeggenschap zorg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Vervangt bepalingen uit de Wcz en de Wmcz (annex aan RA2012 blz. 10)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bl>
    <w:p w:rsidR="00A745A4" w:rsidP="00342D88" w:rsidRDefault="00A745A4">
      <w:pPr>
        <w:spacing w:after="0"/>
        <w:rPr>
          <w:rFonts w:ascii="Verdana" w:hAnsi="Verdana"/>
          <w:sz w:val="18"/>
          <w:szCs w:val="18"/>
        </w:rPr>
      </w:pPr>
    </w:p>
    <w:p w:rsidRPr="00455954" w:rsidR="00A745A4" w:rsidP="00342D88" w:rsidRDefault="00A745A4">
      <w:pPr>
        <w:spacing w:after="0"/>
        <w:rPr>
          <w:rFonts w:ascii="Verdana" w:hAnsi="Verdana"/>
          <w:b/>
          <w:sz w:val="18"/>
          <w:szCs w:val="18"/>
        </w:rPr>
      </w:pPr>
      <w:r w:rsidRPr="00455954">
        <w:rPr>
          <w:rFonts w:ascii="Verdana" w:hAnsi="Verdana"/>
          <w:b/>
          <w:sz w:val="18"/>
          <w:szCs w:val="18"/>
        </w:rPr>
        <w:t>2014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15"/>
        <w:gridCol w:w="4110"/>
        <w:gridCol w:w="1487"/>
      </w:tblGrid>
      <w:tr w:rsidRPr="002649B5" w:rsidR="00A745A4" w:rsidTr="00A745A4">
        <w:trPr>
          <w:trHeight w:val="20"/>
        </w:trPr>
        <w:tc>
          <w:tcPr>
            <w:tcW w:w="1962"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Titel</w:t>
            </w:r>
            <w:r w:rsidRPr="00A745A4">
              <w:rPr>
                <w:rFonts w:eastAsia="Times New Roman" w:cs="Arial"/>
                <w:b/>
                <w:color w:val="000000"/>
                <w:sz w:val="18"/>
                <w:szCs w:val="18"/>
                <w:lang w:eastAsia="nl-NL"/>
              </w:rPr>
              <w:t xml:space="preserve"> van de wet</w:t>
            </w:r>
          </w:p>
        </w:tc>
        <w:tc>
          <w:tcPr>
            <w:tcW w:w="2231"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Inhoud</w:t>
            </w:r>
            <w:r w:rsidRPr="00A745A4">
              <w:rPr>
                <w:rFonts w:eastAsia="Times New Roman" w:cs="Arial"/>
                <w:b/>
                <w:color w:val="000000"/>
                <w:sz w:val="18"/>
                <w:szCs w:val="18"/>
                <w:lang w:eastAsia="nl-NL"/>
              </w:rPr>
              <w:t xml:space="preserve"> van de wet</w:t>
            </w:r>
          </w:p>
        </w:tc>
        <w:tc>
          <w:tcPr>
            <w:tcW w:w="807" w:type="pct"/>
            <w:shd w:val="clear" w:color="auto" w:fill="A6A6A6" w:themeFill="background1" w:themeFillShade="A6"/>
            <w:vAlign w:val="bottom"/>
            <w:hideMark/>
          </w:tcPr>
          <w:p w:rsidRPr="002649B5" w:rsidR="00A745A4" w:rsidP="00342D88" w:rsidRDefault="00A745A4">
            <w:pPr>
              <w:spacing w:after="0" w:line="240" w:lineRule="auto"/>
              <w:rPr>
                <w:rFonts w:eastAsia="Times New Roman" w:cs="Arial"/>
                <w:b/>
                <w:color w:val="000000"/>
                <w:sz w:val="18"/>
                <w:szCs w:val="18"/>
                <w:lang w:eastAsia="nl-NL"/>
              </w:rPr>
            </w:pPr>
            <w:r w:rsidRPr="00A745A4">
              <w:rPr>
                <w:rFonts w:eastAsia="Times New Roman" w:cs="Arial"/>
                <w:b/>
                <w:color w:val="000000"/>
                <w:sz w:val="18"/>
                <w:szCs w:val="18"/>
                <w:lang w:eastAsia="nl-NL"/>
              </w:rPr>
              <w:t>Beoogde i</w:t>
            </w:r>
            <w:r w:rsidRPr="002649B5">
              <w:rPr>
                <w:rFonts w:eastAsia="Times New Roman" w:cs="Arial"/>
                <w:b/>
                <w:color w:val="000000"/>
                <w:sz w:val="18"/>
                <w:szCs w:val="18"/>
                <w:lang w:eastAsia="nl-NL"/>
              </w:rPr>
              <w:t>nvoeringsdatum</w:t>
            </w:r>
            <w:r w:rsidRPr="00A745A4">
              <w:rPr>
                <w:rFonts w:eastAsia="Times New Roman" w:cs="Arial"/>
                <w:b/>
                <w:color w:val="000000"/>
                <w:sz w:val="18"/>
                <w:szCs w:val="18"/>
                <w:lang w:eastAsia="nl-NL"/>
              </w:rPr>
              <w:t xml:space="preserve"> van de wet</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Regels ter oplossing privacyprobleem dopingcontroles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Grondslag uitvoeren dopingcontroles bij sporters en daarmee gepaard gaande gegevensverwerking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Wet maatschappelijke ondersteuning 2015</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Overheveling BG en PV naar Wmo; beperking HV/maatwerkvoorziening HV.(RA2012, nr. 46/55/56/57). Bezuiniging 89 mln (2013) tot 2840 mln (2018).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het Burgerlijk Wetboek (WGBO) in verband met versterking clientenrechten in de zorg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Ter vervanging van de bepalingen in de Wcz wordt de WGBO aangepast annex aan RA2012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1-1-2016 </w:t>
            </w:r>
          </w:p>
        </w:tc>
      </w:tr>
      <w:tr w:rsidRPr="002649B5" w:rsidR="00A745A4" w:rsidTr="00A745A4">
        <w:trPr>
          <w:trHeight w:val="20"/>
        </w:trPr>
        <w:tc>
          <w:tcPr>
            <w:tcW w:w="1962" w:type="pct"/>
            <w:shd w:val="clear" w:color="auto" w:fill="auto"/>
            <w:hideMark/>
          </w:tcPr>
          <w:p w:rsidRPr="002649B5" w:rsidR="00A745A4" w:rsidP="00A33E0D"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xml:space="preserve">Wet </w:t>
            </w:r>
            <w:r w:rsidR="00A33E0D">
              <w:rPr>
                <w:rFonts w:eastAsia="Times New Roman" w:cs="Arial"/>
                <w:color w:val="000000"/>
                <w:sz w:val="18"/>
                <w:szCs w:val="18"/>
                <w:lang w:eastAsia="nl-NL"/>
              </w:rPr>
              <w:t>AWBZ-aanspraken ivm RA 2012</w:t>
            </w:r>
            <w:r w:rsidRPr="002649B5">
              <w:rPr>
                <w:rFonts w:eastAsia="Times New Roman" w:cs="Arial"/>
                <w:color w:val="000000"/>
                <w:sz w:val="18"/>
                <w:szCs w:val="18"/>
                <w:lang w:eastAsia="nl-NL"/>
              </w:rPr>
              <w:t>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Vervanging AWBZ door wet intramurale zorg gehandicapten/ ouderen.(RA2012, nr. 47). Bezuiniging 475 mln (2017).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1-1-2016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Wet beroepen in de individuele gezondheidszorg BES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Wetsvoorstel voor een registratiesysteem voor beroepsbeoefenaren in de zorg op de BES-eilanden.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1-1-2016 </w:t>
            </w:r>
          </w:p>
        </w:tc>
      </w:tr>
    </w:tbl>
    <w:p w:rsidR="00A745A4" w:rsidP="00342D88" w:rsidRDefault="00A745A4">
      <w:pPr>
        <w:spacing w:after="0"/>
        <w:rPr>
          <w:rFonts w:ascii="Verdana" w:hAnsi="Verdana"/>
          <w:sz w:val="18"/>
          <w:szCs w:val="18"/>
        </w:rPr>
      </w:pPr>
    </w:p>
    <w:p w:rsidR="00342D88" w:rsidRDefault="00342D88">
      <w:pPr>
        <w:rPr>
          <w:rFonts w:ascii="Verdana" w:hAnsi="Verdana"/>
          <w:b/>
          <w:sz w:val="18"/>
          <w:szCs w:val="18"/>
        </w:rPr>
      </w:pPr>
      <w:r>
        <w:rPr>
          <w:rFonts w:ascii="Verdana" w:hAnsi="Verdana"/>
          <w:b/>
          <w:sz w:val="18"/>
          <w:szCs w:val="18"/>
        </w:rPr>
        <w:br w:type="page"/>
      </w:r>
    </w:p>
    <w:p w:rsidRPr="00455954" w:rsidR="00A745A4" w:rsidP="00342D88" w:rsidRDefault="00A745A4">
      <w:pPr>
        <w:spacing w:after="0"/>
        <w:rPr>
          <w:rFonts w:ascii="Verdana" w:hAnsi="Verdana"/>
          <w:b/>
          <w:sz w:val="18"/>
          <w:szCs w:val="18"/>
        </w:rPr>
      </w:pPr>
      <w:r w:rsidRPr="00455954">
        <w:rPr>
          <w:rFonts w:ascii="Verdana" w:hAnsi="Verdana"/>
          <w:b/>
          <w:sz w:val="18"/>
          <w:szCs w:val="18"/>
        </w:rPr>
        <w:lastRenderedPageBreak/>
        <w:t xml:space="preserve">Doel wordt bereikt zonder </w:t>
      </w:r>
      <w:r w:rsidRPr="00455954" w:rsidR="00455954">
        <w:rPr>
          <w:rFonts w:ascii="Verdana" w:hAnsi="Verdana"/>
          <w:b/>
          <w:sz w:val="18"/>
          <w:szCs w:val="18"/>
        </w:rPr>
        <w:t>wet of nog geen datum v</w:t>
      </w:r>
      <w:r w:rsidRPr="00455954">
        <w:rPr>
          <w:rFonts w:ascii="Verdana" w:hAnsi="Verdana"/>
          <w:b/>
          <w:sz w:val="18"/>
          <w:szCs w:val="18"/>
        </w:rPr>
        <w:t>astgesteld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15"/>
        <w:gridCol w:w="4110"/>
        <w:gridCol w:w="1487"/>
      </w:tblGrid>
      <w:tr w:rsidRPr="002649B5" w:rsidR="00A745A4" w:rsidTr="00A745A4">
        <w:trPr>
          <w:trHeight w:val="20"/>
        </w:trPr>
        <w:tc>
          <w:tcPr>
            <w:tcW w:w="1962"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Titel</w:t>
            </w:r>
            <w:r w:rsidRPr="00A745A4">
              <w:rPr>
                <w:rFonts w:eastAsia="Times New Roman" w:cs="Arial"/>
                <w:b/>
                <w:color w:val="000000"/>
                <w:sz w:val="18"/>
                <w:szCs w:val="18"/>
                <w:lang w:eastAsia="nl-NL"/>
              </w:rPr>
              <w:t xml:space="preserve"> van de wet</w:t>
            </w:r>
          </w:p>
        </w:tc>
        <w:tc>
          <w:tcPr>
            <w:tcW w:w="2231"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Inhoud</w:t>
            </w:r>
            <w:r w:rsidRPr="00A745A4">
              <w:rPr>
                <w:rFonts w:eastAsia="Times New Roman" w:cs="Arial"/>
                <w:b/>
                <w:color w:val="000000"/>
                <w:sz w:val="18"/>
                <w:szCs w:val="18"/>
                <w:lang w:eastAsia="nl-NL"/>
              </w:rPr>
              <w:t xml:space="preserve"> van de wet</w:t>
            </w:r>
          </w:p>
        </w:tc>
        <w:tc>
          <w:tcPr>
            <w:tcW w:w="807" w:type="pct"/>
            <w:shd w:val="clear" w:color="auto" w:fill="A6A6A6" w:themeFill="background1" w:themeFillShade="A6"/>
            <w:vAlign w:val="bottom"/>
            <w:hideMark/>
          </w:tcPr>
          <w:p w:rsidRPr="002649B5" w:rsidR="00A745A4" w:rsidP="00342D88" w:rsidRDefault="00A745A4">
            <w:pPr>
              <w:spacing w:after="0" w:line="240" w:lineRule="auto"/>
              <w:rPr>
                <w:rFonts w:eastAsia="Times New Roman" w:cs="Arial"/>
                <w:b/>
                <w:color w:val="000000"/>
                <w:sz w:val="18"/>
                <w:szCs w:val="18"/>
                <w:lang w:eastAsia="nl-NL"/>
              </w:rPr>
            </w:pPr>
            <w:r w:rsidRPr="00A745A4">
              <w:rPr>
                <w:rFonts w:eastAsia="Times New Roman" w:cs="Arial"/>
                <w:b/>
                <w:color w:val="000000"/>
                <w:sz w:val="18"/>
                <w:szCs w:val="18"/>
                <w:lang w:eastAsia="nl-NL"/>
              </w:rPr>
              <w:t>Beoogde i</w:t>
            </w:r>
            <w:r w:rsidRPr="002649B5">
              <w:rPr>
                <w:rFonts w:eastAsia="Times New Roman" w:cs="Arial"/>
                <w:b/>
                <w:color w:val="000000"/>
                <w:sz w:val="18"/>
                <w:szCs w:val="18"/>
                <w:lang w:eastAsia="nl-NL"/>
              </w:rPr>
              <w:t>nvoeringsdatum</w:t>
            </w:r>
            <w:r w:rsidRPr="00A745A4">
              <w:rPr>
                <w:rFonts w:eastAsia="Times New Roman" w:cs="Arial"/>
                <w:b/>
                <w:color w:val="000000"/>
                <w:sz w:val="18"/>
                <w:szCs w:val="18"/>
                <w:lang w:eastAsia="nl-NL"/>
              </w:rPr>
              <w:t xml:space="preserve"> van de wet</w:t>
            </w:r>
          </w:p>
        </w:tc>
      </w:tr>
      <w:tr w:rsidRPr="002649B5" w:rsidR="006713C6" w:rsidTr="00A745A4">
        <w:trPr>
          <w:trHeight w:val="20"/>
        </w:trPr>
        <w:tc>
          <w:tcPr>
            <w:tcW w:w="1962" w:type="pct"/>
            <w:shd w:val="clear" w:color="auto" w:fill="auto"/>
            <w:hideMark/>
          </w:tcPr>
          <w:p w:rsidRPr="002649B5" w:rsidR="006713C6" w:rsidP="008330CE" w:rsidRDefault="006713C6">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Goedkeuring van het Verdrag inzake de rechten van de mens en de biogeneeskunde van de Raad van Europa </w:t>
            </w:r>
          </w:p>
        </w:tc>
        <w:tc>
          <w:tcPr>
            <w:tcW w:w="2231" w:type="pct"/>
            <w:shd w:val="clear" w:color="auto" w:fill="auto"/>
            <w:hideMark/>
          </w:tcPr>
          <w:p w:rsidRPr="002649B5" w:rsidR="006713C6" w:rsidP="008330CE" w:rsidRDefault="006713C6">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Goedkeuring verdrag en aanpassing wetten </w:t>
            </w:r>
          </w:p>
        </w:tc>
        <w:tc>
          <w:tcPr>
            <w:tcW w:w="807" w:type="pct"/>
            <w:shd w:val="clear" w:color="auto" w:fill="auto"/>
            <w:hideMark/>
          </w:tcPr>
          <w:p w:rsidRPr="002649B5" w:rsidR="006713C6" w:rsidP="008330CE" w:rsidRDefault="006713C6">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de Zorgverzekerin</w:t>
            </w:r>
            <w:r w:rsidR="00370C43">
              <w:rPr>
                <w:rFonts w:eastAsia="Times New Roman" w:cs="Arial"/>
                <w:color w:val="000000"/>
                <w:sz w:val="18"/>
                <w:szCs w:val="18"/>
                <w:lang w:eastAsia="nl-NL"/>
              </w:rPr>
              <w:t>gswet (restitutiepolis overhevelen</w:t>
            </w:r>
            <w:r w:rsidRPr="002649B5">
              <w:rPr>
                <w:rFonts w:eastAsia="Times New Roman" w:cs="Arial"/>
                <w:color w:val="000000"/>
                <w:sz w:val="18"/>
                <w:szCs w:val="18"/>
                <w:lang w:eastAsia="nl-NL"/>
              </w:rPr>
              <w:t xml:space="preserve"> en (wellicht) wijziging van de Wet op de zorgtoeslag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w:t>
            </w:r>
            <w:r w:rsidR="00370C43">
              <w:rPr>
                <w:rFonts w:eastAsia="Times New Roman" w:cs="Arial"/>
                <w:color w:val="000000"/>
                <w:sz w:val="18"/>
                <w:szCs w:val="18"/>
                <w:lang w:eastAsia="nl-NL"/>
              </w:rPr>
              <w:t>/kwaliteit/aanspraken. Overhevelen</w:t>
            </w:r>
            <w:r w:rsidRPr="002649B5">
              <w:rPr>
                <w:rFonts w:eastAsia="Times New Roman" w:cs="Arial"/>
                <w:color w:val="000000"/>
                <w:sz w:val="18"/>
                <w:szCs w:val="18"/>
                <w:lang w:eastAsia="nl-NL"/>
              </w:rPr>
              <w:t xml:space="preserve"> restitutiepolis/artikel 13 Zvw. (RA2012 nr. 33)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wetten met het oog op bescher</w:t>
            </w:r>
            <w:r w:rsidR="00370C43">
              <w:rPr>
                <w:rFonts w:eastAsia="Times New Roman" w:cs="Arial"/>
                <w:color w:val="000000"/>
                <w:sz w:val="18"/>
                <w:szCs w:val="18"/>
                <w:lang w:eastAsia="nl-NL"/>
              </w:rPr>
              <w:t xml:space="preserve">ming tegen ongewenste risico’s </w:t>
            </w:r>
            <w:r w:rsidRPr="002649B5">
              <w:rPr>
                <w:rFonts w:eastAsia="Times New Roman" w:cs="Arial"/>
                <w:color w:val="000000"/>
                <w:sz w:val="18"/>
                <w:szCs w:val="18"/>
                <w:lang w:eastAsia="nl-NL"/>
              </w:rPr>
              <w:t>cosmetische behandelingen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Besche</w:t>
            </w:r>
            <w:r w:rsidR="00370C43">
              <w:rPr>
                <w:rFonts w:eastAsia="Times New Roman" w:cs="Arial"/>
                <w:color w:val="000000"/>
                <w:sz w:val="18"/>
                <w:szCs w:val="18"/>
                <w:lang w:eastAsia="nl-NL"/>
              </w:rPr>
              <w:t>rming tegen ongewenste risico’s</w:t>
            </w:r>
            <w:r w:rsidRPr="002649B5">
              <w:rPr>
                <w:rFonts w:eastAsia="Times New Roman" w:cs="Arial"/>
                <w:color w:val="000000"/>
                <w:sz w:val="18"/>
                <w:szCs w:val="18"/>
                <w:lang w:eastAsia="nl-NL"/>
              </w:rPr>
              <w:t xml:space="preserve"> cosmetische behandelingen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Wet zeggenschap lichaamsmateriaal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Regeling zeggenschap over lichaamsmateriaal dat wordt gebruikt voor een ander doel dan diagnostiek of behandeling van degene van wie het afkomstig is (T 1059)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het Besluit zorgverzekering ivm eigen bijdrage zelfverwijzers SEH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Eigen bijdrage zelfverwijzers SEH. (RA2012, punt 44)</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geen regelgeving; aanpak via HAP/SEH integratie</w:t>
            </w:r>
            <w:r>
              <w:rPr>
                <w:rFonts w:eastAsia="Times New Roman" w:cs="Arial"/>
                <w:color w:val="000000"/>
                <w:sz w:val="18"/>
                <w:szCs w:val="18"/>
                <w:lang w:eastAsia="nl-NL"/>
              </w:rPr>
              <w:t>.</w:t>
            </w:r>
          </w:p>
        </w:tc>
      </w:tr>
    </w:tbl>
    <w:p w:rsidR="00A745A4" w:rsidP="00342D88" w:rsidRDefault="00A745A4">
      <w:pPr>
        <w:spacing w:after="0"/>
        <w:rPr>
          <w:rFonts w:ascii="Verdana" w:hAnsi="Verdana"/>
          <w:sz w:val="18"/>
          <w:szCs w:val="18"/>
        </w:rPr>
      </w:pPr>
    </w:p>
    <w:p w:rsidRPr="00455954" w:rsidR="00A745A4" w:rsidP="00342D88" w:rsidRDefault="00A745A4">
      <w:pPr>
        <w:spacing w:after="0"/>
        <w:rPr>
          <w:rFonts w:ascii="Verdana" w:hAnsi="Verdana"/>
          <w:b/>
          <w:sz w:val="18"/>
          <w:szCs w:val="18"/>
        </w:rPr>
      </w:pPr>
      <w:r w:rsidRPr="00455954">
        <w:rPr>
          <w:rFonts w:ascii="Verdana" w:hAnsi="Verdana"/>
          <w:b/>
          <w:sz w:val="18"/>
          <w:szCs w:val="18"/>
        </w:rPr>
        <w:t>Wordt bij AMVB geregeld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15"/>
        <w:gridCol w:w="4110"/>
        <w:gridCol w:w="1487"/>
      </w:tblGrid>
      <w:tr w:rsidRPr="002649B5" w:rsidR="00A745A4" w:rsidTr="00A745A4">
        <w:trPr>
          <w:trHeight w:val="20"/>
        </w:trPr>
        <w:tc>
          <w:tcPr>
            <w:tcW w:w="1962"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Titel</w:t>
            </w:r>
            <w:r w:rsidRPr="00A745A4">
              <w:rPr>
                <w:rFonts w:eastAsia="Times New Roman" w:cs="Arial"/>
                <w:b/>
                <w:color w:val="000000"/>
                <w:sz w:val="18"/>
                <w:szCs w:val="18"/>
                <w:lang w:eastAsia="nl-NL"/>
              </w:rPr>
              <w:t xml:space="preserve"> van </w:t>
            </w:r>
            <w:r w:rsidR="00455954">
              <w:rPr>
                <w:rFonts w:eastAsia="Times New Roman" w:cs="Arial"/>
                <w:b/>
                <w:color w:val="000000"/>
                <w:sz w:val="18"/>
                <w:szCs w:val="18"/>
                <w:lang w:eastAsia="nl-NL"/>
              </w:rPr>
              <w:t>de AMBV</w:t>
            </w:r>
          </w:p>
        </w:tc>
        <w:tc>
          <w:tcPr>
            <w:tcW w:w="2231" w:type="pct"/>
            <w:shd w:val="clear" w:color="auto" w:fill="A6A6A6" w:themeFill="background1" w:themeFillShade="A6"/>
            <w:hideMark/>
          </w:tcPr>
          <w:p w:rsidRPr="002649B5" w:rsidR="00A745A4" w:rsidP="00342D88" w:rsidRDefault="00A745A4">
            <w:pPr>
              <w:spacing w:after="0" w:line="240" w:lineRule="auto"/>
              <w:rPr>
                <w:rFonts w:eastAsia="Times New Roman" w:cs="Arial"/>
                <w:b/>
                <w:color w:val="000000"/>
                <w:sz w:val="18"/>
                <w:szCs w:val="18"/>
                <w:lang w:eastAsia="nl-NL"/>
              </w:rPr>
            </w:pPr>
            <w:r w:rsidRPr="002649B5">
              <w:rPr>
                <w:rFonts w:eastAsia="Times New Roman" w:cs="Arial"/>
                <w:b/>
                <w:color w:val="000000"/>
                <w:sz w:val="18"/>
                <w:szCs w:val="18"/>
                <w:lang w:eastAsia="nl-NL"/>
              </w:rPr>
              <w:t>Inhoud</w:t>
            </w:r>
            <w:r w:rsidRPr="00A745A4">
              <w:rPr>
                <w:rFonts w:eastAsia="Times New Roman" w:cs="Arial"/>
                <w:b/>
                <w:color w:val="000000"/>
                <w:sz w:val="18"/>
                <w:szCs w:val="18"/>
                <w:lang w:eastAsia="nl-NL"/>
              </w:rPr>
              <w:t xml:space="preserve"> van de </w:t>
            </w:r>
            <w:r w:rsidR="00455954">
              <w:rPr>
                <w:rFonts w:eastAsia="Times New Roman" w:cs="Arial"/>
                <w:b/>
                <w:color w:val="000000"/>
                <w:sz w:val="18"/>
                <w:szCs w:val="18"/>
                <w:lang w:eastAsia="nl-NL"/>
              </w:rPr>
              <w:t>AMVB</w:t>
            </w:r>
          </w:p>
        </w:tc>
        <w:tc>
          <w:tcPr>
            <w:tcW w:w="807" w:type="pct"/>
            <w:shd w:val="clear" w:color="auto" w:fill="A6A6A6" w:themeFill="background1" w:themeFillShade="A6"/>
            <w:vAlign w:val="bottom"/>
            <w:hideMark/>
          </w:tcPr>
          <w:p w:rsidRPr="002649B5" w:rsidR="00A745A4" w:rsidP="00342D88" w:rsidRDefault="00A745A4">
            <w:pPr>
              <w:spacing w:after="0" w:line="240" w:lineRule="auto"/>
              <w:rPr>
                <w:rFonts w:eastAsia="Times New Roman" w:cs="Arial"/>
                <w:b/>
                <w:color w:val="000000"/>
                <w:sz w:val="18"/>
                <w:szCs w:val="18"/>
                <w:lang w:eastAsia="nl-NL"/>
              </w:rPr>
            </w:pPr>
            <w:r w:rsidRPr="00A745A4">
              <w:rPr>
                <w:rFonts w:eastAsia="Times New Roman" w:cs="Arial"/>
                <w:b/>
                <w:color w:val="000000"/>
                <w:sz w:val="18"/>
                <w:szCs w:val="18"/>
                <w:lang w:eastAsia="nl-NL"/>
              </w:rPr>
              <w:t>Beoogde i</w:t>
            </w:r>
            <w:r w:rsidRPr="002649B5">
              <w:rPr>
                <w:rFonts w:eastAsia="Times New Roman" w:cs="Arial"/>
                <w:b/>
                <w:color w:val="000000"/>
                <w:sz w:val="18"/>
                <w:szCs w:val="18"/>
                <w:lang w:eastAsia="nl-NL"/>
              </w:rPr>
              <w:t>nvoeringsdatum</w:t>
            </w:r>
            <w:r w:rsidRPr="00A745A4">
              <w:rPr>
                <w:rFonts w:eastAsia="Times New Roman" w:cs="Arial"/>
                <w:b/>
                <w:color w:val="000000"/>
                <w:sz w:val="18"/>
                <w:szCs w:val="18"/>
                <w:lang w:eastAsia="nl-NL"/>
              </w:rPr>
              <w:t xml:space="preserve"> van de </w:t>
            </w:r>
            <w:r w:rsidR="00455954">
              <w:rPr>
                <w:rFonts w:eastAsia="Times New Roman" w:cs="Arial"/>
                <w:b/>
                <w:color w:val="000000"/>
                <w:sz w:val="18"/>
                <w:szCs w:val="18"/>
                <w:lang w:eastAsia="nl-NL"/>
              </w:rPr>
              <w:t>AMVB</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het Besluit zorgverzekering in verband met stringent pakketbeheer en overige jaarlijkse wijzigingen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Stringent pakketbeheer. (RA2012, punt 33 en 37). Bezuininging 50 mln (2016) tot 200 mln (2017).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Wijziging van het Bijdragebesluit zorg ivm verhoging intramurale eigen bijdrage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Verhoging intramurale eb.(RA2012, punt 51). Bezuiniging 30 mln (2013) tot 50 mln (2016).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1-1-2014 </w:t>
            </w:r>
          </w:p>
        </w:tc>
      </w:tr>
      <w:tr w:rsidRPr="002649B5" w:rsidR="00A745A4" w:rsidTr="00A745A4">
        <w:trPr>
          <w:trHeight w:val="20"/>
        </w:trPr>
        <w:tc>
          <w:tcPr>
            <w:tcW w:w="1962"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xml:space="preserve">Wijziging van het Besluit zorgverzekering in verband met afschaffing ex-postverevening </w:t>
            </w:r>
            <w:r w:rsidR="00285769">
              <w:rPr>
                <w:rFonts w:eastAsia="Times New Roman" w:cs="Arial"/>
                <w:color w:val="000000"/>
                <w:sz w:val="18"/>
                <w:szCs w:val="18"/>
                <w:lang w:eastAsia="nl-NL"/>
              </w:rPr>
              <w:t>Somatische 2</w:t>
            </w:r>
            <w:r w:rsidRPr="00285769" w:rsidR="00285769">
              <w:rPr>
                <w:rFonts w:eastAsia="Times New Roman" w:cs="Arial"/>
                <w:color w:val="000000"/>
                <w:sz w:val="18"/>
                <w:szCs w:val="18"/>
                <w:vertAlign w:val="superscript"/>
                <w:lang w:eastAsia="nl-NL"/>
              </w:rPr>
              <w:t>e</w:t>
            </w:r>
            <w:r w:rsidR="00285769">
              <w:rPr>
                <w:rFonts w:eastAsia="Times New Roman" w:cs="Arial"/>
                <w:color w:val="000000"/>
                <w:sz w:val="18"/>
                <w:szCs w:val="18"/>
                <w:lang w:eastAsia="nl-NL"/>
              </w:rPr>
              <w:t xml:space="preserve"> lijn </w:t>
            </w:r>
            <w:r w:rsidRPr="002649B5">
              <w:rPr>
                <w:rFonts w:eastAsia="Times New Roman" w:cs="Arial"/>
                <w:color w:val="000000"/>
                <w:sz w:val="18"/>
                <w:szCs w:val="18"/>
                <w:lang w:eastAsia="nl-NL"/>
              </w:rPr>
              <w:t>van</w:t>
            </w:r>
            <w:r w:rsidR="00D06EAA">
              <w:rPr>
                <w:rFonts w:eastAsia="Times New Roman" w:cs="Arial"/>
                <w:color w:val="000000"/>
                <w:sz w:val="18"/>
                <w:szCs w:val="18"/>
                <w:lang w:eastAsia="nl-NL"/>
              </w:rPr>
              <w:t>af</w:t>
            </w:r>
            <w:r w:rsidRPr="002649B5">
              <w:rPr>
                <w:rFonts w:eastAsia="Times New Roman" w:cs="Arial"/>
                <w:color w:val="000000"/>
                <w:sz w:val="18"/>
                <w:szCs w:val="18"/>
                <w:lang w:eastAsia="nl-NL"/>
              </w:rPr>
              <w:t xml:space="preserve"> 2015 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xml:space="preserve">Zorg dichtbij/kwaliteit/aanspraken. Afschaffen ex-post verevening </w:t>
            </w:r>
            <w:r w:rsidR="00285769">
              <w:rPr>
                <w:rFonts w:eastAsia="Times New Roman" w:cs="Arial"/>
                <w:color w:val="000000"/>
                <w:sz w:val="18"/>
                <w:szCs w:val="18"/>
                <w:lang w:eastAsia="nl-NL"/>
              </w:rPr>
              <w:t>Somatische 2</w:t>
            </w:r>
            <w:r w:rsidRPr="00285769" w:rsidR="00285769">
              <w:rPr>
                <w:rFonts w:eastAsia="Times New Roman" w:cs="Arial"/>
                <w:color w:val="000000"/>
                <w:sz w:val="18"/>
                <w:szCs w:val="18"/>
                <w:vertAlign w:val="superscript"/>
                <w:lang w:eastAsia="nl-NL"/>
              </w:rPr>
              <w:t>e</w:t>
            </w:r>
            <w:r w:rsidR="00285769">
              <w:rPr>
                <w:rFonts w:eastAsia="Times New Roman" w:cs="Arial"/>
                <w:color w:val="000000"/>
                <w:sz w:val="18"/>
                <w:szCs w:val="18"/>
                <w:lang w:eastAsia="nl-NL"/>
              </w:rPr>
              <w:t xml:space="preserve"> lijn </w:t>
            </w:r>
            <w:r w:rsidRPr="002649B5">
              <w:rPr>
                <w:rFonts w:eastAsia="Times New Roman" w:cs="Arial"/>
                <w:color w:val="000000"/>
                <w:sz w:val="18"/>
                <w:szCs w:val="18"/>
                <w:lang w:eastAsia="nl-NL"/>
              </w:rPr>
              <w:t>vanaf 2015. (RA2012, punt 33).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r w:rsidRPr="002649B5" w:rsidR="00A745A4" w:rsidTr="00A745A4">
        <w:trPr>
          <w:trHeight w:val="20"/>
        </w:trPr>
        <w:tc>
          <w:tcPr>
            <w:tcW w:w="1962" w:type="pct"/>
            <w:shd w:val="clear" w:color="auto" w:fill="auto"/>
            <w:hideMark/>
          </w:tcPr>
          <w:p w:rsidRPr="002649B5" w:rsidR="00A745A4" w:rsidP="00471430"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 xml:space="preserve">Wijziging van het Besluit zorgverzekering, het Besluit zorgaanspraken AWBZ en het Zorgindicatiebesluit ivm </w:t>
            </w:r>
            <w:r w:rsidR="00471430">
              <w:rPr>
                <w:rFonts w:eastAsia="Times New Roman" w:cs="Arial"/>
                <w:color w:val="000000"/>
                <w:sz w:val="18"/>
                <w:szCs w:val="18"/>
                <w:lang w:eastAsia="nl-NL"/>
              </w:rPr>
              <w:t>herschikking aanspraken AWBZ/Z</w:t>
            </w:r>
            <w:r w:rsidRPr="002649B5">
              <w:rPr>
                <w:rFonts w:eastAsia="Times New Roman" w:cs="Arial"/>
                <w:color w:val="000000"/>
                <w:sz w:val="18"/>
                <w:szCs w:val="18"/>
                <w:lang w:eastAsia="nl-NL"/>
              </w:rPr>
              <w:t>vw </w:t>
            </w:r>
          </w:p>
        </w:tc>
        <w:tc>
          <w:tcPr>
            <w:tcW w:w="2231"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Zorg dichtbij/kwaliteit/aan-spraken. Overheveling extramurale verpleging naar Zvw.(RA2012, punt 48 en 49) </w:t>
            </w:r>
          </w:p>
        </w:tc>
        <w:tc>
          <w:tcPr>
            <w:tcW w:w="807" w:type="pct"/>
            <w:shd w:val="clear" w:color="auto" w:fill="auto"/>
            <w:hideMark/>
          </w:tcPr>
          <w:p w:rsidRPr="002649B5" w:rsidR="00A745A4" w:rsidP="00342D88" w:rsidRDefault="00A745A4">
            <w:pPr>
              <w:spacing w:after="0" w:line="240" w:lineRule="auto"/>
              <w:rPr>
                <w:rFonts w:eastAsia="Times New Roman" w:cs="Arial"/>
                <w:color w:val="000000"/>
                <w:sz w:val="18"/>
                <w:szCs w:val="18"/>
                <w:lang w:eastAsia="nl-NL"/>
              </w:rPr>
            </w:pPr>
            <w:r w:rsidRPr="002649B5">
              <w:rPr>
                <w:rFonts w:eastAsia="Times New Roman" w:cs="Arial"/>
                <w:color w:val="000000"/>
                <w:sz w:val="18"/>
                <w:szCs w:val="18"/>
                <w:lang w:eastAsia="nl-NL"/>
              </w:rPr>
              <w:t>1-1-2015 </w:t>
            </w:r>
          </w:p>
        </w:tc>
      </w:tr>
    </w:tbl>
    <w:p w:rsidRPr="00F22CDC" w:rsidR="00A745A4" w:rsidP="00342D88" w:rsidRDefault="00A745A4">
      <w:pPr>
        <w:spacing w:after="0"/>
        <w:rPr>
          <w:rFonts w:ascii="Verdana" w:hAnsi="Verdana"/>
          <w:sz w:val="18"/>
          <w:szCs w:val="18"/>
        </w:rPr>
      </w:pPr>
    </w:p>
    <w:sectPr w:rsidRPr="00F22CDC" w:rsidR="00A745A4"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745A4"/>
    <w:rsid w:val="00111C77"/>
    <w:rsid w:val="00126E21"/>
    <w:rsid w:val="00136A03"/>
    <w:rsid w:val="00173A2B"/>
    <w:rsid w:val="00177888"/>
    <w:rsid w:val="002333D1"/>
    <w:rsid w:val="00285769"/>
    <w:rsid w:val="002D5868"/>
    <w:rsid w:val="002E3611"/>
    <w:rsid w:val="00342D88"/>
    <w:rsid w:val="00370C43"/>
    <w:rsid w:val="00372A2A"/>
    <w:rsid w:val="00412617"/>
    <w:rsid w:val="004439D4"/>
    <w:rsid w:val="00455954"/>
    <w:rsid w:val="00464175"/>
    <w:rsid w:val="00471430"/>
    <w:rsid w:val="0053365A"/>
    <w:rsid w:val="0062736A"/>
    <w:rsid w:val="00660115"/>
    <w:rsid w:val="0066253D"/>
    <w:rsid w:val="006713C6"/>
    <w:rsid w:val="007C1613"/>
    <w:rsid w:val="00855B5A"/>
    <w:rsid w:val="009608AE"/>
    <w:rsid w:val="009907F9"/>
    <w:rsid w:val="009F2952"/>
    <w:rsid w:val="00A17C6E"/>
    <w:rsid w:val="00A33E0D"/>
    <w:rsid w:val="00A6034A"/>
    <w:rsid w:val="00A745A4"/>
    <w:rsid w:val="00AD08E4"/>
    <w:rsid w:val="00B43ABD"/>
    <w:rsid w:val="00BF31C9"/>
    <w:rsid w:val="00C03A54"/>
    <w:rsid w:val="00C41937"/>
    <w:rsid w:val="00D06EAA"/>
    <w:rsid w:val="00D613E3"/>
    <w:rsid w:val="00DE2E2E"/>
    <w:rsid w:val="00E3373D"/>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1296</ap:Words>
  <ap:Characters>7129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2013-03-22T15:47:00.0000000Z</lastPrinted>
  <dcterms:created xsi:type="dcterms:W3CDTF">2013-04-03T09:15:00.0000000Z</dcterms:created>
  <dcterms:modified xsi:type="dcterms:W3CDTF">2013-04-03T09:15:00.0000000Z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0x01010009310913158F2947B7009B9E40E3976B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