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FAF" w:rsidRDefault="00584FAF">
      <w:r>
        <w:rPr>
          <w:noProof/>
        </w:rPr>
        <w:pict>
          <v:shapetype id="_x0000_t202" coordsize="21600,21600" o:spt="202" path="m,l,21600r21600,l21600,xe">
            <v:stroke joinstyle="miter"/>
            <v:path gradientshapeok="t" o:connecttype="rect"/>
          </v:shapetype>
          <v:shape id="_x0000_s1031" style="position:absolute;margin-left:99.25pt;margin-top:802.3pt;width:165.5pt;height:27pt;z-index:251658752;mso-wrap-style:none;mso-position-horizontal-relative:page;mso-position-vertical-relative:page" stroked="f" type="#_x0000_t202">
            <v:textbox>
              <w:txbxContent>
                <w:p w:rsidRPr="00B71C66" w:rsidR="00584FAF" w:rsidP="00866B3B" w:rsidRDefault="00584FAF">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w:r>
      <w:r>
        <w:rPr>
          <w:noProof/>
        </w:rPr>
        <w:pict>
          <v:shape id="_x0000_s1030" style="position:absolute;margin-left:311.85pt;margin-top:19.85pt;width:270pt;height:16.4pt;z-index:251657728;mso-position-horizontal-relative:page;mso-position-vertical-relative:page" stroked="f" type="#_x0000_t202">
            <v:textbox style="mso-fit-shape-to-text:t">
              <w:txbxContent>
                <w:p w:rsidRPr="00A4487D" w:rsidR="00584FAF" w:rsidP="00866B3B" w:rsidRDefault="00584F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3739BE">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8"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p>
    <w:p w:rsidR="00CE31B8" w:rsidP="00584FAF" w:rsidRDefault="00584FAF">
      <w:pPr>
        <w:tabs>
          <w:tab w:val="left" w:pos="3685"/>
        </w:tabs>
      </w:pPr>
      <w:r>
        <w:t>No.W13.13.0022/III</w:t>
      </w:r>
      <w:r>
        <w:tab/>
        <w:t>'s-Gravenhage, 13 februari 2013</w:t>
      </w:r>
    </w:p>
    <w:p w:rsidR="00584FAF" w:rsidP="00584FAF" w:rsidRDefault="00584FAF">
      <w:pPr>
        <w:tabs>
          <w:tab w:val="left" w:pos="3685"/>
        </w:tabs>
      </w:pPr>
    </w:p>
    <w:p w:rsidRPr="00CE31B8" w:rsidR="00584FAF" w:rsidP="00584FAF" w:rsidRDefault="00584FAF">
      <w:pPr>
        <w:tabs>
          <w:tab w:val="left" w:pos="3685"/>
        </w:tabs>
      </w:pPr>
    </w:p>
    <w:p w:rsidR="00726EFC" w:rsidP="00D00919" w:rsidRDefault="00726EFC">
      <w:bookmarkStart w:name="starttekst" w:id="0"/>
      <w:bookmarkEnd w:id="0"/>
      <w:r>
        <w:t xml:space="preserve">Bij Kabinetsmissive van </w:t>
      </w:r>
      <w:r w:rsidR="00E1697B">
        <w:t>30 januari 2013</w:t>
      </w:r>
      <w:r>
        <w:t>, no.</w:t>
      </w:r>
      <w:r w:rsidR="00E1697B">
        <w:t>13.000153</w:t>
      </w:r>
      <w:r>
        <w:t xml:space="preserve">, heeft Uwe Majesteit, op voordracht van de Staatssecretaris van Volksgezondheid, Welzijn en Sport, bij de Afdeling advisering van de Raad van State ter overweging aanhangig gemaakt </w:t>
      </w:r>
      <w:r w:rsidR="00F1588C">
        <w:t>het v</w:t>
      </w:r>
      <w:r>
        <w:t>oorstel van wet houdende wijziging van de Tabakswet ter verhoging van de minimumleeftijd van 16 jaar naar 18 jaar van personen aan wie tabaksproducten mogen worden verkocht (Verhoging minimumleeftijd verkoop tabaksproducten), met memorie van toelichting.</w:t>
      </w:r>
    </w:p>
    <w:p w:rsidR="00726EFC" w:rsidP="00D00919" w:rsidRDefault="00726EFC"/>
    <w:p w:rsidR="00C50D4F" w:rsidRDefault="00153CDA">
      <w:r>
        <w:t>Het voorstel strekt ertoe de minimumleeftijd van per</w:t>
      </w:r>
      <w:r w:rsidR="00615A65">
        <w:t>sonen aan wie tabaksproducten mo</w:t>
      </w:r>
      <w:r>
        <w:t>g</w:t>
      </w:r>
      <w:r w:rsidR="00615A65">
        <w:t>en</w:t>
      </w:r>
      <w:r>
        <w:t xml:space="preserve"> worden verkocht te verhogen van 16 naar 18 jaar. De Afdeling advisering van de Raad van State onderschrijft het wetsvoorstel, maar maakt daarbij de volgende kanttekening</w:t>
      </w:r>
      <w:r w:rsidR="00884CBC">
        <w:t>en</w:t>
      </w:r>
      <w:r w:rsidR="00023398">
        <w:t xml:space="preserve"> met betrekking tot </w:t>
      </w:r>
      <w:r>
        <w:t>de handhaving</w:t>
      </w:r>
      <w:r w:rsidR="00884CBC">
        <w:t xml:space="preserve"> </w:t>
      </w:r>
      <w:r w:rsidR="00C10275">
        <w:t>van de leeftijdsgrens</w:t>
      </w:r>
      <w:r>
        <w:t>.</w:t>
      </w:r>
    </w:p>
    <w:p w:rsidR="001564EC" w:rsidP="00153CDA" w:rsidRDefault="001564EC"/>
    <w:p w:rsidR="001564EC" w:rsidP="00153CDA" w:rsidRDefault="00B20A7D">
      <w:r>
        <w:t>De</w:t>
      </w:r>
      <w:r w:rsidR="00153CDA">
        <w:t xml:space="preserve"> toelichting </w:t>
      </w:r>
      <w:r>
        <w:t xml:space="preserve">is erg kort over de handhaving van de nieuwe leeftijdgrens. Op dit punt </w:t>
      </w:r>
      <w:r w:rsidR="00153CDA">
        <w:t xml:space="preserve">wordt </w:t>
      </w:r>
      <w:r>
        <w:t>slechts</w:t>
      </w:r>
      <w:r w:rsidR="00153CDA">
        <w:t xml:space="preserve"> opgemerkt dat er </w:t>
      </w:r>
      <w:r w:rsidR="00023398">
        <w:t>‘</w:t>
      </w:r>
      <w:r w:rsidR="00153CDA">
        <w:t>hoegenaamd geen gevolgen</w:t>
      </w:r>
      <w:r w:rsidR="00023398">
        <w:t>’</w:t>
      </w:r>
      <w:r w:rsidR="00153CDA">
        <w:t xml:space="preserve"> zijn. ‘De toezichthouder </w:t>
      </w:r>
      <w:r w:rsidR="006E5FE0">
        <w:t>[..]</w:t>
      </w:r>
      <w:r w:rsidR="00153CDA">
        <w:t xml:space="preserve"> houdt nu ook al toezicht op de naleving van de thans bestaande leeftijdsgrens van 16 jaar. Daarin komt principieel geen wijziging door de verhoging van de leeftijd naar 18 jaar. Overigens is het zo dat niet veel jongeren beneden de huidige leeftijdgrens van 16 jaar een poging doen tabak te kopen. Uit de VWA Monitor Tabaksverstrekking jongeren uit 2009 blijkt dat van de jongeren beneden de 16 jaar die proberen tabaksproducten te kopen 9% daarin slaagt. Het aantal geconstateerde overtredingen is gering. In 2011 heeft de NVWA 18 boete-rapporten en 3 schriftelijke waarschuwingen opgemaakt.’</w:t>
      </w:r>
      <w:r w:rsidR="001564EC">
        <w:rPr>
          <w:rStyle w:val="Voetnootmarkering"/>
        </w:rPr>
        <w:footnoteReference w:id="1"/>
      </w:r>
      <w:r w:rsidR="00153CDA">
        <w:t xml:space="preserve"> </w:t>
      </w:r>
    </w:p>
    <w:p w:rsidR="00B20A7D" w:rsidP="00153CDA" w:rsidRDefault="00B20A7D"/>
    <w:p w:rsidR="00153CDA" w:rsidP="00153CDA" w:rsidRDefault="00153CDA">
      <w:r>
        <w:t xml:space="preserve">De Afdeling merkt op dat </w:t>
      </w:r>
      <w:r w:rsidR="00B20A7D">
        <w:t xml:space="preserve">aldus </w:t>
      </w:r>
      <w:r>
        <w:t>in de toelichting de suggestie wordt gewekt dat thans in</w:t>
      </w:r>
      <w:r w:rsidR="0002085D">
        <w:t xml:space="preserve"> de </w:t>
      </w:r>
      <w:r w:rsidR="00077D8F">
        <w:t xml:space="preserve">overgrote </w:t>
      </w:r>
      <w:r>
        <w:t xml:space="preserve">meerderheid van de gevallen sprake is van spontane naleving van de wettelijke leeftijdgrens door verstrekkers van tabaksproducten. </w:t>
      </w:r>
      <w:r w:rsidR="00B20A7D">
        <w:t>Zij</w:t>
      </w:r>
      <w:r>
        <w:t xml:space="preserve"> meent </w:t>
      </w:r>
      <w:r w:rsidR="00B20A7D">
        <w:t xml:space="preserve">echter </w:t>
      </w:r>
      <w:r>
        <w:t xml:space="preserve">dat dit niet </w:t>
      </w:r>
      <w:r w:rsidR="00D56314">
        <w:t xml:space="preserve">zonder meer </w:t>
      </w:r>
      <w:r>
        <w:t xml:space="preserve">volgt uit de in de toelichting genoemde </w:t>
      </w:r>
      <w:r w:rsidRPr="00153CDA">
        <w:t>VWA Monitor Tabaksverstrekking jongeren uit 2009</w:t>
      </w:r>
      <w:r>
        <w:t xml:space="preserve"> (de Monitor). In de</w:t>
      </w:r>
      <w:r w:rsidR="00B20A7D">
        <w:t>ze</w:t>
      </w:r>
      <w:r>
        <w:t xml:space="preserve"> Monitor wordt </w:t>
      </w:r>
      <w:r w:rsidR="00B20A7D">
        <w:t xml:space="preserve">namelijk </w:t>
      </w:r>
      <w:r w:rsidR="00615A65">
        <w:t xml:space="preserve">over de slaagkans </w:t>
      </w:r>
      <w:r>
        <w:t>het volgende opgemerkt: ‘de slaagkans, oftewel de kans dat een jongere onder de 16 jaar er in slaagt om tabaksproducten te kopen, blijkt zowel in 2009 als in de voorgaande metingen hoog te liggen. Voor alle categorieën tabaksverstrekkers geldt dat de kans van slagen ligt tussen de 93%-100% in 2009. Bij zowel de tabaksspeciaalzaken als bij de pompstations is de slaagkans ten opzichte van 1999 gestegen. Het naleefniveau bij deze tabaksverstrekkers is dus gedaald.’</w:t>
      </w:r>
      <w:r>
        <w:rPr>
          <w:rStyle w:val="Voetnootmarkering"/>
        </w:rPr>
        <w:footnoteReference w:id="2"/>
      </w:r>
      <w:r w:rsidR="00615A65">
        <w:t xml:space="preserve">  </w:t>
      </w:r>
      <w:r w:rsidR="006E5FE0">
        <w:t xml:space="preserve">In de Monitor wordt wel opgemerkt dat er sprake </w:t>
      </w:r>
      <w:r w:rsidR="001564EC">
        <w:t xml:space="preserve">is </w:t>
      </w:r>
      <w:r w:rsidR="006E5FE0">
        <w:t>‘van een dalende trend in het percentage van jongeren dat probeert tabaksproducten te kopen voor zichzelf of voor anderen en daarin vervolgens ook slaagt. In 2009 ligt dit percentage op 9%, terwijl het in 1999 nog 24% bedroeg. De daling van de koopindex wordt echter met name veroorzaakt door een gedragsverandering van de jongeren; zij doen steeds minder pogingen om tabaksproducten te kopen. Degenen die een poging doen, krijgen de tabaksproducten bij</w:t>
      </w:r>
      <w:r w:rsidR="00B20A7D">
        <w:t>na</w:t>
      </w:r>
      <w:r w:rsidR="006E5FE0">
        <w:t xml:space="preserve"> altijd mee.’</w:t>
      </w:r>
      <w:r w:rsidR="006E5FE0">
        <w:rPr>
          <w:rStyle w:val="Voetnootmarkering"/>
        </w:rPr>
        <w:footnoteReference w:id="3"/>
      </w:r>
    </w:p>
    <w:p w:rsidR="001564EC" w:rsidP="00153CDA" w:rsidRDefault="001564EC"/>
    <w:p w:rsidR="00077D8F" w:rsidP="00077D8F" w:rsidRDefault="001564EC">
      <w:r>
        <w:lastRenderedPageBreak/>
        <w:t xml:space="preserve">Nu de Monitor </w:t>
      </w:r>
      <w:r w:rsidR="00B20A7D">
        <w:t xml:space="preserve">aanwijzingen bevat </w:t>
      </w:r>
      <w:r>
        <w:t xml:space="preserve">van een </w:t>
      </w:r>
      <w:r w:rsidR="00B20A7D">
        <w:t xml:space="preserve">slechts </w:t>
      </w:r>
      <w:r>
        <w:t xml:space="preserve">zeer beperkte </w:t>
      </w:r>
      <w:r w:rsidR="00615A65">
        <w:t xml:space="preserve">spontane </w:t>
      </w:r>
      <w:r>
        <w:t xml:space="preserve">naleving van de huidige leeftijdsgrens van de zijde van de tabaksverstrekkers </w:t>
      </w:r>
      <w:r w:rsidR="00B20A7D">
        <w:t xml:space="preserve">in </w:t>
      </w:r>
      <w:r w:rsidR="00A2120B">
        <w:t>die</w:t>
      </w:r>
      <w:r w:rsidR="00B20A7D">
        <w:t xml:space="preserve"> gevallen waarin jongeren beneden de wettelijke leeftijdgrens pogen tabaksproducten te kopen, </w:t>
      </w:r>
      <w:r>
        <w:t xml:space="preserve">is de Afdeling van oordeel dat in de toelichting nader zou moeten worden ingegaan op de handhaving van </w:t>
      </w:r>
      <w:r w:rsidR="00615A65">
        <w:t xml:space="preserve">het beoogde verkoopverbod van tabak aan jongeren onder de </w:t>
      </w:r>
      <w:r w:rsidR="00B20A7D">
        <w:t xml:space="preserve">nieuwe leeftijdgrens van </w:t>
      </w:r>
      <w:r w:rsidR="00615A65">
        <w:t>18 jaar</w:t>
      </w:r>
      <w:r>
        <w:t>.</w:t>
      </w:r>
      <w:r w:rsidR="0002085D">
        <w:rPr>
          <w:rStyle w:val="Voetnootmarkering"/>
        </w:rPr>
        <w:footnoteReference w:id="4"/>
      </w:r>
      <w:r>
        <w:t xml:space="preserve"> De Afdeling </w:t>
      </w:r>
      <w:r w:rsidR="001859E0">
        <w:t>is er</w:t>
      </w:r>
      <w:r w:rsidR="00A2120B">
        <w:t xml:space="preserve"> niet op voorhand van overtuigd </w:t>
      </w:r>
      <w:r>
        <w:t xml:space="preserve">dat </w:t>
      </w:r>
      <w:r w:rsidR="00B20A7D">
        <w:t xml:space="preserve">aan </w:t>
      </w:r>
      <w:r>
        <w:t xml:space="preserve">de in de Monitor genoemde verklaring voor de daling van de koopindex, de </w:t>
      </w:r>
      <w:r w:rsidRPr="001564EC">
        <w:t>gedragsverandering van jongeren</w:t>
      </w:r>
      <w:r>
        <w:t xml:space="preserve">, hetzelfde gewicht toekomt indien een verkoopverbod ook jongeren </w:t>
      </w:r>
      <w:r w:rsidR="00246EA6">
        <w:t>in de leeftijd</w:t>
      </w:r>
      <w:r w:rsidR="00A2120B">
        <w:t>s</w:t>
      </w:r>
      <w:r w:rsidR="00246EA6">
        <w:t xml:space="preserve">fase van </w:t>
      </w:r>
      <w:r w:rsidR="00A2120B">
        <w:t>1</w:t>
      </w:r>
      <w:r>
        <w:t>6 en 17</w:t>
      </w:r>
      <w:r w:rsidR="00B20A7D">
        <w:t xml:space="preserve"> jaar</w:t>
      </w:r>
      <w:r>
        <w:t xml:space="preserve"> </w:t>
      </w:r>
      <w:r w:rsidR="001859E0">
        <w:t>betreft</w:t>
      </w:r>
      <w:r w:rsidR="00B20A7D">
        <w:t>.</w:t>
      </w:r>
      <w:r w:rsidR="00C10275">
        <w:t xml:space="preserve"> Uit cijfers van STIVORO blijkt dat van de jongeren in de leeftijd van 16 en 17 ja</w:t>
      </w:r>
      <w:r w:rsidR="00A23E0B">
        <w:t>ar</w:t>
      </w:r>
      <w:r w:rsidR="00C10275">
        <w:t xml:space="preserve"> bijna een kwart dagelijks rookt.</w:t>
      </w:r>
      <w:r w:rsidR="00C10275">
        <w:rPr>
          <w:rStyle w:val="Voetnootmarkering"/>
        </w:rPr>
        <w:footnoteReference w:id="5"/>
      </w:r>
      <w:r w:rsidR="00C10275">
        <w:t xml:space="preserve"> Voor jongeren onder de 16 zijn de percentages </w:t>
      </w:r>
      <w:r w:rsidR="00564F2E">
        <w:t xml:space="preserve">veel </w:t>
      </w:r>
      <w:r w:rsidR="00C10275">
        <w:t>lager.</w:t>
      </w:r>
      <w:r w:rsidR="00C10275">
        <w:rPr>
          <w:rStyle w:val="Voetnootmarkering"/>
        </w:rPr>
        <w:footnoteReference w:id="6"/>
      </w:r>
      <w:r w:rsidR="00564F2E">
        <w:t xml:space="preserve"> Waar </w:t>
      </w:r>
      <w:r w:rsidR="0002085D">
        <w:t xml:space="preserve">het verkoopverbod bij </w:t>
      </w:r>
      <w:r w:rsidR="00564F2E">
        <w:t>de huidige leeftijdgrens van 16 jaar</w:t>
      </w:r>
      <w:r w:rsidR="0002085D">
        <w:t xml:space="preserve"> </w:t>
      </w:r>
      <w:r w:rsidRPr="0002085D" w:rsidR="0002085D">
        <w:t>van de zijde van de tabaksverstrekkers</w:t>
      </w:r>
      <w:r w:rsidR="00564F2E">
        <w:t xml:space="preserve"> </w:t>
      </w:r>
      <w:r w:rsidR="00A23E0B">
        <w:t xml:space="preserve">al </w:t>
      </w:r>
      <w:r w:rsidR="00564F2E">
        <w:t>zeer beperkt lijkt te worden nageleefd</w:t>
      </w:r>
      <w:r w:rsidR="00A23E0B">
        <w:t>,</w:t>
      </w:r>
      <w:r w:rsidR="00564F2E">
        <w:t xml:space="preserve"> zal dit naar het oordeel van de Afdeling a fortiori gelden voor de verhoogde leeftijdsgrens gelet op het rookgedrag van 16 en 17-jarigen.</w:t>
      </w:r>
      <w:r w:rsidR="00A23E0B">
        <w:rPr>
          <w:rStyle w:val="Voetnootmarkering"/>
        </w:rPr>
        <w:footnoteReference w:id="7"/>
      </w:r>
      <w:r w:rsidR="00564F2E">
        <w:t xml:space="preserve"> </w:t>
      </w:r>
      <w:r w:rsidR="00077D8F">
        <w:t xml:space="preserve"> </w:t>
      </w:r>
    </w:p>
    <w:p w:rsidR="001564EC" w:rsidP="00153CDA" w:rsidRDefault="001564EC"/>
    <w:p w:rsidR="001564EC" w:rsidP="00153CDA" w:rsidRDefault="001564EC">
      <w:r>
        <w:t xml:space="preserve">De Afdeling adviseert de toelichting in het licht van het bovenstaande aan te vullen. </w:t>
      </w:r>
    </w:p>
    <w:p w:rsidR="001564EC" w:rsidP="00153CDA" w:rsidRDefault="001564EC"/>
    <w:p w:rsidR="00615A65" w:rsidRDefault="00615A65">
      <w:r>
        <w:t>De Afdeling advisering van de Raad van State geeft U in overweging het voorstel van wet te zenden aan de Tweede Kamer der Staten-Generaal, nadat aan het vorenstaande aandacht zal zijn geschonken.</w:t>
      </w:r>
    </w:p>
    <w:p w:rsidR="00615A65" w:rsidRDefault="00615A65"/>
    <w:p w:rsidR="00615A65" w:rsidRDefault="00615A65"/>
    <w:p w:rsidR="00615A65" w:rsidRDefault="00615A65">
      <w:r>
        <w:t xml:space="preserve">De </w:t>
      </w:r>
      <w:bookmarkStart w:name="bldSlotWaarneming" w:id="1"/>
      <w:bookmarkEnd w:id="1"/>
      <w:r>
        <w:t>vice-president van de Raad van State,</w:t>
      </w:r>
    </w:p>
    <w:p w:rsidR="001564EC" w:rsidP="00153CDA" w:rsidRDefault="001564EC">
      <w:r>
        <w:t xml:space="preserve"> </w:t>
      </w:r>
    </w:p>
    <w:sectPr w:rsidR="001564EC" w:rsidSect="00584FAF">
      <w:headerReference w:type="default" r:id="rId9"/>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B3B" w:rsidRDefault="00866B3B" w:rsidP="00726EFC">
      <w:r>
        <w:separator/>
      </w:r>
    </w:p>
  </w:endnote>
  <w:endnote w:type="continuationSeparator" w:id="0">
    <w:p w:rsidR="00866B3B" w:rsidRDefault="00866B3B" w:rsidP="00726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B3B" w:rsidRDefault="00866B3B" w:rsidP="00726EFC">
      <w:r>
        <w:separator/>
      </w:r>
    </w:p>
  </w:footnote>
  <w:footnote w:type="continuationSeparator" w:id="0">
    <w:p w:rsidR="00866B3B" w:rsidRDefault="00866B3B" w:rsidP="00726EFC">
      <w:r>
        <w:continuationSeparator/>
      </w:r>
    </w:p>
  </w:footnote>
  <w:footnote w:id="1">
    <w:p w:rsidR="00A2120B" w:rsidRDefault="00A2120B">
      <w:pPr>
        <w:pStyle w:val="Voetnoottekst"/>
      </w:pPr>
      <w:r>
        <w:rPr>
          <w:rStyle w:val="Voetnootmarkering"/>
        </w:rPr>
        <w:footnoteRef/>
      </w:r>
      <w:r>
        <w:rPr>
          <w:rStyle w:val="Voetnootmarkering"/>
        </w:rPr>
        <w:tab/>
      </w:r>
      <w:r>
        <w:t xml:space="preserve">Memorie van toelichting, paragraaf 3. </w:t>
      </w:r>
    </w:p>
  </w:footnote>
  <w:footnote w:id="2">
    <w:p w:rsidR="00A2120B" w:rsidRDefault="00A2120B">
      <w:pPr>
        <w:pStyle w:val="Voetnoottekst"/>
      </w:pPr>
      <w:r>
        <w:rPr>
          <w:rStyle w:val="Voetnootmarkering"/>
        </w:rPr>
        <w:footnoteRef/>
      </w:r>
      <w:r>
        <w:rPr>
          <w:rStyle w:val="Voetnootmarkering"/>
        </w:rPr>
        <w:tab/>
      </w:r>
      <w:r w:rsidRPr="00153CDA">
        <w:t>VWA Monitor Tabaksverstrekking jongeren</w:t>
      </w:r>
      <w:r>
        <w:t xml:space="preserve">, </w:t>
      </w:r>
      <w:r w:rsidR="00B525D1">
        <w:t>blz</w:t>
      </w:r>
      <w:r>
        <w:t xml:space="preserve">.19. </w:t>
      </w:r>
      <w:r w:rsidRPr="00153CDA">
        <w:t xml:space="preserve"> </w:t>
      </w:r>
    </w:p>
  </w:footnote>
  <w:footnote w:id="3">
    <w:p w:rsidR="00A2120B" w:rsidRDefault="00A2120B">
      <w:pPr>
        <w:pStyle w:val="Voetnoottekst"/>
      </w:pPr>
      <w:r>
        <w:rPr>
          <w:rStyle w:val="Voetnootmarkering"/>
        </w:rPr>
        <w:footnoteRef/>
      </w:r>
      <w:r>
        <w:rPr>
          <w:rStyle w:val="Voetnootmarkering"/>
        </w:rPr>
        <w:tab/>
      </w:r>
      <w:r>
        <w:t>VWA Monitor Tabaksverstrekking jongeren,</w:t>
      </w:r>
      <w:r w:rsidR="00B525D1">
        <w:t xml:space="preserve"> blz</w:t>
      </w:r>
      <w:r>
        <w:t xml:space="preserve">.20. </w:t>
      </w:r>
    </w:p>
  </w:footnote>
  <w:footnote w:id="4">
    <w:p w:rsidR="0002085D" w:rsidRDefault="0002085D">
      <w:pPr>
        <w:pStyle w:val="Voetnoottekst"/>
      </w:pPr>
      <w:r>
        <w:rPr>
          <w:rStyle w:val="Voetnootmarkering"/>
        </w:rPr>
        <w:footnoteRef/>
      </w:r>
      <w:r>
        <w:rPr>
          <w:rStyle w:val="Voetnootmarkering"/>
        </w:rPr>
        <w:tab/>
      </w:r>
      <w:r>
        <w:t xml:space="preserve">De Afdeling roept hierbij in herinnering dat handhavingsaspecten in het verleden voor de Tweede Kamer aanleiding zijn geweest om een verhoging van de leeftijdgrens voor tabak van 16 naar 18 jaar af te wijzen. Amendement Hermann/Van Vliet, Kamerstukken II 1999/00, 26 472, nr. 12. </w:t>
      </w:r>
    </w:p>
  </w:footnote>
  <w:footnote w:id="5">
    <w:p w:rsidR="00C10275" w:rsidRDefault="00C10275" w:rsidP="00C10275">
      <w:pPr>
        <w:pStyle w:val="Voetnoottekst"/>
      </w:pPr>
      <w:r>
        <w:rPr>
          <w:rStyle w:val="Voetnootmarkering"/>
        </w:rPr>
        <w:footnoteRef/>
      </w:r>
      <w:r>
        <w:rPr>
          <w:rStyle w:val="Voetnootmarkering"/>
        </w:rPr>
        <w:tab/>
      </w:r>
      <w:r>
        <w:t>Factsheet ‘Roken De harde feiten 2012’.</w:t>
      </w:r>
    </w:p>
  </w:footnote>
  <w:footnote w:id="6">
    <w:p w:rsidR="00C10275" w:rsidRDefault="00C10275">
      <w:pPr>
        <w:pStyle w:val="Voetnoottekst"/>
      </w:pPr>
      <w:r>
        <w:rPr>
          <w:rStyle w:val="Voetnootmarkering"/>
        </w:rPr>
        <w:footnoteRef/>
      </w:r>
      <w:r>
        <w:rPr>
          <w:rStyle w:val="Voetnootmarkering"/>
        </w:rPr>
        <w:tab/>
      </w:r>
      <w:r>
        <w:t xml:space="preserve">13% van de 15-jarigen, 7% van de 14-jarigen en 1% van de 13-jarigen rookt volgens het onderzoek van STIVORO dagelijks. </w:t>
      </w:r>
      <w:r w:rsidR="00A23E0B">
        <w:t>Zowel van de categorie 16- en 17-jarigen als van de jongeren onder de 16 jaar ligt h</w:t>
      </w:r>
      <w:r>
        <w:t xml:space="preserve">et percentage </w:t>
      </w:r>
      <w:r w:rsidR="00A23E0B">
        <w:t>van hen die</w:t>
      </w:r>
      <w:r>
        <w:t xml:space="preserve"> ‘regelmatig’ </w:t>
      </w:r>
      <w:r w:rsidR="00564F2E">
        <w:t>ro</w:t>
      </w:r>
      <w:r w:rsidR="00A23E0B">
        <w:t>ken</w:t>
      </w:r>
      <w:r w:rsidR="00564F2E">
        <w:t xml:space="preserve"> </w:t>
      </w:r>
      <w:r>
        <w:t xml:space="preserve">(in het onderzoek geformuleerd als ‘afgelopen 4 weken gerookt’) nog aanmerkelijk hoger: 36% van de 17-jarigen, 35% van de 16-jarigen, 25% van de 15-jarigen en 15% van de 14-jarigen.  </w:t>
      </w:r>
    </w:p>
  </w:footnote>
  <w:footnote w:id="7">
    <w:p w:rsidR="00A23E0B" w:rsidRDefault="00A23E0B">
      <w:pPr>
        <w:pStyle w:val="Voetnoottekst"/>
      </w:pPr>
      <w:r>
        <w:rPr>
          <w:rStyle w:val="Voetnootmarkering"/>
        </w:rPr>
        <w:footnoteRef/>
      </w:r>
      <w:r>
        <w:rPr>
          <w:rStyle w:val="Voetnootmarkering"/>
        </w:rPr>
        <w:tab/>
      </w:r>
      <w:r>
        <w:t>Dit nog daargelaten de afkickproblematiek bij hen die inmiddels al een vorm van nicotineverslaving opliepen.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20B" w:rsidRDefault="00A2120B">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739BE">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08"/>
  <w:hyphenationZone w:val="425"/>
  <w:characterSpacingControl w:val="doNotCompress"/>
  <w:hdrShapeDefaults>
    <o:shapedefaults v:ext="edit" spidmax="3074"/>
  </w:hdrShapeDefaults>
  <w:footnotePr>
    <w:footnote w:id="-1"/>
    <w:footnote w:id="0"/>
  </w:footnotePr>
  <w:endnotePr>
    <w:endnote w:id="-1"/>
    <w:endnote w:id="0"/>
  </w:endnotePr>
  <w:compat/>
  <w:docVars>
    <w:docVar w:name="XML1" w:val="&lt;?xml version=&quot;1.0&quot;?&gt;_x000D__x000A_&lt;Advies&gt;&lt;Afdeling&gt;III&lt;/Afdeling&gt;&lt;Afdoening&gt;W&lt;/Afdoening&gt;&lt;Betreft&gt;Voorstel van wet houdende wijziging van de Tabakswet ter verhoging van de minimumleeftijd van 16 jaar naar 18 jaar van personen aan wie tabaksproducten mogen worden verkocht (Verhoging minimumleeftijd verkoop tabaksproducten).&lt;/Betreft&gt;&lt;Datum&gt;29 januari 2013&lt;/Datum&gt;&lt;Inzake&gt;Wetsvoorstel&lt;/Inzake&gt;&lt;Kabinetmissivebetreft&gt;Voorstel van wet houdende wijziging van de Tabakswet ter verhoging van de minimumleeftijd van 16 jaar naar 18 jaar van personen aan wie tabaksproducten mogen worden verkocht (Verhoging minimumleeftijd verkoop tabaksproducten)&lt;/Kabinetmissivebetreft&gt;&lt;Kabinetmissivedatum&gt;XXXXX&lt;/Kabinetmissivedatum&gt;&lt;Kabinetmissivenummer&gt;XXXXX&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 W13.13.0022&lt;/Naambestand&gt;&lt;Waarneminguitgevraagd&gt;Waar&lt;/Waarneminguitgevraagd&gt;&lt;Zaaknummer&gt;W13.13.0022&lt;/Zaaknummer&gt;&lt;Auteurs&gt;&lt;Auteur&gt;&lt;id&gt;jur021&lt;/id&gt;&lt;/Auteur&gt;&lt;/Auteurs&gt;&lt;Meelezers/&gt;&lt;Rapporteurs&gt;&lt;Rapporteur&gt;&lt;id&gt;str05&lt;/id&gt;&lt;woordvoerder&gt;&lt;/woordvoerder&gt;&lt;/Rapporteur&gt;&lt;/Rapporteurs&gt;&lt;Ministerie&gt;&lt;id&gt;13&lt;/id&gt;&lt;Afdeling&gt;III&lt;/Afdeling&gt;&lt;Afkorting&gt;VWS&lt;/Afkorting&gt;&lt;Naam&gt;Volksgezondheid, Welzijn en Sport&lt;/Naam&gt;&lt;Plaats&gt;2500 EJ  DEN HAAG&lt;/Plaats&gt;&lt;Postadres&gt;Postbus 20350&lt;/Postadres&gt;&lt;/Ministerie&gt;&lt;Personen&gt;&lt;Persoon&gt;&lt;id&gt;jur021&lt;/id&gt;&lt;Achternaam&gt;Sanden&lt;/Achternaam&gt;&lt;/Persoon&gt;&lt;Persoon&gt;&lt;id&gt;str05&lt;/id&gt;&lt;Achternaam&gt;Oosting&lt;/Achternaam&gt;&lt;/Persoon&gt;&lt;/Personen&gt;&lt;/Advies&gt;_x000D__x000A_"/>
  </w:docVars>
  <w:rsids>
    <w:rsidRoot w:val="00C50D4F"/>
    <w:rsid w:val="000014AC"/>
    <w:rsid w:val="0002085D"/>
    <w:rsid w:val="00023398"/>
    <w:rsid w:val="00027E12"/>
    <w:rsid w:val="0004042E"/>
    <w:rsid w:val="00077D8F"/>
    <w:rsid w:val="000F2073"/>
    <w:rsid w:val="00153CDA"/>
    <w:rsid w:val="001564EC"/>
    <w:rsid w:val="00156F0B"/>
    <w:rsid w:val="001818CE"/>
    <w:rsid w:val="001859E0"/>
    <w:rsid w:val="00216272"/>
    <w:rsid w:val="00246EA6"/>
    <w:rsid w:val="002A32FA"/>
    <w:rsid w:val="002B6CAD"/>
    <w:rsid w:val="002E2D1C"/>
    <w:rsid w:val="00302C1A"/>
    <w:rsid w:val="00306A9E"/>
    <w:rsid w:val="003739BE"/>
    <w:rsid w:val="003F62D0"/>
    <w:rsid w:val="004233B7"/>
    <w:rsid w:val="00441778"/>
    <w:rsid w:val="00461490"/>
    <w:rsid w:val="00462823"/>
    <w:rsid w:val="00471E22"/>
    <w:rsid w:val="004D1BF7"/>
    <w:rsid w:val="004E5A6A"/>
    <w:rsid w:val="00510547"/>
    <w:rsid w:val="00511082"/>
    <w:rsid w:val="00564F2E"/>
    <w:rsid w:val="00576BEA"/>
    <w:rsid w:val="00584FAF"/>
    <w:rsid w:val="005A15FF"/>
    <w:rsid w:val="005C1FB5"/>
    <w:rsid w:val="005D6B88"/>
    <w:rsid w:val="00615A65"/>
    <w:rsid w:val="006239A6"/>
    <w:rsid w:val="00697089"/>
    <w:rsid w:val="006E5FE0"/>
    <w:rsid w:val="00720C34"/>
    <w:rsid w:val="00724423"/>
    <w:rsid w:val="00726EFC"/>
    <w:rsid w:val="0079431A"/>
    <w:rsid w:val="007E7932"/>
    <w:rsid w:val="00866B3B"/>
    <w:rsid w:val="008824B2"/>
    <w:rsid w:val="00884CBC"/>
    <w:rsid w:val="008D7ECE"/>
    <w:rsid w:val="00951E95"/>
    <w:rsid w:val="00972317"/>
    <w:rsid w:val="009741F2"/>
    <w:rsid w:val="009812F0"/>
    <w:rsid w:val="009D4CBB"/>
    <w:rsid w:val="009E72D2"/>
    <w:rsid w:val="009F24D3"/>
    <w:rsid w:val="00A2120B"/>
    <w:rsid w:val="00A237B0"/>
    <w:rsid w:val="00A23E0B"/>
    <w:rsid w:val="00A82948"/>
    <w:rsid w:val="00B20A7D"/>
    <w:rsid w:val="00B24FED"/>
    <w:rsid w:val="00B44034"/>
    <w:rsid w:val="00B525D1"/>
    <w:rsid w:val="00BC7FC9"/>
    <w:rsid w:val="00C0285D"/>
    <w:rsid w:val="00C10275"/>
    <w:rsid w:val="00C27E20"/>
    <w:rsid w:val="00C437A1"/>
    <w:rsid w:val="00C5066A"/>
    <w:rsid w:val="00C50D4F"/>
    <w:rsid w:val="00C56B0C"/>
    <w:rsid w:val="00C92F86"/>
    <w:rsid w:val="00C94D31"/>
    <w:rsid w:val="00C965B5"/>
    <w:rsid w:val="00CE31B8"/>
    <w:rsid w:val="00D00919"/>
    <w:rsid w:val="00D06EB9"/>
    <w:rsid w:val="00D56314"/>
    <w:rsid w:val="00DE5CF5"/>
    <w:rsid w:val="00E11FE0"/>
    <w:rsid w:val="00E1697B"/>
    <w:rsid w:val="00E37D3C"/>
    <w:rsid w:val="00E51BBC"/>
    <w:rsid w:val="00E57149"/>
    <w:rsid w:val="00EB1983"/>
    <w:rsid w:val="00F1588C"/>
    <w:rsid w:val="00F3773D"/>
    <w:rsid w:val="00F536BD"/>
    <w:rsid w:val="00F85BAC"/>
    <w:rsid w:val="00FC6C5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Regelnummer">
    <w:name w:val="line number"/>
    <w:rsid w:val="00726EFC"/>
  </w:style>
  <w:style w:type="paragraph" w:styleId="Voetnoottekst">
    <w:name w:val="footnote text"/>
    <w:basedOn w:val="Standaard"/>
    <w:link w:val="VoetnoottekstChar"/>
    <w:rsid w:val="00726EFC"/>
    <w:pPr>
      <w:tabs>
        <w:tab w:val="left" w:pos="227"/>
      </w:tabs>
      <w:ind w:left="227" w:hanging="227"/>
    </w:pPr>
    <w:rPr>
      <w:sz w:val="16"/>
      <w:szCs w:val="20"/>
    </w:rPr>
  </w:style>
  <w:style w:type="character" w:customStyle="1" w:styleId="VoetnoottekstChar">
    <w:name w:val="Voetnoottekst Char"/>
    <w:link w:val="Voetnoottekst"/>
    <w:rsid w:val="00726EFC"/>
    <w:rPr>
      <w:rFonts w:ascii="Univers" w:hAnsi="Univers"/>
      <w:sz w:val="16"/>
    </w:rPr>
  </w:style>
  <w:style w:type="paragraph" w:styleId="Koptekst">
    <w:name w:val="header"/>
    <w:basedOn w:val="Standaard"/>
    <w:link w:val="KoptekstChar"/>
    <w:rsid w:val="00726EFC"/>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726EFC"/>
    <w:rPr>
      <w:rFonts w:ascii="Univers" w:hAnsi="Univers"/>
      <w:sz w:val="22"/>
      <w:lang w:val="nl" w:eastAsia="en-US"/>
    </w:rPr>
  </w:style>
  <w:style w:type="character" w:styleId="Paginanummer">
    <w:name w:val="page number"/>
    <w:rsid w:val="00726EFC"/>
    <w:rPr>
      <w:rFonts w:ascii="Univers" w:hAnsi="Univers"/>
      <w:sz w:val="22"/>
    </w:rPr>
  </w:style>
  <w:style w:type="paragraph" w:styleId="Voettekst">
    <w:name w:val="footer"/>
    <w:basedOn w:val="Standaard"/>
    <w:link w:val="VoettekstChar"/>
    <w:rsid w:val="00726EFC"/>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726EFC"/>
    <w:rPr>
      <w:rFonts w:ascii="Univers" w:hAnsi="Univers"/>
      <w:sz w:val="22"/>
      <w:lang w:val="nl" w:eastAsia="en-US"/>
    </w:rPr>
  </w:style>
  <w:style w:type="character" w:styleId="Voetnootmarkering">
    <w:name w:val="footnote reference"/>
    <w:rsid w:val="00153CDA"/>
    <w:rPr>
      <w:vertAlign w:val="superscript"/>
    </w:rPr>
  </w:style>
  <w:style w:type="paragraph" w:styleId="Ballontekst">
    <w:name w:val="Balloon Text"/>
    <w:basedOn w:val="Standaard"/>
    <w:link w:val="BallontekstChar"/>
    <w:rsid w:val="00F1588C"/>
    <w:rPr>
      <w:rFonts w:ascii="Tahoma" w:hAnsi="Tahoma" w:cs="Tahoma"/>
      <w:sz w:val="16"/>
      <w:szCs w:val="16"/>
    </w:rPr>
  </w:style>
  <w:style w:type="character" w:customStyle="1" w:styleId="BallontekstChar">
    <w:name w:val="Ballontekst Char"/>
    <w:link w:val="Ballontekst"/>
    <w:rsid w:val="00F1588C"/>
    <w:rPr>
      <w:rFonts w:ascii="Tahoma" w:hAnsi="Tahoma" w:cs="Tahoma"/>
      <w:sz w:val="16"/>
      <w:szCs w:val="16"/>
    </w:rPr>
  </w:style>
  <w:style w:type="character" w:customStyle="1" w:styleId="LogoKoninginnepapier">
    <w:name w:val="Logo Koninginnepapier"/>
    <w:rsid w:val="00584FAF"/>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uwerc\AppData\Roaming\Microsoft\Sjablonen\normal.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703</ap:Words>
  <ap:Characters>3870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2013-02-13T14:59:00.0000000Z</lastPrinted>
  <dcterms:created xsi:type="dcterms:W3CDTF">2013-02-14T10:39:00.0000000Z</dcterms:created>
  <dcterms:modified xsi:type="dcterms:W3CDTF">2013-02-14T10:39:00.0000000Z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0x0101006FF1241558F7BA4FAF3BAC400991B432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