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283" w:type="dxa"/>
        <w:tblLook w:val="04A0"/>
      </w:tblPr>
      <w:tblGrid>
        <w:gridCol w:w="1101"/>
        <w:gridCol w:w="3118"/>
        <w:gridCol w:w="2693"/>
        <w:gridCol w:w="4536"/>
        <w:gridCol w:w="2835"/>
      </w:tblGrid>
      <w:tr w:rsidR="004328DC" w:rsidTr="005F6CAC">
        <w:tc>
          <w:tcPr>
            <w:tcW w:w="1101" w:type="dxa"/>
          </w:tcPr>
          <w:p w:rsidR="004328DC" w:rsidRDefault="004328D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Pr="004328DC" w:rsidR="006C0C50" w:rsidRDefault="006C0C5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Pr="004328DC" w:rsidR="004328DC" w:rsidRDefault="004328D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Onderwerp</w:t>
            </w:r>
          </w:p>
        </w:tc>
        <w:tc>
          <w:tcPr>
            <w:tcW w:w="2693" w:type="dxa"/>
          </w:tcPr>
          <w:p w:rsidRPr="004328DC" w:rsidR="004328DC" w:rsidP="004328DC" w:rsidRDefault="004328D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Status wetsvoorstel</w:t>
            </w:r>
          </w:p>
        </w:tc>
        <w:tc>
          <w:tcPr>
            <w:tcW w:w="4536" w:type="dxa"/>
          </w:tcPr>
          <w:p w:rsidRPr="004328DC" w:rsidR="004328DC" w:rsidP="004328DC" w:rsidRDefault="004328D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Gevolgen opknippen Wcz</w:t>
            </w:r>
          </w:p>
        </w:tc>
        <w:tc>
          <w:tcPr>
            <w:tcW w:w="2835" w:type="dxa"/>
          </w:tcPr>
          <w:p w:rsidRPr="004328DC" w:rsidR="004328DC" w:rsidRDefault="004328D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Wijze van aanpassing</w:t>
            </w:r>
          </w:p>
        </w:tc>
      </w:tr>
      <w:tr w:rsidR="004328DC" w:rsidTr="005F6CAC">
        <w:tc>
          <w:tcPr>
            <w:tcW w:w="1101" w:type="dxa"/>
          </w:tcPr>
          <w:p w:rsidR="004328DC" w:rsidRDefault="004328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996</w:t>
            </w:r>
          </w:p>
        </w:tc>
        <w:tc>
          <w:tcPr>
            <w:tcW w:w="3118" w:type="dxa"/>
          </w:tcPr>
          <w:p w:rsidR="004328DC" w:rsidRDefault="004328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 en dwang psychogeriatrische en verstandelijk gehandicapte cliënten</w:t>
            </w:r>
          </w:p>
        </w:tc>
        <w:tc>
          <w:tcPr>
            <w:tcW w:w="2693" w:type="dxa"/>
          </w:tcPr>
          <w:p w:rsidR="004328DC" w:rsidRDefault="00A02C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Eigenstandig wetsvoorstel</w:t>
            </w:r>
          </w:p>
        </w:tc>
        <w:tc>
          <w:tcPr>
            <w:tcW w:w="4536" w:type="dxa"/>
          </w:tcPr>
          <w:p w:rsidR="004328DC" w:rsidP="00D52FDA" w:rsidRDefault="000D6C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</w:t>
            </w:r>
            <w:r w:rsidR="00E5702F">
              <w:rPr>
                <w:rFonts w:ascii="Verdana" w:hAnsi="Verdana"/>
                <w:sz w:val="18"/>
                <w:szCs w:val="18"/>
              </w:rPr>
              <w:t>erwijzing</w:t>
            </w:r>
            <w:r>
              <w:rPr>
                <w:rFonts w:ascii="Verdana" w:hAnsi="Verdana"/>
                <w:sz w:val="18"/>
                <w:szCs w:val="18"/>
              </w:rPr>
              <w:t xml:space="preserve"> in art. 45 naar Wkcz en verwijzing in BW</w:t>
            </w:r>
            <w:r w:rsidR="00E5702F">
              <w:rPr>
                <w:rFonts w:ascii="Verdana" w:hAnsi="Verdana"/>
                <w:sz w:val="18"/>
                <w:szCs w:val="18"/>
              </w:rPr>
              <w:t xml:space="preserve"> naar de </w:t>
            </w:r>
            <w:r>
              <w:rPr>
                <w:rFonts w:ascii="Verdana" w:hAnsi="Verdana"/>
                <w:sz w:val="18"/>
                <w:szCs w:val="18"/>
              </w:rPr>
              <w:t>Kwaliteitswet</w:t>
            </w:r>
            <w:r w:rsidR="006A1141">
              <w:rPr>
                <w:rFonts w:ascii="Verdana" w:hAnsi="Verdana"/>
                <w:sz w:val="18"/>
                <w:szCs w:val="18"/>
              </w:rPr>
              <w:t xml:space="preserve"> word</w:t>
            </w:r>
            <w:r>
              <w:rPr>
                <w:rFonts w:ascii="Verdana" w:hAnsi="Verdana"/>
                <w:sz w:val="18"/>
                <w:szCs w:val="18"/>
              </w:rPr>
              <w:t>en</w:t>
            </w:r>
            <w:r w:rsidR="006A114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vervangen door verwijzing naar Wkkgz</w:t>
            </w:r>
            <w:r w:rsidR="00D52FDA">
              <w:rPr>
                <w:rFonts w:ascii="Verdana" w:hAnsi="Verdana"/>
                <w:sz w:val="18"/>
                <w:szCs w:val="18"/>
              </w:rPr>
              <w:t>*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4328DC" w:rsidP="00544029" w:rsidRDefault="005440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Aanpassing vindt beslag</w:t>
            </w:r>
            <w:r w:rsidR="006A27D2">
              <w:rPr>
                <w:rFonts w:ascii="Verdana" w:hAnsi="Verdana"/>
                <w:sz w:val="18"/>
                <w:szCs w:val="18"/>
              </w:rPr>
              <w:t xml:space="preserve"> in derde </w:t>
            </w:r>
            <w:r w:rsidR="00202D02">
              <w:rPr>
                <w:rFonts w:ascii="Verdana" w:hAnsi="Verdana"/>
                <w:sz w:val="18"/>
                <w:szCs w:val="18"/>
              </w:rPr>
              <w:t>nota</w:t>
            </w:r>
            <w:r w:rsidR="00E5702F">
              <w:rPr>
                <w:rFonts w:ascii="Verdana" w:hAnsi="Verdana"/>
                <w:sz w:val="18"/>
                <w:szCs w:val="18"/>
              </w:rPr>
              <w:t xml:space="preserve"> van wijziging Wcz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5702F" w:rsidTr="005F6CAC">
        <w:tc>
          <w:tcPr>
            <w:tcW w:w="1101" w:type="dxa"/>
          </w:tcPr>
          <w:p w:rsidR="00E5702F" w:rsidRDefault="00E5702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398</w:t>
            </w:r>
          </w:p>
        </w:tc>
        <w:tc>
          <w:tcPr>
            <w:tcW w:w="3118" w:type="dxa"/>
          </w:tcPr>
          <w:p w:rsidR="00E5702F" w:rsidRDefault="00E5702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Forensische zorg </w:t>
            </w:r>
          </w:p>
        </w:tc>
        <w:tc>
          <w:tcPr>
            <w:tcW w:w="2693" w:type="dxa"/>
          </w:tcPr>
          <w:p w:rsidR="00E5702F" w:rsidRDefault="00E5702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Eigenstandig wetsvoorstel</w:t>
            </w:r>
          </w:p>
        </w:tc>
        <w:tc>
          <w:tcPr>
            <w:tcW w:w="4536" w:type="dxa"/>
          </w:tcPr>
          <w:p w:rsidR="00E5702F" w:rsidP="000D6CD1" w:rsidRDefault="000D6C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</w:t>
            </w:r>
            <w:r w:rsidR="00E5702F">
              <w:rPr>
                <w:rFonts w:ascii="Verdana" w:hAnsi="Verdana"/>
                <w:sz w:val="18"/>
                <w:szCs w:val="18"/>
              </w:rPr>
              <w:t xml:space="preserve">erwijzingen naar </w:t>
            </w:r>
            <w:r>
              <w:rPr>
                <w:rFonts w:ascii="Verdana" w:hAnsi="Verdana"/>
                <w:sz w:val="18"/>
                <w:szCs w:val="18"/>
              </w:rPr>
              <w:t>de K</w:t>
            </w:r>
            <w:r w:rsidR="00E5702F">
              <w:rPr>
                <w:rFonts w:ascii="Verdana" w:hAnsi="Verdana"/>
                <w:sz w:val="18"/>
                <w:szCs w:val="18"/>
              </w:rPr>
              <w:t>waliteit</w:t>
            </w:r>
            <w:r>
              <w:rPr>
                <w:rFonts w:ascii="Verdana" w:hAnsi="Verdana"/>
                <w:sz w:val="18"/>
                <w:szCs w:val="18"/>
              </w:rPr>
              <w:t>swet</w:t>
            </w:r>
            <w:r w:rsidR="00E5702F">
              <w:rPr>
                <w:rFonts w:ascii="Verdana" w:hAnsi="Verdana"/>
                <w:sz w:val="18"/>
                <w:szCs w:val="18"/>
              </w:rPr>
              <w:t xml:space="preserve"> worden </w:t>
            </w:r>
            <w:r>
              <w:rPr>
                <w:rFonts w:ascii="Verdana" w:hAnsi="Verdana"/>
                <w:sz w:val="18"/>
                <w:szCs w:val="18"/>
              </w:rPr>
              <w:t xml:space="preserve">vervangen door verwijzingen naar Wkkgz; drie </w:t>
            </w:r>
            <w:r w:rsidR="00D52FDA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ndienbepalingen (7.13B - 7.13D) tot wijziging van Wfz dan wel Wcz na totstandkoming Wcz en art. 7.13 (wijziging Wkcz) worden geschrapt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5702F" w:rsidP="00D52FDA" w:rsidRDefault="005440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Aanpassing vindt beslag</w:t>
            </w:r>
            <w:r w:rsidR="006A27D2">
              <w:rPr>
                <w:rFonts w:ascii="Verdana" w:hAnsi="Verdana"/>
                <w:sz w:val="18"/>
                <w:szCs w:val="18"/>
              </w:rPr>
              <w:t xml:space="preserve"> in derde </w:t>
            </w:r>
            <w:r w:rsidR="00202D02">
              <w:rPr>
                <w:rFonts w:ascii="Verdana" w:hAnsi="Verdana"/>
                <w:sz w:val="18"/>
                <w:szCs w:val="18"/>
              </w:rPr>
              <w:t>nota</w:t>
            </w:r>
            <w:r w:rsidR="00E5702F">
              <w:rPr>
                <w:rFonts w:ascii="Verdana" w:hAnsi="Verdana"/>
                <w:sz w:val="18"/>
                <w:szCs w:val="18"/>
              </w:rPr>
              <w:t xml:space="preserve"> van wijziging Wcz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5702F" w:rsidTr="005F6CAC">
        <w:tc>
          <w:tcPr>
            <w:tcW w:w="1101" w:type="dxa"/>
          </w:tcPr>
          <w:p w:rsidR="00E5702F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32 399</w:t>
            </w:r>
          </w:p>
        </w:tc>
        <w:tc>
          <w:tcPr>
            <w:tcW w:w="3118" w:type="dxa"/>
          </w:tcPr>
          <w:p w:rsidR="00E5702F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Verplichte GGZ</w:t>
            </w:r>
          </w:p>
        </w:tc>
        <w:tc>
          <w:tcPr>
            <w:tcW w:w="2693" w:type="dxa"/>
          </w:tcPr>
          <w:p w:rsidR="00E5702F" w:rsidRDefault="006A11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Eigenstandig wetsvoorstel</w:t>
            </w:r>
          </w:p>
        </w:tc>
        <w:tc>
          <w:tcPr>
            <w:tcW w:w="4536" w:type="dxa"/>
          </w:tcPr>
          <w:p w:rsidR="00E5702F" w:rsidP="000D6CD1" w:rsidRDefault="000D6C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Verwijzingen naar de Kwaliteitswet worden vervangen door verwijzingen naar Wkkgz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5702F" w:rsidP="00D52FDA" w:rsidRDefault="005440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Aanpassing vindt beslag in invoeringswet of</w:t>
            </w:r>
            <w:r w:rsidR="00D52FD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2D02">
              <w:rPr>
                <w:rFonts w:ascii="Verdana" w:hAnsi="Verdana"/>
                <w:sz w:val="18"/>
                <w:szCs w:val="18"/>
              </w:rPr>
              <w:t>nota</w:t>
            </w:r>
            <w:r w:rsidR="00D52FDA">
              <w:rPr>
                <w:rFonts w:ascii="Verdana" w:hAnsi="Verdana"/>
                <w:sz w:val="18"/>
                <w:szCs w:val="18"/>
              </w:rPr>
              <w:t xml:space="preserve"> van wijziging </w:t>
            </w:r>
            <w:r>
              <w:rPr>
                <w:rFonts w:ascii="Verdana" w:hAnsi="Verdana"/>
                <w:sz w:val="18"/>
                <w:szCs w:val="18"/>
              </w:rPr>
              <w:t>bij Wet verplichte ggz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5F6CAC" w:rsidTr="005F6CAC">
        <w:tc>
          <w:tcPr>
            <w:tcW w:w="1101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33 062 </w:t>
            </w:r>
          </w:p>
        </w:tc>
        <w:tc>
          <w:tcPr>
            <w:tcW w:w="3118" w:type="dxa"/>
          </w:tcPr>
          <w:p w:rsidR="005F6CAC" w:rsidP="005F6CAC" w:rsidRDefault="00202D0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Meldcode huiselijk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 geweld en kindermishandeling</w:t>
            </w:r>
          </w:p>
        </w:tc>
        <w:tc>
          <w:tcPr>
            <w:tcW w:w="2693" w:type="dxa"/>
          </w:tcPr>
          <w:p w:rsidR="005F6CAC" w:rsidP="005F6CAC" w:rsidRDefault="000D6C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Wijziging andere wetten</w:t>
            </w:r>
          </w:p>
        </w:tc>
        <w:tc>
          <w:tcPr>
            <w:tcW w:w="4536" w:type="dxa"/>
          </w:tcPr>
          <w:p w:rsidR="005F6CAC" w:rsidP="00555268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Wijzigingen </w:t>
            </w:r>
            <w:r w:rsidR="00555268">
              <w:rPr>
                <w:rFonts w:ascii="Verdana" w:hAnsi="Verdana"/>
                <w:sz w:val="18"/>
                <w:szCs w:val="18"/>
              </w:rPr>
              <w:t>die deze wet in Kwaliteitswet aanbrengt, worden overgenomen in Wkkgz; art. XVII dat de Wcz wijzigt en art. XVIII dat de Wet big en de Wet publieke gezondheid wijzigt, worden geschrapt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5F6CAC" w:rsidP="005F6CAC" w:rsidRDefault="005440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Aanpassing vindt beslag</w:t>
            </w:r>
            <w:r w:rsidDel="0054402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in derde </w:t>
            </w:r>
            <w:r w:rsidR="00202D02">
              <w:rPr>
                <w:rFonts w:ascii="Verdana" w:hAnsi="Verdana"/>
                <w:sz w:val="18"/>
                <w:szCs w:val="18"/>
              </w:rPr>
              <w:t>nota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 van wijziging Wcz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5F6CAC" w:rsidTr="005F6CAC">
        <w:tc>
          <w:tcPr>
            <w:tcW w:w="1101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33 109</w:t>
            </w:r>
          </w:p>
        </w:tc>
        <w:tc>
          <w:tcPr>
            <w:tcW w:w="3118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Beginselenwet AWBZ-zorg</w:t>
            </w:r>
          </w:p>
        </w:tc>
        <w:tc>
          <w:tcPr>
            <w:tcW w:w="2693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Eigenstandig wetsvoorstel</w:t>
            </w:r>
          </w:p>
        </w:tc>
        <w:tc>
          <w:tcPr>
            <w:tcW w:w="4536" w:type="dxa"/>
          </w:tcPr>
          <w:p w:rsidR="005F6CAC" w:rsidP="00544029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Twee samenloopbepalingen (artikel 15 en 16) </w:t>
            </w:r>
            <w:r w:rsidR="00555268">
              <w:rPr>
                <w:rFonts w:ascii="Verdana" w:hAnsi="Verdana"/>
                <w:sz w:val="18"/>
                <w:szCs w:val="18"/>
              </w:rPr>
              <w:t xml:space="preserve">worden geschrapt en ondergebracht </w:t>
            </w:r>
            <w:r w:rsidR="00544029">
              <w:rPr>
                <w:rFonts w:ascii="Verdana" w:hAnsi="Verdana"/>
                <w:sz w:val="18"/>
                <w:szCs w:val="18"/>
              </w:rPr>
              <w:t>i</w:t>
            </w:r>
            <w:r w:rsidR="00555268">
              <w:rPr>
                <w:rFonts w:ascii="Verdana" w:hAnsi="Verdana"/>
                <w:sz w:val="18"/>
                <w:szCs w:val="18"/>
              </w:rPr>
              <w:t>n aangepaste bepalingen in de Wk</w:t>
            </w:r>
            <w:r w:rsidR="00544029">
              <w:rPr>
                <w:rFonts w:ascii="Verdana" w:hAnsi="Verdana"/>
                <w:sz w:val="18"/>
                <w:szCs w:val="18"/>
              </w:rPr>
              <w:t>k</w:t>
            </w:r>
            <w:r w:rsidR="00555268">
              <w:rPr>
                <w:rFonts w:ascii="Verdana" w:hAnsi="Verdana"/>
                <w:sz w:val="18"/>
                <w:szCs w:val="18"/>
              </w:rPr>
              <w:t>gz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Pr="006C0C50" w:rsidR="005F6CAC" w:rsidP="006C0C50" w:rsidRDefault="00544029">
            <w:pPr>
              <w:rPr>
                <w:rFonts w:ascii="Verdana" w:hAnsi="Verdana"/>
                <w:sz w:val="18"/>
                <w:szCs w:val="18"/>
              </w:rPr>
            </w:pPr>
            <w:r w:rsidRPr="006C0C50">
              <w:rPr>
                <w:rFonts w:ascii="Verdana" w:hAnsi="Verdana"/>
                <w:sz w:val="18"/>
                <w:szCs w:val="18"/>
              </w:rPr>
              <w:t>Aanpassing vindt beslag</w:t>
            </w:r>
            <w:r w:rsidRPr="006C0C50" w:rsidDel="0054402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0C50" w:rsidR="005F6CAC">
              <w:rPr>
                <w:rFonts w:ascii="Verdana" w:hAnsi="Verdana"/>
                <w:sz w:val="18"/>
                <w:szCs w:val="18"/>
              </w:rPr>
              <w:t xml:space="preserve">in derde </w:t>
            </w:r>
            <w:r w:rsidR="00202D02">
              <w:rPr>
                <w:rFonts w:ascii="Verdana" w:hAnsi="Verdana"/>
                <w:sz w:val="18"/>
                <w:szCs w:val="18"/>
              </w:rPr>
              <w:t>nota</w:t>
            </w:r>
            <w:r w:rsidRPr="006C0C50" w:rsidR="005F6CAC">
              <w:rPr>
                <w:rFonts w:ascii="Verdana" w:hAnsi="Verdana"/>
                <w:sz w:val="18"/>
                <w:szCs w:val="18"/>
              </w:rPr>
              <w:t xml:space="preserve"> van wijziging Wcz</w:t>
            </w:r>
            <w:r w:rsidR="00907B05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5F6CAC" w:rsidTr="005F6CAC">
        <w:tc>
          <w:tcPr>
            <w:tcW w:w="1101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33 168</w:t>
            </w:r>
          </w:p>
        </w:tc>
        <w:tc>
          <w:tcPr>
            <w:tcW w:w="3118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Winstuitkering medisch specialistische zorg</w:t>
            </w:r>
          </w:p>
        </w:tc>
        <w:tc>
          <w:tcPr>
            <w:tcW w:w="2693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Wijziging andere wetten</w:t>
            </w:r>
          </w:p>
        </w:tc>
        <w:tc>
          <w:tcPr>
            <w:tcW w:w="4536" w:type="dxa"/>
          </w:tcPr>
          <w:p w:rsidR="005F6CAC" w:rsidP="006C0C50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Bepalingen die in de Wcz zouden neerslaan</w:t>
            </w:r>
            <w:r w:rsidR="00555268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555268">
              <w:rPr>
                <w:rFonts w:ascii="Verdana" w:hAnsi="Verdana"/>
                <w:sz w:val="18"/>
                <w:szCs w:val="18"/>
              </w:rPr>
              <w:t xml:space="preserve">komen door de </w:t>
            </w:r>
            <w:r w:rsidR="006C0C50">
              <w:rPr>
                <w:rFonts w:ascii="Verdana" w:hAnsi="Verdana"/>
                <w:sz w:val="18"/>
                <w:szCs w:val="18"/>
              </w:rPr>
              <w:t xml:space="preserve">reeds </w:t>
            </w:r>
            <w:r w:rsidR="00555268">
              <w:rPr>
                <w:rFonts w:ascii="Verdana" w:hAnsi="Verdana"/>
                <w:sz w:val="18"/>
                <w:szCs w:val="18"/>
              </w:rPr>
              <w:t xml:space="preserve">ingediende </w:t>
            </w:r>
            <w:r w:rsidR="004363D0">
              <w:rPr>
                <w:rFonts w:ascii="Verdana" w:hAnsi="Verdana"/>
                <w:sz w:val="18"/>
                <w:szCs w:val="18"/>
              </w:rPr>
              <w:t>n</w:t>
            </w:r>
            <w:r w:rsidR="00202D02">
              <w:rPr>
                <w:rFonts w:ascii="Verdana" w:hAnsi="Verdana"/>
                <w:sz w:val="18"/>
                <w:szCs w:val="18"/>
              </w:rPr>
              <w:t>ota</w:t>
            </w:r>
            <w:r w:rsidR="006C0C5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55268">
              <w:rPr>
                <w:rFonts w:ascii="Verdana" w:hAnsi="Verdana"/>
                <w:sz w:val="18"/>
                <w:szCs w:val="18"/>
              </w:rPr>
              <w:t>v</w:t>
            </w:r>
            <w:r w:rsidR="006C0C50">
              <w:rPr>
                <w:rFonts w:ascii="Verdana" w:hAnsi="Verdana"/>
                <w:sz w:val="18"/>
                <w:szCs w:val="18"/>
              </w:rPr>
              <w:t>an wijziging</w:t>
            </w:r>
            <w:r w:rsidR="00555268">
              <w:rPr>
                <w:rFonts w:ascii="Verdana" w:hAnsi="Verdana"/>
                <w:sz w:val="18"/>
                <w:szCs w:val="18"/>
              </w:rPr>
              <w:t xml:space="preserve"> in</w:t>
            </w:r>
            <w:r>
              <w:rPr>
                <w:rFonts w:ascii="Verdana" w:hAnsi="Verdana"/>
                <w:sz w:val="18"/>
                <w:szCs w:val="18"/>
              </w:rPr>
              <w:t xml:space="preserve"> de Wet toelating zorginstellingen.</w:t>
            </w:r>
          </w:p>
        </w:tc>
        <w:tc>
          <w:tcPr>
            <w:tcW w:w="2835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Reeds aangepast door middel van de </w:t>
            </w:r>
            <w:r w:rsidR="00202D02">
              <w:rPr>
                <w:rFonts w:ascii="Verdana" w:hAnsi="Verdana"/>
                <w:sz w:val="18"/>
                <w:szCs w:val="18"/>
              </w:rPr>
              <w:t>nota</w:t>
            </w:r>
            <w:r>
              <w:rPr>
                <w:rFonts w:ascii="Verdana" w:hAnsi="Verdana"/>
                <w:sz w:val="18"/>
                <w:szCs w:val="18"/>
              </w:rPr>
              <w:t xml:space="preserve"> van wijziging van het wetsvoorstel 33 168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5F6CAC" w:rsidTr="005F6CAC">
        <w:tc>
          <w:tcPr>
            <w:tcW w:w="1101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33 243</w:t>
            </w:r>
          </w:p>
        </w:tc>
        <w:tc>
          <w:tcPr>
            <w:tcW w:w="3118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Zorginstituut Nederland</w:t>
            </w:r>
          </w:p>
        </w:tc>
        <w:tc>
          <w:tcPr>
            <w:tcW w:w="2693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Wijziging andere wetten</w:t>
            </w:r>
          </w:p>
        </w:tc>
        <w:tc>
          <w:tcPr>
            <w:tcW w:w="4536" w:type="dxa"/>
          </w:tcPr>
          <w:p w:rsidR="005F6CAC" w:rsidP="005F6CAC" w:rsidRDefault="005F6CAC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6A27D2">
              <w:rPr>
                <w:rFonts w:ascii="Verdana" w:hAnsi="Verdana"/>
                <w:sz w:val="18"/>
                <w:szCs w:val="18"/>
              </w:rPr>
              <w:t>De bepalingen ten aanzien van taken en bevoegdheden van Zorginstituut Nederland worden opgenomen in de Zorgverzekeringswet</w:t>
            </w:r>
            <w:r w:rsidR="00544029">
              <w:rPr>
                <w:rFonts w:ascii="Verdana" w:hAnsi="Verdana"/>
                <w:sz w:val="18"/>
                <w:szCs w:val="18"/>
              </w:rPr>
              <w:t>; ook wordt in Kwaliteitswet begrip verantwoorde zorg aangescherpt</w:t>
            </w:r>
            <w:r w:rsidRPr="006A27D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:rsidR="005F6CAC" w:rsidP="005F6CAC" w:rsidRDefault="005F6CAC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6A27D2">
              <w:rPr>
                <w:rFonts w:ascii="Verdana" w:hAnsi="Verdana"/>
                <w:sz w:val="18"/>
                <w:szCs w:val="18"/>
              </w:rPr>
              <w:t>De aanscherping van het begrip verantwoorde zorg in de Kwaliteitswet zorginstellingen</w:t>
            </w:r>
            <w:r w:rsidR="00555268">
              <w:rPr>
                <w:rFonts w:ascii="Verdana" w:hAnsi="Verdana"/>
                <w:sz w:val="18"/>
                <w:szCs w:val="18"/>
              </w:rPr>
              <w:t xml:space="preserve"> wordt overgenomen in de Wkkgz</w:t>
            </w:r>
            <w:r w:rsidRPr="006A27D2">
              <w:rPr>
                <w:rFonts w:ascii="Verdana" w:hAnsi="Verdana"/>
                <w:sz w:val="18"/>
                <w:szCs w:val="18"/>
              </w:rPr>
              <w:t>.</w:t>
            </w:r>
          </w:p>
          <w:p w:rsidR="005F6CAC" w:rsidP="005F6CAC" w:rsidRDefault="005F6CAC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 artikelen I t/VI en XXXXI t/m XXXXV komen te vervallen.</w:t>
            </w:r>
          </w:p>
        </w:tc>
        <w:tc>
          <w:tcPr>
            <w:tcW w:w="2835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452266">
              <w:rPr>
                <w:rFonts w:ascii="Verdana" w:hAnsi="Verdana"/>
                <w:sz w:val="18"/>
                <w:szCs w:val="18"/>
              </w:rPr>
              <w:t xml:space="preserve"> treden automatisch in werking, bij inwerkingtreding van de wet.</w:t>
            </w:r>
          </w:p>
          <w:p w:rsidRPr="00452266" w:rsidR="005F6CAC" w:rsidP="005F6CAC" w:rsidRDefault="005440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en </w:t>
            </w:r>
            <w:r w:rsidR="005F6CAC">
              <w:rPr>
                <w:rFonts w:ascii="Verdana" w:hAnsi="Verdana"/>
                <w:sz w:val="18"/>
                <w:szCs w:val="18"/>
              </w:rPr>
              <w:t>3 word</w:t>
            </w:r>
            <w:r>
              <w:rPr>
                <w:rFonts w:ascii="Verdana" w:hAnsi="Verdana"/>
                <w:sz w:val="18"/>
                <w:szCs w:val="18"/>
              </w:rPr>
              <w:t>en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 geregeld met de derde </w:t>
            </w:r>
            <w:r w:rsidR="00202D02">
              <w:rPr>
                <w:rFonts w:ascii="Verdana" w:hAnsi="Verdana"/>
                <w:sz w:val="18"/>
                <w:szCs w:val="18"/>
              </w:rPr>
              <w:t>nota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 van wijziging Wcz.</w:t>
            </w:r>
          </w:p>
          <w:p w:rsidRPr="00452266"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52FDA" w:rsidRDefault="00D52FDA"/>
    <w:p w:rsidR="00D52FDA" w:rsidRDefault="00D52FDA">
      <w:r>
        <w:rPr>
          <w:rFonts w:ascii="Verdana" w:hAnsi="Verdana"/>
          <w:sz w:val="18"/>
          <w:szCs w:val="18"/>
        </w:rPr>
        <w:t>* Wetsvoorstel kwaliteit, klachten en geschillen</w:t>
      </w:r>
      <w:r w:rsidR="003C35AE">
        <w:rPr>
          <w:rFonts w:ascii="Verdana" w:hAnsi="Verdana"/>
          <w:sz w:val="18"/>
          <w:szCs w:val="18"/>
        </w:rPr>
        <w:t xml:space="preserve"> zorg</w:t>
      </w:r>
      <w:r>
        <w:rPr>
          <w:rFonts w:ascii="Verdana" w:hAnsi="Verdana"/>
          <w:sz w:val="18"/>
          <w:szCs w:val="18"/>
        </w:rPr>
        <w:t>.</w:t>
      </w:r>
      <w:r>
        <w:br w:type="page"/>
      </w:r>
    </w:p>
    <w:tbl>
      <w:tblPr>
        <w:tblStyle w:val="Tabelraster"/>
        <w:tblW w:w="14283" w:type="dxa"/>
        <w:tblLook w:val="04A0"/>
      </w:tblPr>
      <w:tblGrid>
        <w:gridCol w:w="1101"/>
        <w:gridCol w:w="3118"/>
        <w:gridCol w:w="2693"/>
        <w:gridCol w:w="4536"/>
        <w:gridCol w:w="2835"/>
      </w:tblGrid>
      <w:tr w:rsidRPr="004328DC" w:rsidR="00D52FDA" w:rsidTr="00D52FDA">
        <w:tc>
          <w:tcPr>
            <w:tcW w:w="1101" w:type="dxa"/>
          </w:tcPr>
          <w:p w:rsidRPr="004328DC" w:rsidR="00D52FDA" w:rsidP="00CF5583" w:rsidRDefault="00D52FD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Nummer</w:t>
            </w:r>
          </w:p>
        </w:tc>
        <w:tc>
          <w:tcPr>
            <w:tcW w:w="3118" w:type="dxa"/>
          </w:tcPr>
          <w:p w:rsidRPr="004328DC" w:rsidR="00D52FDA" w:rsidP="00CF5583" w:rsidRDefault="00D52FD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Onderwerp</w:t>
            </w:r>
          </w:p>
        </w:tc>
        <w:tc>
          <w:tcPr>
            <w:tcW w:w="2693" w:type="dxa"/>
          </w:tcPr>
          <w:p w:rsidRPr="004328DC" w:rsidR="00D52FDA" w:rsidP="00CF5583" w:rsidRDefault="00D52FD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Status wetsvoorstel</w:t>
            </w:r>
          </w:p>
        </w:tc>
        <w:tc>
          <w:tcPr>
            <w:tcW w:w="4536" w:type="dxa"/>
          </w:tcPr>
          <w:p w:rsidRPr="004328DC" w:rsidR="00D52FDA" w:rsidP="00CF5583" w:rsidRDefault="00D52FD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Gevolgen opknippen Wcz</w:t>
            </w:r>
          </w:p>
        </w:tc>
        <w:tc>
          <w:tcPr>
            <w:tcW w:w="2835" w:type="dxa"/>
          </w:tcPr>
          <w:p w:rsidRPr="004328DC" w:rsidR="00D52FDA" w:rsidP="00CF5583" w:rsidRDefault="00D52FD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Wijze van aanpassing</w:t>
            </w:r>
          </w:p>
        </w:tc>
      </w:tr>
      <w:tr w:rsidR="005F6CAC" w:rsidTr="005F6CAC">
        <w:tc>
          <w:tcPr>
            <w:tcW w:w="1101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33 253</w:t>
            </w:r>
          </w:p>
        </w:tc>
        <w:tc>
          <w:tcPr>
            <w:tcW w:w="3118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Fusies, continuïteit van zorg en opsplitsing</w:t>
            </w:r>
          </w:p>
        </w:tc>
        <w:tc>
          <w:tcPr>
            <w:tcW w:w="2693" w:type="dxa"/>
          </w:tcPr>
          <w:p w:rsidRPr="00452266"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 w:rsidRPr="00452266">
              <w:rPr>
                <w:rFonts w:ascii="Verdana" w:hAnsi="Verdana"/>
                <w:sz w:val="18"/>
                <w:szCs w:val="18"/>
              </w:rPr>
              <w:t>Wijziging andere wetten</w:t>
            </w:r>
          </w:p>
        </w:tc>
        <w:tc>
          <w:tcPr>
            <w:tcW w:w="4536" w:type="dxa"/>
          </w:tcPr>
          <w:p w:rsidR="005F6CAC" w:rsidP="005F6CAC" w:rsidRDefault="00555268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Het artikel over de 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 (opsplitsings</w:t>
            </w:r>
            <w:r w:rsidR="00D52FDA">
              <w:rPr>
                <w:rFonts w:ascii="Verdana" w:hAnsi="Verdana"/>
                <w:sz w:val="18"/>
                <w:szCs w:val="18"/>
              </w:rPr>
              <w:t>-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bevoegdheid) </w:t>
            </w:r>
            <w:r>
              <w:rPr>
                <w:rFonts w:ascii="Verdana" w:hAnsi="Verdana"/>
                <w:sz w:val="18"/>
                <w:szCs w:val="18"/>
              </w:rPr>
              <w:t xml:space="preserve">dat in de Kwaliteitswet wordt opgenomen (art. 8a) wordt overgenomen in de Wkkgz. </w:t>
            </w:r>
          </w:p>
          <w:p w:rsidRPr="00452266" w:rsidR="005F6CAC" w:rsidP="005F6CAC" w:rsidRDefault="005F6CAC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Artikelen I onderdeel A, II en VII komen te vervallen (verwezen naar Wcz of latere inwerkingtreding van de Wcz)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5F6CAC" w:rsidP="00544029" w:rsidRDefault="005440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ordt geregeld met de derde </w:t>
            </w:r>
            <w:r w:rsidR="00202D02">
              <w:rPr>
                <w:rFonts w:ascii="Verdana" w:hAnsi="Verdana"/>
                <w:sz w:val="18"/>
                <w:szCs w:val="18"/>
              </w:rPr>
              <w:t>nota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 van wijziging Wcz.</w:t>
            </w:r>
          </w:p>
        </w:tc>
      </w:tr>
      <w:tr w:rsidR="005F6CAC" w:rsidTr="006A1141">
        <w:trPr>
          <w:trHeight w:val="1660"/>
        </w:trPr>
        <w:tc>
          <w:tcPr>
            <w:tcW w:w="1101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33 509</w:t>
            </w:r>
          </w:p>
        </w:tc>
        <w:tc>
          <w:tcPr>
            <w:tcW w:w="3118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Cliëntenrechten bij elektronische verwerking van gegevens</w:t>
            </w:r>
          </w:p>
        </w:tc>
        <w:tc>
          <w:tcPr>
            <w:tcW w:w="2693" w:type="dxa"/>
          </w:tcPr>
          <w:p w:rsidR="005F6CAC" w:rsidP="005F6CAC" w:rsidRDefault="005F6C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Wijziging andere wetten</w:t>
            </w:r>
          </w:p>
        </w:tc>
        <w:tc>
          <w:tcPr>
            <w:tcW w:w="4536" w:type="dxa"/>
          </w:tcPr>
          <w:p w:rsidR="005F6CAC" w:rsidP="005F6CAC" w:rsidRDefault="005F6CAC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Bepaling </w:t>
            </w:r>
            <w:r w:rsidR="00544029">
              <w:rPr>
                <w:rFonts w:ascii="Verdana" w:hAnsi="Verdana"/>
                <w:sz w:val="18"/>
                <w:szCs w:val="18"/>
              </w:rPr>
              <w:t>tot wijziging van de</w:t>
            </w:r>
            <w:r>
              <w:rPr>
                <w:rFonts w:ascii="Verdana" w:hAnsi="Verdana"/>
                <w:sz w:val="18"/>
                <w:szCs w:val="18"/>
              </w:rPr>
              <w:t xml:space="preserve"> Wcz </w:t>
            </w:r>
            <w:r w:rsidR="00544029">
              <w:rPr>
                <w:rFonts w:ascii="Verdana" w:hAnsi="Verdana"/>
                <w:sz w:val="18"/>
                <w:szCs w:val="18"/>
              </w:rPr>
              <w:t xml:space="preserve">(art. I) wordt geschrapt. Art. II regelt dat deze </w:t>
            </w:r>
            <w:r>
              <w:rPr>
                <w:rFonts w:ascii="Verdana" w:hAnsi="Verdana"/>
                <w:sz w:val="18"/>
                <w:szCs w:val="18"/>
              </w:rPr>
              <w:t xml:space="preserve"> worden opgenomen</w:t>
            </w:r>
            <w:r w:rsidR="0054402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="00544029">
              <w:rPr>
                <w:rFonts w:ascii="Verdana" w:hAnsi="Verdana"/>
                <w:sz w:val="18"/>
                <w:szCs w:val="18"/>
              </w:rPr>
              <w:t>de W</w:t>
            </w:r>
            <w:r>
              <w:rPr>
                <w:rFonts w:ascii="Verdana" w:hAnsi="Verdana"/>
                <w:sz w:val="18"/>
                <w:szCs w:val="18"/>
              </w:rPr>
              <w:t>et op gebruik van BSN</w:t>
            </w:r>
            <w:r w:rsidR="00544029">
              <w:rPr>
                <w:rFonts w:ascii="Verdana" w:hAnsi="Verdana"/>
                <w:sz w:val="18"/>
                <w:szCs w:val="18"/>
              </w:rPr>
              <w:t xml:space="preserve"> in de zorg. Art. VIII dat de technische gevolgen van samenloop van de Wcz en andere wetten regelt, zal gedeeltelijk worden geschrapt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Pr="00B76001" w:rsidR="005F6CAC" w:rsidP="005F6CAC" w:rsidRDefault="005F6CAC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B76001">
              <w:rPr>
                <w:rFonts w:ascii="Verdana" w:hAnsi="Verdana"/>
                <w:sz w:val="18"/>
                <w:szCs w:val="18"/>
              </w:rPr>
              <w:t xml:space="preserve">Artikel I en VIII vervallen. </w:t>
            </w:r>
          </w:p>
        </w:tc>
        <w:tc>
          <w:tcPr>
            <w:tcW w:w="2835" w:type="dxa"/>
          </w:tcPr>
          <w:p w:rsidR="005F6CAC" w:rsidP="00544029" w:rsidRDefault="005440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ordt geregeld met </w:t>
            </w:r>
            <w:r w:rsidR="00202D02">
              <w:rPr>
                <w:rFonts w:ascii="Verdana" w:hAnsi="Verdana"/>
                <w:sz w:val="18"/>
                <w:szCs w:val="18"/>
              </w:rPr>
              <w:t>nota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 van wijziging </w:t>
            </w:r>
            <w:r>
              <w:rPr>
                <w:rFonts w:ascii="Verdana" w:hAnsi="Verdana"/>
                <w:sz w:val="18"/>
                <w:szCs w:val="18"/>
              </w:rPr>
              <w:t>bij</w:t>
            </w:r>
            <w:r w:rsidR="005F6CAC">
              <w:rPr>
                <w:rFonts w:ascii="Verdana" w:hAnsi="Verdana"/>
                <w:sz w:val="18"/>
                <w:szCs w:val="18"/>
              </w:rPr>
              <w:t xml:space="preserve"> het wetsvoorstel 33 509</w:t>
            </w:r>
            <w:r w:rsidR="004363D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Pr="00544029" w:rsidR="00D52FDA" w:rsidP="00D52FDA" w:rsidRDefault="00D52FDA">
      <w:pPr>
        <w:rPr>
          <w:rFonts w:ascii="Verdana" w:hAnsi="Verdana"/>
          <w:sz w:val="18"/>
          <w:szCs w:val="18"/>
        </w:rPr>
      </w:pPr>
    </w:p>
    <w:sectPr w:rsidRPr="00544029" w:rsidR="00D52FDA" w:rsidSect="006A1141">
      <w:headerReference w:type="default" r:id="rId7"/>
      <w:pgSz w:w="16838" w:h="11906" w:orient="landscape"/>
      <w:pgMar w:top="1135" w:right="1417" w:bottom="851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C50" w:rsidRDefault="006C0C50" w:rsidP="006C0C50">
      <w:pPr>
        <w:spacing w:after="0" w:line="240" w:lineRule="auto"/>
      </w:pPr>
      <w:r>
        <w:separator/>
      </w:r>
    </w:p>
  </w:endnote>
  <w:endnote w:type="continuationSeparator" w:id="0">
    <w:p w:rsidR="006C0C50" w:rsidRDefault="006C0C50" w:rsidP="006C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C50" w:rsidRDefault="006C0C50" w:rsidP="006C0C50">
      <w:pPr>
        <w:spacing w:after="0" w:line="240" w:lineRule="auto"/>
      </w:pPr>
      <w:r>
        <w:separator/>
      </w:r>
    </w:p>
  </w:footnote>
  <w:footnote w:type="continuationSeparator" w:id="0">
    <w:p w:rsidR="006C0C50" w:rsidRDefault="006C0C50" w:rsidP="006C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50" w:rsidRDefault="006C0C50">
    <w:pPr>
      <w:pStyle w:val="Koptekst"/>
    </w:pPr>
    <w:r>
      <w:t>Bijlage 1 Schematisch overzicht gevolgen opknippen Wcz</w:t>
    </w:r>
  </w:p>
  <w:p w:rsidR="006C0C50" w:rsidRDefault="006C0C50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4F2"/>
    <w:multiLevelType w:val="hybridMultilevel"/>
    <w:tmpl w:val="7C2C357E"/>
    <w:lvl w:ilvl="0" w:tplc="54302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838DD"/>
    <w:multiLevelType w:val="hybridMultilevel"/>
    <w:tmpl w:val="B2AE5B66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8600FC"/>
    <w:multiLevelType w:val="hybridMultilevel"/>
    <w:tmpl w:val="7F4ACC5E"/>
    <w:lvl w:ilvl="0" w:tplc="24E25D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72BF1"/>
    <w:multiLevelType w:val="hybridMultilevel"/>
    <w:tmpl w:val="8B90968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E072A"/>
    <w:multiLevelType w:val="hybridMultilevel"/>
    <w:tmpl w:val="BC0E11D8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8D659B"/>
    <w:multiLevelType w:val="hybridMultilevel"/>
    <w:tmpl w:val="73FA9FEC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1327E6"/>
    <w:multiLevelType w:val="hybridMultilevel"/>
    <w:tmpl w:val="A87E670A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E3C"/>
    <w:rsid w:val="00046656"/>
    <w:rsid w:val="00052F3F"/>
    <w:rsid w:val="00073433"/>
    <w:rsid w:val="000763AB"/>
    <w:rsid w:val="00080EA7"/>
    <w:rsid w:val="00081114"/>
    <w:rsid w:val="000D6CD1"/>
    <w:rsid w:val="00102D3A"/>
    <w:rsid w:val="00107C48"/>
    <w:rsid w:val="00134518"/>
    <w:rsid w:val="001964DA"/>
    <w:rsid w:val="001A1D67"/>
    <w:rsid w:val="001B37AA"/>
    <w:rsid w:val="001C7F0E"/>
    <w:rsid w:val="001D2DEC"/>
    <w:rsid w:val="001D6227"/>
    <w:rsid w:val="001F0160"/>
    <w:rsid w:val="001F1B04"/>
    <w:rsid w:val="001F5740"/>
    <w:rsid w:val="00202D02"/>
    <w:rsid w:val="0027488A"/>
    <w:rsid w:val="002772E0"/>
    <w:rsid w:val="00277912"/>
    <w:rsid w:val="00284BA4"/>
    <w:rsid w:val="00284E52"/>
    <w:rsid w:val="002A1FE1"/>
    <w:rsid w:val="002A620D"/>
    <w:rsid w:val="002B79B0"/>
    <w:rsid w:val="002B7AC5"/>
    <w:rsid w:val="002C2FAE"/>
    <w:rsid w:val="002D044B"/>
    <w:rsid w:val="002D3350"/>
    <w:rsid w:val="002D5A2A"/>
    <w:rsid w:val="002E725C"/>
    <w:rsid w:val="002E7A46"/>
    <w:rsid w:val="00302F4C"/>
    <w:rsid w:val="003705E6"/>
    <w:rsid w:val="003734C4"/>
    <w:rsid w:val="00393CBC"/>
    <w:rsid w:val="003C35AE"/>
    <w:rsid w:val="003E40A6"/>
    <w:rsid w:val="00426326"/>
    <w:rsid w:val="004328DC"/>
    <w:rsid w:val="004363D0"/>
    <w:rsid w:val="0044492F"/>
    <w:rsid w:val="00452266"/>
    <w:rsid w:val="00463150"/>
    <w:rsid w:val="004D3A69"/>
    <w:rsid w:val="005067CE"/>
    <w:rsid w:val="00506DDC"/>
    <w:rsid w:val="00544029"/>
    <w:rsid w:val="0054719F"/>
    <w:rsid w:val="00555268"/>
    <w:rsid w:val="00573346"/>
    <w:rsid w:val="005D6677"/>
    <w:rsid w:val="005F6CAC"/>
    <w:rsid w:val="00621362"/>
    <w:rsid w:val="00654455"/>
    <w:rsid w:val="00656682"/>
    <w:rsid w:val="0066240E"/>
    <w:rsid w:val="00671321"/>
    <w:rsid w:val="006A1141"/>
    <w:rsid w:val="006A27D2"/>
    <w:rsid w:val="006A5621"/>
    <w:rsid w:val="006C0C50"/>
    <w:rsid w:val="006C20AC"/>
    <w:rsid w:val="00702E46"/>
    <w:rsid w:val="00707295"/>
    <w:rsid w:val="00722C8D"/>
    <w:rsid w:val="00761FE2"/>
    <w:rsid w:val="007B0EC5"/>
    <w:rsid w:val="007D0483"/>
    <w:rsid w:val="007D247B"/>
    <w:rsid w:val="007D3863"/>
    <w:rsid w:val="00800B57"/>
    <w:rsid w:val="00823AD2"/>
    <w:rsid w:val="00826CF7"/>
    <w:rsid w:val="0083014B"/>
    <w:rsid w:val="00847FD5"/>
    <w:rsid w:val="008A4B97"/>
    <w:rsid w:val="008A7D2B"/>
    <w:rsid w:val="008B4FEB"/>
    <w:rsid w:val="008B6D9C"/>
    <w:rsid w:val="008E04BD"/>
    <w:rsid w:val="008E6D7D"/>
    <w:rsid w:val="00907B05"/>
    <w:rsid w:val="00940FCC"/>
    <w:rsid w:val="00941DE8"/>
    <w:rsid w:val="00947113"/>
    <w:rsid w:val="00947286"/>
    <w:rsid w:val="00974A64"/>
    <w:rsid w:val="00976056"/>
    <w:rsid w:val="00990A47"/>
    <w:rsid w:val="009C1B79"/>
    <w:rsid w:val="009F529F"/>
    <w:rsid w:val="00A0161A"/>
    <w:rsid w:val="00A02C38"/>
    <w:rsid w:val="00A12F95"/>
    <w:rsid w:val="00A17C6E"/>
    <w:rsid w:val="00A32F65"/>
    <w:rsid w:val="00A37E3C"/>
    <w:rsid w:val="00A431E8"/>
    <w:rsid w:val="00A92BB7"/>
    <w:rsid w:val="00AA28BD"/>
    <w:rsid w:val="00AC0196"/>
    <w:rsid w:val="00AF434E"/>
    <w:rsid w:val="00B03F33"/>
    <w:rsid w:val="00B041C1"/>
    <w:rsid w:val="00B33E84"/>
    <w:rsid w:val="00B4133D"/>
    <w:rsid w:val="00B418F4"/>
    <w:rsid w:val="00B525F4"/>
    <w:rsid w:val="00B656E3"/>
    <w:rsid w:val="00B76001"/>
    <w:rsid w:val="00B85E57"/>
    <w:rsid w:val="00B96FB1"/>
    <w:rsid w:val="00C507C3"/>
    <w:rsid w:val="00C552DF"/>
    <w:rsid w:val="00C577A4"/>
    <w:rsid w:val="00C81936"/>
    <w:rsid w:val="00CA0365"/>
    <w:rsid w:val="00CA7C7D"/>
    <w:rsid w:val="00CD3DB7"/>
    <w:rsid w:val="00CD78D6"/>
    <w:rsid w:val="00CE3840"/>
    <w:rsid w:val="00D11B4D"/>
    <w:rsid w:val="00D3481E"/>
    <w:rsid w:val="00D40D7B"/>
    <w:rsid w:val="00D4177E"/>
    <w:rsid w:val="00D46E86"/>
    <w:rsid w:val="00D501C6"/>
    <w:rsid w:val="00D52FDA"/>
    <w:rsid w:val="00D55FB3"/>
    <w:rsid w:val="00DB0818"/>
    <w:rsid w:val="00DD63B3"/>
    <w:rsid w:val="00DF1A6B"/>
    <w:rsid w:val="00DF62E6"/>
    <w:rsid w:val="00E03710"/>
    <w:rsid w:val="00E27F91"/>
    <w:rsid w:val="00E40E21"/>
    <w:rsid w:val="00E5702F"/>
    <w:rsid w:val="00E64F6B"/>
    <w:rsid w:val="00E72242"/>
    <w:rsid w:val="00E82F18"/>
    <w:rsid w:val="00EC0D46"/>
    <w:rsid w:val="00EE2B03"/>
    <w:rsid w:val="00EE6397"/>
    <w:rsid w:val="00F110C4"/>
    <w:rsid w:val="00F1410D"/>
    <w:rsid w:val="00F22CDC"/>
    <w:rsid w:val="00F45A41"/>
    <w:rsid w:val="00F82225"/>
    <w:rsid w:val="00F8370E"/>
    <w:rsid w:val="00F8632B"/>
    <w:rsid w:val="00FD52B9"/>
    <w:rsid w:val="00FF3C12"/>
    <w:rsid w:val="00FF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Lichtelijst1">
    <w:name w:val="Lichte lijst1"/>
    <w:basedOn w:val="Standaardtabel"/>
    <w:uiPriority w:val="61"/>
    <w:rsid w:val="00A37E3C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A3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7E3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A37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A27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A27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A27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27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27D2"/>
    <w:rPr>
      <w:b/>
      <w:bCs/>
    </w:rPr>
  </w:style>
  <w:style w:type="paragraph" w:styleId="Lijstalinea">
    <w:name w:val="List Paragraph"/>
    <w:basedOn w:val="Standaard"/>
    <w:uiPriority w:val="34"/>
    <w:qFormat/>
    <w:rsid w:val="006A27D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0C50"/>
  </w:style>
  <w:style w:type="paragraph" w:styleId="Voettekst">
    <w:name w:val="footer"/>
    <w:basedOn w:val="Standaard"/>
    <w:link w:val="VoettekstChar"/>
    <w:uiPriority w:val="99"/>
    <w:semiHidden/>
    <w:unhideWhenUsed/>
    <w:rsid w:val="006C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C0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504</ap:Words>
  <ap:Characters>2777</ap:Characters>
  <ap:DocSecurity>4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2013-03-12T14:24:00.0000000Z</lastPrinted>
  <dcterms:created xsi:type="dcterms:W3CDTF">2013-03-19T14:16:00.0000000Z</dcterms:created>
  <dcterms:modified xsi:type="dcterms:W3CDTF">2013-03-19T14:16:00.0000000Z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0x01010064A21FC4D9D9B246B244C22D4A6D27D4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