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C37FE1" w:rsidP="00C37FE1" w:rsidRDefault="00FA6919">
      <w:r>
        <w:t xml:space="preserve">De </w:t>
      </w:r>
      <w:r w:rsidR="001E4B7C">
        <w:t>cijfers die ik u op 5 februari jl. toezond als deel van de beantwoording van de Kamervragen van het lid Omtzigt</w:t>
      </w:r>
      <w:r w:rsidR="002D4824">
        <w:t xml:space="preserve"> </w:t>
      </w:r>
      <w:r w:rsidR="001E4B7C">
        <w:t>e.a. d.d. 28 januari (2013Z01465) over het rapport “</w:t>
      </w:r>
      <w:proofErr w:type="spellStart"/>
      <w:r w:rsidR="001E4B7C">
        <w:t>Seventeenth</w:t>
      </w:r>
      <w:proofErr w:type="spellEnd"/>
      <w:r w:rsidR="001E4B7C">
        <w:t xml:space="preserve"> Bi-</w:t>
      </w:r>
      <w:proofErr w:type="spellStart"/>
      <w:r w:rsidR="001E4B7C">
        <w:t>annual</w:t>
      </w:r>
      <w:proofErr w:type="spellEnd"/>
      <w:r w:rsidR="001E4B7C">
        <w:t xml:space="preserve"> Report: Developments in European Union Procedures </w:t>
      </w:r>
      <w:proofErr w:type="spellStart"/>
      <w:r w:rsidR="001E4B7C">
        <w:t>and</w:t>
      </w:r>
      <w:proofErr w:type="spellEnd"/>
      <w:r w:rsidR="001E4B7C">
        <w:t xml:space="preserve"> </w:t>
      </w:r>
      <w:proofErr w:type="spellStart"/>
      <w:r w:rsidR="001E4B7C">
        <w:t>Practices</w:t>
      </w:r>
      <w:proofErr w:type="spellEnd"/>
      <w:r w:rsidR="001E4B7C">
        <w:t xml:space="preserve"> Relevant </w:t>
      </w:r>
      <w:proofErr w:type="spellStart"/>
      <w:r w:rsidR="001E4B7C">
        <w:t>to</w:t>
      </w:r>
      <w:proofErr w:type="spellEnd"/>
      <w:r w:rsidR="001E4B7C">
        <w:t xml:space="preserve"> </w:t>
      </w:r>
      <w:proofErr w:type="spellStart"/>
      <w:r w:rsidR="001E4B7C">
        <w:t>Parliamentary</w:t>
      </w:r>
      <w:proofErr w:type="spellEnd"/>
      <w:r w:rsidR="001E4B7C">
        <w:t xml:space="preserve"> </w:t>
      </w:r>
      <w:proofErr w:type="spellStart"/>
      <w:r w:rsidR="001E4B7C">
        <w:t>Scrutiny</w:t>
      </w:r>
      <w:proofErr w:type="spellEnd"/>
      <w:r w:rsidR="001E4B7C">
        <w:t>” van de COSAC</w:t>
      </w:r>
      <w:r>
        <w:t>, zijn als gevolg van een misverstand aan de zijde van het Raadssecretariaat niet geheel correct. Dat geldt overigens ook voor de cijfers die</w:t>
      </w:r>
      <w:r w:rsidR="00E549DF">
        <w:t xml:space="preserve"> de Raad</w:t>
      </w:r>
      <w:r>
        <w:t xml:space="preserve"> aan het Europees Parlement verstrekt</w:t>
      </w:r>
      <w:r w:rsidR="00E549DF">
        <w:t>e</w:t>
      </w:r>
      <w:r w:rsidR="001E4B7C">
        <w:t>.</w:t>
      </w:r>
      <w:r>
        <w:t xml:space="preserve"> </w:t>
      </w:r>
      <w:r w:rsidR="001E4B7C">
        <w:t xml:space="preserve"> </w:t>
      </w:r>
    </w:p>
    <w:p w:rsidR="001E4B7C" w:rsidP="00C37FE1" w:rsidRDefault="001E4B7C"/>
    <w:p w:rsidR="001E4B7C" w:rsidP="00C37FE1" w:rsidRDefault="001E4B7C">
      <w:r>
        <w:t>De correcte cijfers in antwoord op vraag twee</w:t>
      </w:r>
      <w:r w:rsidR="00D82C63">
        <w:t xml:space="preserve"> zijn als</w:t>
      </w:r>
      <w:r w:rsidR="00FA6919">
        <w:t xml:space="preserve"> </w:t>
      </w:r>
      <w:r w:rsidR="00D82C63">
        <w:t>volgt:</w:t>
      </w:r>
    </w:p>
    <w:p w:rsidR="00D82C63" w:rsidP="00C37FE1" w:rsidRDefault="00D82C63"/>
    <w:tbl>
      <w:tblPr>
        <w:tblW w:w="6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174"/>
        <w:gridCol w:w="1134"/>
        <w:gridCol w:w="1276"/>
        <w:gridCol w:w="1977"/>
      </w:tblGrid>
      <w:tr w:rsidR="00D82C63" w:rsidTr="00D82C63">
        <w:trPr>
          <w:trHeight w:val="255"/>
        </w:trPr>
        <w:tc>
          <w:tcPr>
            <w:tcW w:w="109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Limité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Restricted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Confidential</w:t>
            </w:r>
            <w:proofErr w:type="spellEnd"/>
          </w:p>
        </w:tc>
        <w:tc>
          <w:tcPr>
            <w:tcW w:w="1977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</w:p>
        </w:tc>
      </w:tr>
      <w:tr w:rsidR="00D82C63" w:rsidTr="00D82C63">
        <w:trPr>
          <w:trHeight w:val="255"/>
        </w:trPr>
        <w:tc>
          <w:tcPr>
            <w:tcW w:w="0" w:type="auto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17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10596</w:t>
            </w:r>
          </w:p>
        </w:tc>
        <w:tc>
          <w:tcPr>
            <w:tcW w:w="113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  <w:tc>
          <w:tcPr>
            <w:tcW w:w="1276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1977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D82C63" w:rsidTr="00D82C63">
        <w:trPr>
          <w:trHeight w:val="255"/>
        </w:trPr>
        <w:tc>
          <w:tcPr>
            <w:tcW w:w="0" w:type="auto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17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10667</w:t>
            </w:r>
          </w:p>
        </w:tc>
        <w:tc>
          <w:tcPr>
            <w:tcW w:w="113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2193</w:t>
            </w:r>
          </w:p>
        </w:tc>
        <w:tc>
          <w:tcPr>
            <w:tcW w:w="1276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977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D82C63" w:rsidTr="00D82C63">
        <w:trPr>
          <w:trHeight w:val="255"/>
        </w:trPr>
        <w:tc>
          <w:tcPr>
            <w:tcW w:w="0" w:type="auto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7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11432</w:t>
            </w:r>
          </w:p>
        </w:tc>
        <w:tc>
          <w:tcPr>
            <w:tcW w:w="113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2271</w:t>
            </w:r>
          </w:p>
        </w:tc>
        <w:tc>
          <w:tcPr>
            <w:tcW w:w="1276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977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D82C63" w:rsidTr="00D82C63">
        <w:trPr>
          <w:trHeight w:val="255"/>
        </w:trPr>
        <w:tc>
          <w:tcPr>
            <w:tcW w:w="0" w:type="auto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17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11038</w:t>
            </w:r>
          </w:p>
        </w:tc>
        <w:tc>
          <w:tcPr>
            <w:tcW w:w="1134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1276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977" w:type="dxa"/>
            <w:vAlign w:val="center"/>
            <w:hideMark/>
          </w:tcPr>
          <w:p w:rsidR="00D82C63" w:rsidRDefault="00D82C63">
            <w:pPr>
              <w:rPr>
                <w:rFonts w:ascii="Times New Roman" w:hAnsi="Times New Roman" w:eastAsiaTheme="minorHAnsi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:rsidR="00D82C63" w:rsidP="00C37FE1" w:rsidRDefault="00D82C63"/>
    <w:p w:rsidR="00FA6919" w:rsidP="00C37FE1" w:rsidRDefault="00FA6919">
      <w:r>
        <w:t>De cijfers over aantallen documenten van de Europese Raad, in hetzelfde antwoord, zijn wel correct.</w:t>
      </w:r>
    </w:p>
    <w:p w:rsidRPr="00C37FE1" w:rsidR="00FA6919" w:rsidP="00C37FE1" w:rsidRDefault="00FA6919"/>
    <w:p w:rsidR="00D82C63" w:rsidP="00C37FE1" w:rsidRDefault="00FA6919">
      <w:bookmarkStart w:name="bm_txtend" w:id="3"/>
      <w:r>
        <w:t>Ik zou u willen v</w:t>
      </w:r>
      <w:r w:rsidR="00D82C63">
        <w:t>erzoeke</w:t>
      </w:r>
      <w:r>
        <w:t>n</w:t>
      </w:r>
      <w:r w:rsidR="00D82C63">
        <w:t xml:space="preserve"> dit in de</w:t>
      </w:r>
      <w:r>
        <w:t xml:space="preserve"> definitieve</w:t>
      </w:r>
      <w:r w:rsidR="00D82C63">
        <w:t xml:space="preserve"> beantwoording van de</w:t>
      </w:r>
      <w:r>
        <w:t>ze</w:t>
      </w:r>
      <w:r w:rsidR="00D82C63">
        <w:t xml:space="preserve"> Kamervragen, zoals deze zullen worden vastgelegd in de Kamerstukken</w:t>
      </w:r>
      <w:r>
        <w:t>,</w:t>
      </w:r>
      <w:r w:rsidR="00D82C63">
        <w:t xml:space="preserve"> te corrigeren. </w:t>
      </w:r>
    </w:p>
    <w:p w:rsidR="00C37FE1" w:rsidP="00C37FE1" w:rsidRDefault="008505BA"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8505BA">
        <w:tc>
          <w:tcPr>
            <w:tcW w:w="4500" w:type="pct"/>
          </w:tcPr>
          <w:p w:rsidRPr="00C37FE1" w:rsidR="002F6C89" w:rsidP="002F6C89" w:rsidRDefault="008505BA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8505BA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8505BA">
        <w:tc>
          <w:tcPr>
            <w:tcW w:w="4500" w:type="pct"/>
          </w:tcPr>
          <w:p w:rsidR="008505BA" w:rsidP="002F6C89" w:rsidRDefault="008505BA">
            <w:bookmarkStart w:name="bm_groet1" w:id="6"/>
          </w:p>
          <w:p w:rsidR="008505BA" w:rsidP="002F6C89" w:rsidRDefault="008505BA"/>
          <w:p w:rsidR="008505BA" w:rsidP="002F6C89" w:rsidRDefault="008505BA"/>
          <w:p w:rsidR="008505BA" w:rsidP="002F6C89" w:rsidRDefault="008505BA"/>
          <w:p w:rsidRPr="00C37FE1" w:rsidR="004B0BDA" w:rsidP="002F6C89" w:rsidRDefault="008505BA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8505BA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03" w:rsidRDefault="00F41103">
      <w:r>
        <w:separator/>
      </w:r>
    </w:p>
    <w:p w:rsidR="00F41103" w:rsidRDefault="00F41103"/>
  </w:endnote>
  <w:endnote w:type="continuationSeparator" w:id="0">
    <w:p w:rsidR="00F41103" w:rsidRDefault="00F41103">
      <w:r>
        <w:continuationSeparator/>
      </w:r>
    </w:p>
    <w:p w:rsidR="00F41103" w:rsidRDefault="00F41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F39A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95F2C">
            <w:fldChar w:fldCharType="begin"/>
          </w:r>
          <w:r w:rsidR="00995F2C">
            <w:instrText xml:space="preserve"> NUMPAGES   \* MERGEFORMAT </w:instrText>
          </w:r>
          <w:r w:rsidR="00995F2C">
            <w:fldChar w:fldCharType="separate"/>
          </w:r>
          <w:r w:rsidR="004F39A6">
            <w:t>1</w:t>
          </w:r>
          <w:r w:rsidR="00995F2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4F39A6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95F2C">
            <w:fldChar w:fldCharType="begin"/>
          </w:r>
          <w:r w:rsidR="00995F2C">
            <w:instrText xml:space="preserve"> NUMPAGES   \* MERGEFORMAT </w:instrText>
          </w:r>
          <w:r w:rsidR="00995F2C">
            <w:fldChar w:fldCharType="separate"/>
          </w:r>
          <w:r>
            <w:t>1</w:t>
          </w:r>
          <w:r w:rsidR="00995F2C">
            <w:fldChar w:fldCharType="end"/>
          </w:r>
        </w:p>
      </w:tc>
    </w:tr>
    <w:bookmarkEnd w:id="17"/>
  </w:tbl>
  <w:p w:rsidR="0014093E" w:rsidRPr="0002045D" w:rsidRDefault="0014093E" w:rsidP="0002045D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4F39A6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02045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95F2C">
            <w:fldChar w:fldCharType="begin"/>
          </w:r>
          <w:r w:rsidR="00995F2C">
            <w:instrText xml:space="preserve"> NUMPAGES   \* MERGEFORMAT </w:instrText>
          </w:r>
          <w:r w:rsidR="00995F2C">
            <w:fldChar w:fldCharType="separate"/>
          </w:r>
          <w:r w:rsidR="0002045D">
            <w:t>1</w:t>
          </w:r>
          <w:r w:rsidR="00995F2C">
            <w:fldChar w:fldCharType="end"/>
          </w:r>
        </w:p>
      </w:tc>
    </w:tr>
  </w:tbl>
  <w:p w:rsidR="0014093E" w:rsidRPr="0002045D" w:rsidRDefault="0014093E" w:rsidP="0002045D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03" w:rsidRDefault="00F41103">
      <w:r>
        <w:separator/>
      </w:r>
    </w:p>
    <w:p w:rsidR="00F41103" w:rsidRDefault="00F41103"/>
  </w:footnote>
  <w:footnote w:type="continuationSeparator" w:id="0">
    <w:p w:rsidR="00F41103" w:rsidRDefault="00F41103">
      <w:r>
        <w:continuationSeparator/>
      </w:r>
    </w:p>
    <w:p w:rsidR="00F41103" w:rsidRDefault="00F411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E4E6C2" wp14:editId="5075644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8505B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4F39A6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8505B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xxxx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8505B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4F39A6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8505B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xxxx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34B167" wp14:editId="2B868E1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28B58A" wp14:editId="35C95F9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8B58A" wp14:editId="35C95F9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05E1BE" wp14:editId="50B22A9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8505B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505BA" w:rsidRDefault="008505BA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8505BA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8505BA">
                                  <w:br/>
                                  <w:t>Bezuidenhoutseweg 67</w:t>
                                </w:r>
                                <w:r w:rsidR="0014093E" w:rsidRPr="008505BA">
                                  <w:br/>
                                  <w:t>2594 AC Den Haag</w:t>
                                </w:r>
                                <w:r w:rsidR="0014093E" w:rsidRPr="008505BA">
                                  <w:br/>
                                  <w:t>Postbus 20061</w:t>
                                </w:r>
                                <w:r w:rsidR="0014093E" w:rsidRPr="008505BA">
                                  <w:br/>
                                  <w:t>Nederland</w:t>
                                </w:r>
                                <w:r w:rsidR="0014093E" w:rsidRPr="008505BA">
                                  <w:br/>
                                </w:r>
                                <w:r w:rsidR="00522E82" w:rsidRPr="008505BA">
                                  <w:t>www.rijksoverheid.nl</w:t>
                                </w:r>
                              </w:p>
                              <w:bookmarkEnd w:id="19"/>
                              <w:p w:rsidR="00AA7E77" w:rsidRDefault="004F39A6" w:rsidP="00AA7E77">
                                <w:pPr>
                                  <w:pStyle w:val="Huisstijl-Gegeven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8505BA">
                                  <w:rPr>
                                    <w:b/>
                                  </w:rPr>
                                  <w:br/>
                                </w:r>
                                <w:r w:rsidR="00AA7E77">
                                  <w:t>Patty Zandstra</w:t>
                                </w:r>
                              </w:p>
                              <w:p w:rsidR="0014093E" w:rsidRPr="008505BA" w:rsidRDefault="0014093E" w:rsidP="00BC4AE3">
                                <w:pPr>
                                  <w:pStyle w:val="Huisstijl-Adres"/>
                                </w:pPr>
                                <w:r w:rsidRPr="008505BA">
                                  <w:t>T</w:t>
                                </w:r>
                                <w:r w:rsidRPr="008505BA">
                                  <w:tab/>
                                </w:r>
                                <w:bookmarkStart w:id="20" w:name="bm_phone"/>
                                <w:r w:rsidR="008505BA" w:rsidRPr="008505BA">
                                  <w:t>+31703485821</w:t>
                                </w:r>
                                <w:bookmarkEnd w:id="20"/>
                                <w:r w:rsidRPr="008505BA">
                                  <w:br/>
                                  <w:t>F</w:t>
                                </w:r>
                                <w:r w:rsidRPr="008505BA">
                                  <w:tab/>
                                </w:r>
                                <w:bookmarkStart w:id="21" w:name="bm_fax"/>
                                <w:bookmarkEnd w:id="21"/>
                                <w:r w:rsidR="004F39A6">
                                  <w:t>+31703486381</w:t>
                                </w:r>
                                <w:r w:rsidRPr="008505BA">
                                  <w:br/>
                                </w:r>
                                <w:bookmarkStart w:id="22" w:name="bm_email"/>
                                <w:r w:rsidR="008505BA" w:rsidRPr="008505BA">
                                  <w:t>patty.zandstra@minbuza.nl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8505B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505BA" w:rsidRDefault="0014093E" w:rsidP="00BC4AE3"/>
                            </w:tc>
                          </w:tr>
                          <w:tr w:rsidR="0014093E" w:rsidRPr="008505B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505BA" w:rsidRDefault="004F39A6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8505BA" w:rsidRDefault="004F39A6" w:rsidP="00BC4AE3">
                                <w:pPr>
                                  <w:pStyle w:val="Huisstijl-Gegeven"/>
                                </w:pPr>
                                <w:r>
                                  <w:t>Minbuza-2013.11139</w:t>
                                </w:r>
                              </w:p>
                              <w:p w:rsidR="0014093E" w:rsidRPr="008505B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8505B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:rsidR="0014093E" w:rsidRPr="008505B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8505B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505B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8505B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8505B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505BA" w:rsidRDefault="008505BA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8505BA">
                            <w:rPr>
                              <w:b/>
                            </w:rPr>
                            <w:t>Directie Integratie Europa</w:t>
                          </w:r>
                          <w:bookmarkEnd w:id="25"/>
                          <w:r w:rsidR="0014093E" w:rsidRPr="008505BA">
                            <w:br/>
                            <w:t>Bezuidenhoutseweg 67</w:t>
                          </w:r>
                          <w:r w:rsidR="0014093E" w:rsidRPr="008505BA">
                            <w:br/>
                            <w:t>2594 AC Den Haag</w:t>
                          </w:r>
                          <w:r w:rsidR="0014093E" w:rsidRPr="008505BA">
                            <w:br/>
                            <w:t>Postbus 20061</w:t>
                          </w:r>
                          <w:r w:rsidR="0014093E" w:rsidRPr="008505BA">
                            <w:br/>
                            <w:t>Nederland</w:t>
                          </w:r>
                          <w:r w:rsidR="0014093E" w:rsidRPr="008505BA">
                            <w:br/>
                          </w:r>
                          <w:r w:rsidR="00522E82" w:rsidRPr="008505BA">
                            <w:t>www.rijksoverheid.nl</w:t>
                          </w:r>
                        </w:p>
                        <w:bookmarkEnd w:id="26"/>
                        <w:p w:rsidR="00AA7E77" w:rsidRDefault="004F39A6" w:rsidP="00AA7E77">
                          <w:pPr>
                            <w:pStyle w:val="Huisstijl-Gegeven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8505BA">
                            <w:rPr>
                              <w:b/>
                            </w:rPr>
                            <w:br/>
                          </w:r>
                          <w:r w:rsidR="00AA7E77">
                            <w:t>Patty Zandstra</w:t>
                          </w:r>
                        </w:p>
                        <w:p w:rsidR="0014093E" w:rsidRPr="008505BA" w:rsidRDefault="0014093E" w:rsidP="00BC4AE3">
                          <w:pPr>
                            <w:pStyle w:val="Huisstijl-Adres"/>
                          </w:pPr>
                          <w:r w:rsidRPr="008505BA">
                            <w:t>T</w:t>
                          </w:r>
                          <w:r w:rsidRPr="008505BA">
                            <w:tab/>
                          </w:r>
                          <w:bookmarkStart w:id="27" w:name="bm_phone"/>
                          <w:r w:rsidR="008505BA" w:rsidRPr="008505BA">
                            <w:t>+31703485821</w:t>
                          </w:r>
                          <w:bookmarkEnd w:id="27"/>
                          <w:r w:rsidRPr="008505BA">
                            <w:br/>
                            <w:t>F</w:t>
                          </w:r>
                          <w:r w:rsidRPr="008505BA">
                            <w:tab/>
                          </w:r>
                          <w:bookmarkStart w:id="28" w:name="bm_fax"/>
                          <w:bookmarkEnd w:id="28"/>
                          <w:r w:rsidR="004F39A6">
                            <w:t>+31703486381</w:t>
                          </w:r>
                          <w:r w:rsidRPr="008505BA">
                            <w:br/>
                          </w:r>
                          <w:bookmarkStart w:id="29" w:name="bm_email"/>
                          <w:r w:rsidR="008505BA" w:rsidRPr="008505BA">
                            <w:t>patty.zandstra@minbuza.nl</w:t>
                          </w:r>
                          <w:bookmarkEnd w:id="29"/>
                        </w:p>
                      </w:tc>
                    </w:tr>
                    <w:tr w:rsidR="0014093E" w:rsidRPr="008505B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505BA" w:rsidRDefault="0014093E" w:rsidP="00BC4AE3"/>
                      </w:tc>
                    </w:tr>
                    <w:tr w:rsidR="0014093E" w:rsidRPr="008505B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505BA" w:rsidRDefault="004F39A6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8505BA" w:rsidRDefault="004F39A6" w:rsidP="00BC4AE3">
                          <w:pPr>
                            <w:pStyle w:val="Huisstijl-Gegeven"/>
                          </w:pPr>
                          <w:r>
                            <w:t>Minbuza-2013.11139</w:t>
                          </w:r>
                        </w:p>
                        <w:p w:rsidR="0014093E" w:rsidRPr="008505B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:rsidR="0014093E" w:rsidRPr="008505B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:rsidR="0014093E" w:rsidRPr="008505B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8505B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505B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8505B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4F39A6" w:rsidRPr="004F39A6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4F39A6" w:rsidRPr="004F39A6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4F39A6" w:rsidRPr="004F39A6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4F39A6" w:rsidP="00995F2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2" w:name="bm_date"/>
          <w:r w:rsidR="00995F2C">
            <w:rPr>
              <w:rFonts w:cs="Verdana"/>
              <w:szCs w:val="18"/>
            </w:rPr>
            <w:t>8</w:t>
          </w:r>
          <w:r w:rsidR="008505BA">
            <w:rPr>
              <w:rFonts w:cs="Verdana"/>
              <w:szCs w:val="18"/>
            </w:rPr>
            <w:t xml:space="preserve"> februari 2013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4F39A6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3" w:name="bm_subject"/>
          <w:r w:rsidR="008505BA">
            <w:t>Corrigendum</w:t>
          </w:r>
          <w:bookmarkEnd w:id="33"/>
          <w:r w:rsidR="00FA6919">
            <w:t xml:space="preserve"> beantwoording Kamervragen Omtzigt e.a. over toegang tot interne EU-Raadsdocumenten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BA"/>
    <w:rsid w:val="0001192B"/>
    <w:rsid w:val="00013862"/>
    <w:rsid w:val="00013D7A"/>
    <w:rsid w:val="00020189"/>
    <w:rsid w:val="0002045D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4B7C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4FDC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39A6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05BA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51EA"/>
    <w:rsid w:val="00995F2C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A7E7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2C63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49DF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10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6919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833</ap:Characters>
  <ap:DocSecurity>0</ap:DocSecurity>
  <ap:Lines>55</ap:Lines>
  <ap:Paragraphs>30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oFAAXzy6TWd89phHkKvTfinoNxjgVZdC5WWBTYQhvfyfByvVbutXU9BmL2KKaSy4ZIiCHxcy6cLHg6j7
DQD/DOCYSSSH/BL6yqf7+8OERupqSE/6aK/qhU+SVUVhG1/zlsAKepCDcy2TxoD7DQD/DOCYSSSH
/BL6yqf7+8OERupqSE/6aK/qhU+SVUVhG1/zlsAKOc8xDxQet1xel8grrfqZ0MDotIxR7zvrn9IT
DHboEI4R3fTftt0vX</vt:lpwstr>
  </property>
  <property fmtid="{D5CDD505-2E9C-101B-9397-08002B2CF9AE}" pid="3" name="MAIL_MSG_ID2">
    <vt:lpwstr>20uXNWioudyqPJ98G9HZIecTeKG0zXfoOJJz+N+fkI/pzPaE5Olvf73mEIh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0x0101003E57A7CA83B4D242A129218D7DF53CC4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