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48" w:rsidP="009D3948" w:rsidRDefault="009D3948">
      <w:pPr>
        <w:spacing w:line="360" w:lineRule="auto"/>
        <w:rPr>
          <w:rFonts w:ascii="Arial" w:hAnsi="Arial" w:cs="Arial"/>
          <w:b/>
          <w:bCs/>
          <w:sz w:val="20"/>
          <w:szCs w:val="20"/>
        </w:rPr>
      </w:pPr>
      <w:r w:rsidRPr="00670E37">
        <w:rPr>
          <w:rFonts w:ascii="Arial" w:hAnsi="Arial" w:cs="Arial"/>
          <w:b/>
          <w:sz w:val="20"/>
          <w:szCs w:val="20"/>
        </w:rPr>
        <w:t xml:space="preserve">Geannoteerde Agenda ten behoeve van de </w:t>
      </w:r>
      <w:r w:rsidRPr="00670E37">
        <w:rPr>
          <w:rFonts w:ascii="Arial" w:hAnsi="Arial" w:cs="Arial"/>
          <w:b/>
          <w:bCs/>
          <w:sz w:val="20"/>
          <w:szCs w:val="20"/>
        </w:rPr>
        <w:t xml:space="preserve">Eurogroep en Ecofin Raad van 11 en 12 februari 2013 te Brussel </w:t>
      </w:r>
    </w:p>
    <w:p w:rsidR="00670E37" w:rsidP="00670E37" w:rsidRDefault="00670E37">
      <w:pPr>
        <w:pStyle w:val="Lijstalinea"/>
        <w:numPr>
          <w:ilvl w:val="0"/>
          <w:numId w:val="1"/>
        </w:numPr>
        <w:spacing w:line="360" w:lineRule="auto"/>
        <w:rPr>
          <w:rFonts w:ascii="Arial" w:hAnsi="Arial" w:cs="Arial"/>
          <w:b/>
          <w:sz w:val="20"/>
          <w:szCs w:val="20"/>
        </w:rPr>
      </w:pPr>
      <w:r w:rsidRPr="00670E37">
        <w:rPr>
          <w:rFonts w:ascii="Arial" w:hAnsi="Arial" w:cs="Arial"/>
          <w:b/>
          <w:sz w:val="20"/>
          <w:szCs w:val="20"/>
        </w:rPr>
        <w:t xml:space="preserve">Cyprus </w:t>
      </w:r>
    </w:p>
    <w:p w:rsidRPr="007F120E" w:rsidR="00486CD8" w:rsidP="00486CD8" w:rsidRDefault="00486CD8">
      <w:pPr>
        <w:spacing w:after="0" w:line="360" w:lineRule="auto"/>
        <w:jc w:val="both"/>
        <w:rPr>
          <w:rFonts w:ascii="Arial" w:hAnsi="Arial" w:cs="Arial"/>
          <w:bCs/>
          <w:sz w:val="20"/>
          <w:szCs w:val="20"/>
        </w:rPr>
      </w:pPr>
      <w:r w:rsidRPr="007F120E">
        <w:rPr>
          <w:rFonts w:ascii="Arial" w:hAnsi="Arial" w:cs="Arial"/>
          <w:b/>
          <w:bCs/>
          <w:sz w:val="20"/>
          <w:szCs w:val="20"/>
        </w:rPr>
        <w:t>Document:</w:t>
      </w:r>
      <w:r w:rsidRPr="007F120E">
        <w:rPr>
          <w:rFonts w:ascii="Arial" w:hAnsi="Arial" w:cs="Arial"/>
          <w:bCs/>
          <w:sz w:val="20"/>
          <w:szCs w:val="20"/>
        </w:rPr>
        <w:t xml:space="preserve"> </w:t>
      </w:r>
      <w:r w:rsidR="00E661B8">
        <w:rPr>
          <w:rFonts w:ascii="Arial" w:hAnsi="Arial" w:cs="Arial"/>
          <w:bCs/>
          <w:sz w:val="20"/>
          <w:szCs w:val="20"/>
        </w:rPr>
        <w:t>n.v.t.</w:t>
      </w:r>
    </w:p>
    <w:p w:rsidRPr="007F120E" w:rsidR="00486CD8" w:rsidP="00486CD8" w:rsidRDefault="00486CD8">
      <w:pPr>
        <w:spacing w:after="0" w:line="360" w:lineRule="auto"/>
        <w:jc w:val="both"/>
        <w:rPr>
          <w:rFonts w:ascii="Arial" w:hAnsi="Arial" w:cs="Arial"/>
          <w:bCs/>
          <w:sz w:val="20"/>
          <w:szCs w:val="20"/>
        </w:rPr>
      </w:pPr>
      <w:r w:rsidRPr="007F120E">
        <w:rPr>
          <w:rFonts w:ascii="Arial" w:hAnsi="Arial" w:cs="Arial"/>
          <w:b/>
          <w:bCs/>
          <w:sz w:val="20"/>
          <w:szCs w:val="20"/>
        </w:rPr>
        <w:t>Aard bespreking:</w:t>
      </w:r>
      <w:r w:rsidRPr="007F120E">
        <w:rPr>
          <w:rFonts w:ascii="Arial" w:hAnsi="Arial" w:cs="Arial"/>
          <w:bCs/>
          <w:sz w:val="20"/>
          <w:szCs w:val="20"/>
        </w:rPr>
        <w:t xml:space="preserve"> gedachtewisseling</w:t>
      </w:r>
    </w:p>
    <w:p w:rsidRPr="007F120E" w:rsidR="00486CD8" w:rsidP="00486CD8" w:rsidRDefault="00486CD8">
      <w:pPr>
        <w:spacing w:after="0" w:line="360" w:lineRule="auto"/>
        <w:jc w:val="both"/>
        <w:rPr>
          <w:rFonts w:ascii="Arial" w:hAnsi="Arial" w:cs="Arial"/>
          <w:sz w:val="20"/>
          <w:szCs w:val="20"/>
        </w:rPr>
      </w:pPr>
      <w:r w:rsidRPr="007F120E">
        <w:rPr>
          <w:rFonts w:ascii="Arial" w:hAnsi="Arial" w:cs="Arial"/>
          <w:b/>
          <w:bCs/>
          <w:sz w:val="20"/>
          <w:szCs w:val="20"/>
        </w:rPr>
        <w:t>Besluitvormingsprocedure:</w:t>
      </w:r>
      <w:r w:rsidRPr="007F120E">
        <w:rPr>
          <w:rFonts w:ascii="Arial" w:hAnsi="Arial" w:cs="Arial"/>
          <w:bCs/>
          <w:sz w:val="20"/>
          <w:szCs w:val="20"/>
        </w:rPr>
        <w:t xml:space="preserve"> </w:t>
      </w:r>
      <w:r w:rsidR="00E661B8">
        <w:rPr>
          <w:rFonts w:ascii="Arial" w:hAnsi="Arial" w:cs="Arial"/>
          <w:bCs/>
          <w:sz w:val="20"/>
          <w:szCs w:val="20"/>
        </w:rPr>
        <w:t>n.v.t.</w:t>
      </w:r>
    </w:p>
    <w:p w:rsidRPr="00976387" w:rsidR="00486CD8" w:rsidP="00486CD8" w:rsidRDefault="00486CD8">
      <w:pPr>
        <w:spacing w:after="0" w:line="360" w:lineRule="auto"/>
        <w:jc w:val="both"/>
        <w:rPr>
          <w:rFonts w:ascii="Arial" w:hAnsi="Arial" w:eastAsia="Times New Roman" w:cs="Arial"/>
          <w:color w:val="FF0000"/>
          <w:sz w:val="20"/>
          <w:szCs w:val="20"/>
        </w:rPr>
      </w:pPr>
      <w:r w:rsidRPr="007F120E">
        <w:rPr>
          <w:rFonts w:ascii="Arial" w:hAnsi="Arial" w:eastAsia="Times New Roman" w:cs="Arial"/>
          <w:b/>
          <w:sz w:val="20"/>
          <w:szCs w:val="20"/>
        </w:rPr>
        <w:t>Toelichting:</w:t>
      </w:r>
      <w:r w:rsidRPr="00976387">
        <w:rPr>
          <w:rFonts w:ascii="Arial" w:hAnsi="Arial" w:eastAsia="Times New Roman" w:cs="Arial"/>
          <w:color w:val="FF0000"/>
          <w:sz w:val="20"/>
          <w:szCs w:val="20"/>
        </w:rPr>
        <w:t xml:space="preserve"> </w:t>
      </w:r>
      <w:r w:rsidRPr="007F120E">
        <w:rPr>
          <w:rFonts w:ascii="Arial" w:hAnsi="Arial" w:eastAsia="Times New Roman" w:cs="Arial"/>
          <w:sz w:val="20"/>
          <w:szCs w:val="20"/>
        </w:rPr>
        <w:t>De Eurogroep zal spreken over de stand van zaken met betrekking tot de steunaanvraag van Cyprus in juni jl. Er is geen besluitvorming voorzien.</w:t>
      </w:r>
      <w:r w:rsidRPr="00976387">
        <w:rPr>
          <w:rFonts w:ascii="Arial" w:hAnsi="Arial" w:eastAsia="Times New Roman" w:cs="Arial"/>
          <w:color w:val="FF0000"/>
          <w:sz w:val="20"/>
          <w:szCs w:val="20"/>
        </w:rPr>
        <w:t xml:space="preserve"> </w:t>
      </w:r>
    </w:p>
    <w:p w:rsidRPr="00BE0DF2" w:rsidR="00486CD8" w:rsidP="00BE0DF2" w:rsidRDefault="00486CD8">
      <w:pPr>
        <w:spacing w:after="0" w:line="360" w:lineRule="auto"/>
        <w:jc w:val="both"/>
        <w:rPr>
          <w:rFonts w:ascii="Arial" w:hAnsi="Arial" w:cs="Arial"/>
          <w:sz w:val="20"/>
          <w:szCs w:val="20"/>
        </w:rPr>
      </w:pPr>
      <w:r w:rsidRPr="007F120E">
        <w:rPr>
          <w:rFonts w:ascii="Arial" w:hAnsi="Arial" w:eastAsia="Times New Roman" w:cs="Arial"/>
          <w:sz w:val="20"/>
          <w:szCs w:val="20"/>
        </w:rPr>
        <w:t xml:space="preserve">Nederland hecht eraan dat alle informatie over Cyprus beschikbaar moet zijn en dat alle mogelijke opties moeten worden bekeken voor het oplossen van de problemen, voor er een besluit genomen kan worden. </w:t>
      </w:r>
      <w:r w:rsidRPr="007F120E">
        <w:rPr>
          <w:rFonts w:ascii="Arial" w:hAnsi="Arial" w:cs="Arial"/>
          <w:sz w:val="20"/>
          <w:szCs w:val="20"/>
        </w:rPr>
        <w:t>De Tweede kamer wordt vooraf in de gelegenheid gesteld over het steunprogramma te oordelen alvorens het kabinet namens Nederland een definitief besluit kan nemen. De Tweede Kamer zal op de hoogte gehouden worden over de voortgang rond een mogelijk steunprogramma.</w:t>
      </w:r>
      <w:r w:rsidR="00BE0DF2">
        <w:rPr>
          <w:rFonts w:ascii="Arial" w:hAnsi="Arial" w:cs="Arial"/>
          <w:sz w:val="20"/>
          <w:szCs w:val="20"/>
        </w:rPr>
        <w:t xml:space="preserve"> </w:t>
      </w:r>
      <w:r w:rsidRPr="008056F0">
        <w:rPr>
          <w:rFonts w:ascii="Arial" w:hAnsi="Arial" w:cs="Arial"/>
          <w:sz w:val="20"/>
          <w:szCs w:val="20"/>
        </w:rPr>
        <w:t>Zoals toegezegd in het Algemeen Overleg Ecofin Raad van 17 januari jl. zou het kabinet voor het Algemene Overleg Ecofin in februari de Tweede Kamer informeren over de stand van zaken omtrent witwassen bij Cypriotische financiële instellingen</w:t>
      </w:r>
      <w:r w:rsidR="00BE0DF2">
        <w:rPr>
          <w:rFonts w:ascii="Arial" w:hAnsi="Arial" w:cs="Arial"/>
          <w:sz w:val="20"/>
          <w:szCs w:val="20"/>
        </w:rPr>
        <w:t>.</w:t>
      </w:r>
      <w:r>
        <w:rPr>
          <w:rFonts w:ascii="Arial" w:hAnsi="Arial" w:cs="Arial"/>
          <w:sz w:val="20"/>
          <w:szCs w:val="20"/>
        </w:rPr>
        <w:t xml:space="preserve"> </w:t>
      </w:r>
      <w:r w:rsidRPr="008056F0">
        <w:rPr>
          <w:rFonts w:ascii="Arial" w:hAnsi="Arial" w:cs="Arial"/>
          <w:sz w:val="20"/>
          <w:szCs w:val="20"/>
        </w:rPr>
        <w:t>Zoals ook gemeld</w:t>
      </w:r>
      <w:r w:rsidRPr="00976387">
        <w:rPr>
          <w:rFonts w:ascii="Arial" w:hAnsi="Arial" w:cs="Arial"/>
          <w:sz w:val="20"/>
          <w:szCs w:val="20"/>
        </w:rPr>
        <w:t xml:space="preserve"> in de beantwoording van de Kamervragen van de leden Omtzigt en Van Hijum (d.d. </w:t>
      </w:r>
      <w:r>
        <w:rPr>
          <w:rFonts w:ascii="Arial" w:hAnsi="Arial" w:cs="Arial"/>
          <w:sz w:val="20"/>
          <w:szCs w:val="20"/>
        </w:rPr>
        <w:t>20 december 2012</w:t>
      </w:r>
      <w:r w:rsidRPr="00976387">
        <w:rPr>
          <w:rFonts w:ascii="Arial" w:hAnsi="Arial" w:cs="Arial"/>
          <w:sz w:val="20"/>
          <w:szCs w:val="20"/>
        </w:rPr>
        <w:t xml:space="preserve"> met kenmerk </w:t>
      </w:r>
      <w:r>
        <w:rPr>
          <w:rFonts w:ascii="Arial" w:hAnsi="Arial" w:cs="Arial"/>
          <w:sz w:val="20"/>
          <w:szCs w:val="20"/>
        </w:rPr>
        <w:t>BFB</w:t>
      </w:r>
      <w:r w:rsidRPr="00976387">
        <w:rPr>
          <w:rFonts w:ascii="Arial" w:hAnsi="Arial" w:cs="Arial"/>
          <w:sz w:val="20"/>
          <w:szCs w:val="20"/>
        </w:rPr>
        <w:t>2012-18353M</w:t>
      </w:r>
      <w:r>
        <w:rPr>
          <w:rFonts w:ascii="Arial" w:hAnsi="Arial" w:cs="Arial"/>
          <w:sz w:val="20"/>
          <w:szCs w:val="20"/>
        </w:rPr>
        <w:t xml:space="preserve">) evalueert Moneyval als onderdeel van de Raad van Europa de wet- en regelgeving </w:t>
      </w:r>
      <w:r w:rsidRPr="00976387">
        <w:rPr>
          <w:rFonts w:ascii="Arial" w:hAnsi="Arial" w:cs="Arial"/>
          <w:sz w:val="20"/>
          <w:szCs w:val="20"/>
        </w:rPr>
        <w:t>met betrekking tot de bestrijding van witwassen, conform de internationale standaard van de Financial Action Task Force (FATF). Cyprus staat niet op de zwarte of grijze lijst bij de FATF. Moneyval is positief over de inspanningen van Cyprus op dit gebied, getuige de meest recente evaluatie van Cyprus door Moneyval die dateert uit september 2011. De Moneyval-evaluatie ziet primair op de wet- en r</w:t>
      </w:r>
      <w:r w:rsidR="00F75DE9">
        <w:rPr>
          <w:rFonts w:ascii="Arial" w:hAnsi="Arial" w:cs="Arial"/>
          <w:sz w:val="20"/>
          <w:szCs w:val="20"/>
        </w:rPr>
        <w:t>egelgeving en de instituties.</w:t>
      </w:r>
      <w:r w:rsidRPr="007F120E">
        <w:rPr>
          <w:rFonts w:ascii="Arial" w:hAnsi="Arial" w:eastAsia="Calibri" w:cs="Arial"/>
          <w:sz w:val="20"/>
          <w:szCs w:val="20"/>
        </w:rPr>
        <w:t xml:space="preserve"> Cyprus</w:t>
      </w:r>
      <w:r w:rsidR="00F75DE9">
        <w:rPr>
          <w:rFonts w:ascii="Arial" w:hAnsi="Arial" w:eastAsia="Calibri" w:cs="Arial"/>
          <w:sz w:val="20"/>
          <w:szCs w:val="20"/>
        </w:rPr>
        <w:t xml:space="preserve"> wisselt</w:t>
      </w:r>
      <w:r w:rsidRPr="007F120E">
        <w:rPr>
          <w:rFonts w:ascii="Arial" w:hAnsi="Arial" w:eastAsia="Calibri" w:cs="Arial"/>
          <w:sz w:val="20"/>
          <w:szCs w:val="20"/>
        </w:rPr>
        <w:t>, voor zover dit te overzien is, fiscale informatie uit op basis van de Administratieve samenwerkingsrichtlijn en de Spaartegoedenrichtlijn.</w:t>
      </w:r>
      <w:r w:rsidR="00F7233D">
        <w:rPr>
          <w:rFonts w:ascii="Arial" w:hAnsi="Arial" w:eastAsia="Calibri" w:cs="Arial"/>
          <w:sz w:val="20"/>
          <w:szCs w:val="20"/>
        </w:rPr>
        <w:t xml:space="preserve"> </w:t>
      </w:r>
      <w:r w:rsidR="00F7233D">
        <w:rPr>
          <w:rFonts w:ascii="Arial" w:hAnsi="Arial" w:eastAsia="Calibri" w:cs="Arial"/>
          <w:sz w:val="20"/>
          <w:szCs w:val="20"/>
        </w:rPr>
        <w:br/>
      </w:r>
      <w:r w:rsidR="00032A83">
        <w:rPr>
          <w:rFonts w:ascii="Arial" w:hAnsi="Arial" w:eastAsia="Calibri" w:cs="Arial"/>
          <w:sz w:val="20"/>
          <w:szCs w:val="20"/>
        </w:rPr>
        <w:t>O</w:t>
      </w:r>
      <w:r w:rsidRPr="007F120E" w:rsidR="00032A83">
        <w:rPr>
          <w:rFonts w:ascii="Arial" w:hAnsi="Arial" w:eastAsia="Calibri" w:cs="Arial"/>
          <w:sz w:val="20"/>
          <w:szCs w:val="20"/>
        </w:rPr>
        <w:t xml:space="preserve">p dit moment </w:t>
      </w:r>
      <w:r w:rsidR="00032A83">
        <w:rPr>
          <w:rFonts w:ascii="Arial" w:hAnsi="Arial" w:eastAsia="Calibri" w:cs="Arial"/>
          <w:sz w:val="20"/>
          <w:szCs w:val="20"/>
        </w:rPr>
        <w:t xml:space="preserve">heeft </w:t>
      </w:r>
      <w:r w:rsidRPr="007F120E" w:rsidR="00032A83">
        <w:rPr>
          <w:rFonts w:ascii="Arial" w:hAnsi="Arial" w:eastAsia="Calibri" w:cs="Arial"/>
          <w:sz w:val="20"/>
          <w:szCs w:val="20"/>
        </w:rPr>
        <w:t>Cyprus met acht EU-lidstaten</w:t>
      </w:r>
      <w:r w:rsidR="00032A83">
        <w:rPr>
          <w:rFonts w:ascii="Arial" w:hAnsi="Arial" w:eastAsia="Calibri" w:cs="Arial"/>
          <w:sz w:val="20"/>
          <w:szCs w:val="20"/>
        </w:rPr>
        <w:t>,</w:t>
      </w:r>
      <w:r w:rsidRPr="007F120E" w:rsidR="00032A83">
        <w:rPr>
          <w:rFonts w:ascii="Arial" w:hAnsi="Arial" w:eastAsia="Calibri" w:cs="Arial"/>
          <w:sz w:val="20"/>
          <w:szCs w:val="20"/>
        </w:rPr>
        <w:t xml:space="preserve"> waaronder Nederland</w:t>
      </w:r>
      <w:r w:rsidR="00032A83">
        <w:rPr>
          <w:rFonts w:ascii="Arial" w:hAnsi="Arial" w:eastAsia="Calibri" w:cs="Arial"/>
          <w:sz w:val="20"/>
          <w:szCs w:val="20"/>
        </w:rPr>
        <w:t>,</w:t>
      </w:r>
      <w:r w:rsidRPr="007F120E" w:rsidR="00032A83">
        <w:rPr>
          <w:rFonts w:ascii="Arial" w:hAnsi="Arial" w:eastAsia="Calibri" w:cs="Arial"/>
          <w:sz w:val="20"/>
          <w:szCs w:val="20"/>
        </w:rPr>
        <w:t xml:space="preserve"> nog geen belastingverdrag.</w:t>
      </w:r>
      <w:r w:rsidRPr="00976387" w:rsidR="00032A83">
        <w:rPr>
          <w:rFonts w:ascii="Arial" w:hAnsi="Arial" w:eastAsia="Calibri" w:cs="Arial"/>
          <w:sz w:val="20"/>
          <w:szCs w:val="20"/>
        </w:rPr>
        <w:t xml:space="preserve"> </w:t>
      </w:r>
      <w:r w:rsidRPr="00032A83" w:rsidR="00032A83">
        <w:rPr>
          <w:rFonts w:ascii="Arial" w:hAnsi="Arial" w:eastAsia="Calibri" w:cs="Arial"/>
          <w:sz w:val="20"/>
          <w:szCs w:val="20"/>
        </w:rPr>
        <w:t>Cyprus heeft onlangs aangegeven een belastingverdrag met Nederland te willen sluiten</w:t>
      </w:r>
      <w:r w:rsidR="00032A83">
        <w:rPr>
          <w:rFonts w:ascii="Arial" w:hAnsi="Arial" w:eastAsia="Calibri" w:cs="Arial"/>
          <w:sz w:val="20"/>
          <w:szCs w:val="20"/>
        </w:rPr>
        <w:t xml:space="preserve"> en </w:t>
      </w:r>
      <w:r w:rsidRPr="00032A83" w:rsidR="00032A83">
        <w:rPr>
          <w:rFonts w:ascii="Arial" w:hAnsi="Arial" w:eastAsia="Calibri" w:cs="Arial"/>
          <w:sz w:val="20"/>
          <w:szCs w:val="20"/>
        </w:rPr>
        <w:t>Nederland is voornemens om</w:t>
      </w:r>
      <w:r w:rsidR="00032A83">
        <w:rPr>
          <w:rFonts w:ascii="Arial" w:hAnsi="Arial" w:eastAsia="Calibri" w:cs="Arial"/>
          <w:sz w:val="20"/>
          <w:szCs w:val="20"/>
        </w:rPr>
        <w:t xml:space="preserve">  </w:t>
      </w:r>
      <w:r w:rsidRPr="00032A83" w:rsidR="00032A83">
        <w:rPr>
          <w:rFonts w:ascii="Arial" w:hAnsi="Arial" w:eastAsia="Calibri" w:cs="Arial"/>
          <w:sz w:val="20"/>
          <w:szCs w:val="20"/>
        </w:rPr>
        <w:t>in de eerste helft van 2013 hierover in onderhandeling te treden met Cyprus</w:t>
      </w:r>
      <w:r w:rsidR="00032A83">
        <w:rPr>
          <w:rFonts w:ascii="Arial" w:hAnsi="Arial" w:eastAsia="Calibri" w:cs="Arial"/>
          <w:sz w:val="20"/>
          <w:szCs w:val="20"/>
        </w:rPr>
        <w:t>.</w:t>
      </w:r>
    </w:p>
    <w:p w:rsidR="00486CD8" w:rsidP="00486CD8" w:rsidRDefault="00486CD8">
      <w:pPr>
        <w:spacing w:line="360" w:lineRule="auto"/>
        <w:jc w:val="both"/>
        <w:rPr>
          <w:rFonts w:ascii="Arial" w:hAnsi="Arial" w:eastAsia="Calibri" w:cs="Arial"/>
          <w:sz w:val="20"/>
          <w:szCs w:val="20"/>
        </w:rPr>
      </w:pPr>
      <w:r w:rsidRPr="00976387">
        <w:rPr>
          <w:rFonts w:ascii="Arial" w:hAnsi="Arial" w:eastAsia="Calibri" w:cs="Arial"/>
          <w:sz w:val="20"/>
          <w:szCs w:val="20"/>
        </w:rPr>
        <w:t xml:space="preserve">Mocht Cyprus een financieel steunprogramma krijgen, en mocht geconstateerd worden dat er noodzaak toe is, dan sta ik positief tegenover conditionaliteit op het gebied van fiscale informatie-uitwisseling, het versterken van de </w:t>
      </w:r>
      <w:r w:rsidR="00BE0DF2">
        <w:rPr>
          <w:rFonts w:ascii="Arial" w:hAnsi="Arial" w:eastAsia="Calibri" w:cs="Arial"/>
          <w:sz w:val="20"/>
          <w:szCs w:val="20"/>
        </w:rPr>
        <w:t xml:space="preserve">operationele </w:t>
      </w:r>
      <w:r w:rsidRPr="00976387">
        <w:rPr>
          <w:rFonts w:ascii="Arial" w:hAnsi="Arial" w:eastAsia="Calibri" w:cs="Arial"/>
          <w:sz w:val="20"/>
          <w:szCs w:val="20"/>
        </w:rPr>
        <w:t xml:space="preserve">systemen voor de bestrijding van witwassen, en de bevordering van een integere en transparante financiële sector. </w:t>
      </w:r>
    </w:p>
    <w:p w:rsidRPr="00976387" w:rsidR="00492380" w:rsidP="00486CD8" w:rsidRDefault="00492380">
      <w:pPr>
        <w:spacing w:line="360" w:lineRule="auto"/>
        <w:jc w:val="both"/>
        <w:rPr>
          <w:rFonts w:ascii="Arial" w:hAnsi="Arial" w:eastAsia="Calibri" w:cs="Arial"/>
          <w:sz w:val="20"/>
          <w:szCs w:val="20"/>
        </w:rPr>
      </w:pPr>
    </w:p>
    <w:p w:rsidR="00670E37" w:rsidP="00670E37" w:rsidRDefault="00670E37">
      <w:pPr>
        <w:pStyle w:val="Lijstalinea"/>
        <w:numPr>
          <w:ilvl w:val="0"/>
          <w:numId w:val="1"/>
        </w:numPr>
        <w:spacing w:line="360" w:lineRule="auto"/>
        <w:rPr>
          <w:rFonts w:ascii="Arial" w:hAnsi="Arial" w:cs="Arial"/>
          <w:b/>
          <w:sz w:val="20"/>
          <w:szCs w:val="20"/>
        </w:rPr>
      </w:pPr>
      <w:r w:rsidRPr="00670E37">
        <w:rPr>
          <w:rFonts w:ascii="Arial" w:hAnsi="Arial" w:cs="Arial"/>
          <w:b/>
          <w:sz w:val="20"/>
          <w:szCs w:val="20"/>
        </w:rPr>
        <w:t xml:space="preserve">Griekenland </w:t>
      </w:r>
    </w:p>
    <w:p w:rsidRPr="00670E37" w:rsidR="00654219" w:rsidP="00654219" w:rsidRDefault="00654219">
      <w:pPr>
        <w:spacing w:after="0" w:line="360" w:lineRule="auto"/>
        <w:rPr>
          <w:rFonts w:ascii="Arial" w:hAnsi="Arial" w:cs="Arial"/>
          <w:sz w:val="20"/>
          <w:szCs w:val="20"/>
        </w:rPr>
      </w:pPr>
      <w:r w:rsidRPr="00670E37">
        <w:rPr>
          <w:rFonts w:ascii="Arial" w:hAnsi="Arial" w:cs="Arial"/>
          <w:b/>
          <w:bCs/>
          <w:sz w:val="20"/>
          <w:szCs w:val="20"/>
        </w:rPr>
        <w:t xml:space="preserve">Document: </w:t>
      </w:r>
      <w:r>
        <w:rPr>
          <w:rFonts w:ascii="Arial" w:hAnsi="Arial" w:cs="Arial"/>
          <w:sz w:val="20"/>
          <w:szCs w:val="20"/>
        </w:rPr>
        <w:t>n.v.t.</w:t>
      </w:r>
    </w:p>
    <w:p w:rsidRPr="00670E37" w:rsidR="00654219" w:rsidP="00654219" w:rsidRDefault="00654219">
      <w:pPr>
        <w:spacing w:after="0" w:line="360" w:lineRule="auto"/>
        <w:rPr>
          <w:rFonts w:ascii="Arial" w:hAnsi="Arial" w:cs="Arial"/>
          <w:sz w:val="20"/>
          <w:szCs w:val="20"/>
        </w:rPr>
      </w:pPr>
      <w:r w:rsidRPr="00670E37">
        <w:rPr>
          <w:rFonts w:ascii="Arial" w:hAnsi="Arial" w:cs="Arial"/>
          <w:b/>
          <w:bCs/>
          <w:sz w:val="20"/>
          <w:szCs w:val="20"/>
        </w:rPr>
        <w:t xml:space="preserve">Aard bespreking: </w:t>
      </w:r>
      <w:r w:rsidRPr="00670E37">
        <w:rPr>
          <w:rFonts w:ascii="Arial" w:hAnsi="Arial" w:cs="Arial"/>
          <w:sz w:val="20"/>
          <w:szCs w:val="20"/>
        </w:rPr>
        <w:t xml:space="preserve">gedachtewisseling </w:t>
      </w:r>
    </w:p>
    <w:p w:rsidRPr="00670E37" w:rsidR="00654219" w:rsidP="00654219" w:rsidRDefault="00654219">
      <w:pPr>
        <w:spacing w:after="0" w:line="360" w:lineRule="auto"/>
        <w:rPr>
          <w:rFonts w:ascii="Arial" w:hAnsi="Arial" w:cs="Arial"/>
          <w:b/>
          <w:bCs/>
          <w:sz w:val="20"/>
          <w:szCs w:val="20"/>
        </w:rPr>
      </w:pPr>
      <w:r w:rsidRPr="00670E37">
        <w:rPr>
          <w:rFonts w:ascii="Arial" w:hAnsi="Arial" w:cs="Arial"/>
          <w:b/>
          <w:sz w:val="20"/>
          <w:szCs w:val="20"/>
        </w:rPr>
        <w:t>Besluitvormingsprocedure:</w:t>
      </w:r>
      <w:r w:rsidRPr="00670E37">
        <w:rPr>
          <w:rFonts w:ascii="Arial" w:hAnsi="Arial" w:cs="Arial"/>
          <w:sz w:val="20"/>
          <w:szCs w:val="20"/>
        </w:rPr>
        <w:t xml:space="preserve"> </w:t>
      </w:r>
      <w:r>
        <w:rPr>
          <w:rFonts w:ascii="Arial" w:hAnsi="Arial" w:cs="Arial"/>
          <w:sz w:val="20"/>
          <w:szCs w:val="20"/>
        </w:rPr>
        <w:t>n.v.t.</w:t>
      </w:r>
    </w:p>
    <w:p w:rsidR="00654219" w:rsidP="00654219" w:rsidRDefault="00654219">
      <w:pPr>
        <w:spacing w:after="0" w:line="360" w:lineRule="auto"/>
        <w:rPr>
          <w:rFonts w:ascii="Arial" w:hAnsi="Arial" w:cs="Arial"/>
          <w:sz w:val="20"/>
          <w:szCs w:val="20"/>
        </w:rPr>
      </w:pPr>
      <w:r w:rsidRPr="00670E37">
        <w:rPr>
          <w:rFonts w:ascii="Arial" w:hAnsi="Arial" w:cs="Arial"/>
          <w:b/>
          <w:sz w:val="20"/>
          <w:szCs w:val="20"/>
        </w:rPr>
        <w:t>Toelichting:</w:t>
      </w:r>
      <w:r w:rsidRPr="00670E37">
        <w:rPr>
          <w:rFonts w:ascii="Arial" w:hAnsi="Arial" w:cs="Arial"/>
          <w:sz w:val="20"/>
          <w:szCs w:val="20"/>
        </w:rPr>
        <w:t xml:space="preserve"> De Eurogroep zal spreken over de stand van zaken omtrent de implementatie van het programma door Griekenland. Het IMF heeft op 16 januari ingestemd met de voortgang van het </w:t>
      </w:r>
      <w:r w:rsidRPr="00670E37">
        <w:rPr>
          <w:rFonts w:ascii="Arial" w:hAnsi="Arial" w:cs="Arial"/>
          <w:sz w:val="20"/>
          <w:szCs w:val="20"/>
        </w:rPr>
        <w:lastRenderedPageBreak/>
        <w:t>programma en heeft akkoord gegeven voor de uitkering van 3,2 miljard euro. Op 28 januari jl. heeft de EFSF Board definitief ingestemd met de uitkering van 9,2 miljard euro. Hiervan is 7,2 miljard euro geoormerkt voor het herkapitaliseren en afwikkelen van Griekse banken en 2 miljard euro voor de begroting, aflossingen en rentebetalingen. In februari staat de beslissing over de uitkering van 2,8 miljard euro gepland. Net als voor de 2 miljard euro waar in januari akkoord voor is gegeven, i</w:t>
      </w:r>
      <w:r>
        <w:rPr>
          <w:rFonts w:ascii="Arial" w:hAnsi="Arial" w:cs="Arial"/>
          <w:sz w:val="20"/>
          <w:szCs w:val="20"/>
        </w:rPr>
        <w:t>s ook aan de</w:t>
      </w:r>
      <w:r w:rsidRPr="00670E37">
        <w:rPr>
          <w:rFonts w:ascii="Arial" w:hAnsi="Arial" w:cs="Arial"/>
          <w:sz w:val="20"/>
          <w:szCs w:val="20"/>
        </w:rPr>
        <w:t xml:space="preserve"> uitkering van deze subt</w:t>
      </w:r>
      <w:r>
        <w:rPr>
          <w:rFonts w:ascii="Arial" w:hAnsi="Arial" w:cs="Arial"/>
          <w:sz w:val="20"/>
          <w:szCs w:val="20"/>
        </w:rPr>
        <w:t>ranche een voorwaarde gekoppeld:</w:t>
      </w:r>
      <w:r w:rsidRPr="00670E37">
        <w:rPr>
          <w:rFonts w:ascii="Arial" w:hAnsi="Arial" w:cs="Arial"/>
          <w:sz w:val="20"/>
          <w:szCs w:val="20"/>
        </w:rPr>
        <w:t xml:space="preserve"> </w:t>
      </w:r>
      <w:r>
        <w:rPr>
          <w:rFonts w:ascii="Arial" w:hAnsi="Arial" w:cs="Arial"/>
          <w:sz w:val="20"/>
          <w:szCs w:val="20"/>
        </w:rPr>
        <w:t xml:space="preserve">Griekenland moet bindende </w:t>
      </w:r>
      <w:r w:rsidRPr="00654219">
        <w:rPr>
          <w:rFonts w:ascii="Arial" w:hAnsi="Arial" w:cs="Arial"/>
          <w:sz w:val="20"/>
          <w:szCs w:val="20"/>
        </w:rPr>
        <w:t>uitgavenplafonds</w:t>
      </w:r>
      <w:r>
        <w:rPr>
          <w:rFonts w:ascii="Arial" w:hAnsi="Arial" w:cs="Arial"/>
          <w:sz w:val="20"/>
          <w:szCs w:val="20"/>
        </w:rPr>
        <w:t xml:space="preserve"> opnemen in de middellange termijn begroting  D</w:t>
      </w:r>
      <w:r w:rsidRPr="00670E37">
        <w:rPr>
          <w:rFonts w:ascii="Arial" w:hAnsi="Arial" w:cs="Arial"/>
          <w:sz w:val="20"/>
          <w:szCs w:val="20"/>
        </w:rPr>
        <w:t xml:space="preserve">e Trojka </w:t>
      </w:r>
      <w:r>
        <w:rPr>
          <w:rFonts w:ascii="Arial" w:hAnsi="Arial" w:cs="Arial"/>
          <w:sz w:val="20"/>
          <w:szCs w:val="20"/>
        </w:rPr>
        <w:t>zal hierover rapporteren.</w:t>
      </w:r>
    </w:p>
    <w:p w:rsidR="00654219" w:rsidP="00654219" w:rsidRDefault="00654219">
      <w:pPr>
        <w:spacing w:line="360" w:lineRule="auto"/>
        <w:rPr>
          <w:rFonts w:ascii="Arial" w:hAnsi="Arial" w:cs="Arial"/>
          <w:sz w:val="20"/>
          <w:szCs w:val="20"/>
        </w:rPr>
      </w:pPr>
      <w:r w:rsidRPr="00654219">
        <w:rPr>
          <w:rFonts w:ascii="Arial" w:hAnsi="Arial" w:cs="Arial"/>
          <w:sz w:val="20"/>
          <w:szCs w:val="20"/>
        </w:rPr>
        <w:t>Tenslotte heb ik eind januari aan de Griekse belastingdienst een geactualiseerde lijst van de jachten van Griekse eigenaren die onder de Nederlands vlag varen verzonden.</w:t>
      </w:r>
    </w:p>
    <w:p w:rsidR="00492380" w:rsidP="00654219" w:rsidRDefault="00492380">
      <w:pPr>
        <w:spacing w:line="360" w:lineRule="auto"/>
        <w:rPr>
          <w:rFonts w:ascii="Arial" w:hAnsi="Arial" w:cs="Arial"/>
          <w:b/>
          <w:sz w:val="20"/>
          <w:szCs w:val="20"/>
        </w:rPr>
      </w:pPr>
    </w:p>
    <w:p w:rsidR="00654219" w:rsidP="00670E37" w:rsidRDefault="00654219">
      <w:pPr>
        <w:pStyle w:val="Lijstalinea"/>
        <w:numPr>
          <w:ilvl w:val="0"/>
          <w:numId w:val="1"/>
        </w:numPr>
        <w:spacing w:line="360" w:lineRule="auto"/>
        <w:rPr>
          <w:rFonts w:ascii="Arial" w:hAnsi="Arial" w:cs="Arial"/>
          <w:b/>
          <w:sz w:val="20"/>
          <w:szCs w:val="20"/>
        </w:rPr>
      </w:pPr>
      <w:r>
        <w:rPr>
          <w:rFonts w:ascii="Arial" w:hAnsi="Arial" w:cs="Arial"/>
          <w:b/>
          <w:sz w:val="20"/>
          <w:szCs w:val="20"/>
        </w:rPr>
        <w:t>ESM – directe banken herkapitalisatie</w:t>
      </w:r>
    </w:p>
    <w:p w:rsidRPr="00C421D4" w:rsidR="00492380" w:rsidP="00C421D4" w:rsidRDefault="00895FF0">
      <w:pPr>
        <w:spacing w:line="360" w:lineRule="auto"/>
        <w:rPr>
          <w:rFonts w:ascii="Arial" w:hAnsi="Arial" w:cs="Arial"/>
          <w:sz w:val="20"/>
          <w:szCs w:val="20"/>
        </w:rPr>
      </w:pPr>
      <w:r w:rsidRPr="00492380">
        <w:rPr>
          <w:rFonts w:ascii="Arial" w:hAnsi="Arial" w:cs="Arial"/>
          <w:b/>
          <w:sz w:val="20"/>
          <w:szCs w:val="20"/>
        </w:rPr>
        <w:t>Toelichting:</w:t>
      </w:r>
      <w:r w:rsidRPr="00492380">
        <w:rPr>
          <w:rFonts w:ascii="Arial" w:hAnsi="Arial" w:cs="Arial"/>
          <w:sz w:val="20"/>
          <w:szCs w:val="20"/>
        </w:rPr>
        <w:t xml:space="preserve"> </w:t>
      </w:r>
      <w:r w:rsidR="00C421D4">
        <w:rPr>
          <w:rFonts w:ascii="Arial" w:hAnsi="Arial" w:cs="Arial"/>
          <w:sz w:val="20"/>
          <w:szCs w:val="20"/>
        </w:rPr>
        <w:t>De Eurogroep spreekt mogelijk over directe banken herkapitalisatie door het ESM. Tijdens het</w:t>
      </w:r>
      <w:r w:rsidRPr="00492380" w:rsidR="00654219">
        <w:rPr>
          <w:rFonts w:ascii="Arial" w:hAnsi="Arial" w:cs="Arial"/>
          <w:sz w:val="20"/>
          <w:szCs w:val="20"/>
        </w:rPr>
        <w:t xml:space="preserve"> AO bankenunie 24 januari jl</w:t>
      </w:r>
      <w:r w:rsidRPr="00492380">
        <w:rPr>
          <w:rFonts w:ascii="Arial" w:hAnsi="Arial" w:cs="Arial"/>
          <w:sz w:val="20"/>
          <w:szCs w:val="20"/>
        </w:rPr>
        <w:t>.</w:t>
      </w:r>
      <w:r w:rsidRPr="00492380" w:rsidR="00654219">
        <w:rPr>
          <w:rFonts w:ascii="Arial" w:hAnsi="Arial" w:cs="Arial"/>
          <w:sz w:val="20"/>
          <w:szCs w:val="20"/>
        </w:rPr>
        <w:t xml:space="preserve"> heb ik toegezegd om uw Kamer te informeren over de voortgang van de onderhandelingen over de vormgeving van de directe herkapitalisatie instrument van het ESM. Deze brief zal ik </w:t>
      </w:r>
      <w:r w:rsidRPr="00492380">
        <w:rPr>
          <w:rFonts w:ascii="Arial" w:hAnsi="Arial" w:cs="Arial"/>
          <w:sz w:val="20"/>
          <w:szCs w:val="20"/>
        </w:rPr>
        <w:t xml:space="preserve">u </w:t>
      </w:r>
      <w:r w:rsidR="00C421D4">
        <w:rPr>
          <w:rFonts w:ascii="Arial" w:hAnsi="Arial" w:cs="Arial"/>
          <w:sz w:val="20"/>
          <w:szCs w:val="20"/>
        </w:rPr>
        <w:t>voo</w:t>
      </w:r>
      <w:r w:rsidRPr="00492380" w:rsidR="00654219">
        <w:rPr>
          <w:rFonts w:ascii="Arial" w:hAnsi="Arial" w:cs="Arial"/>
          <w:sz w:val="20"/>
          <w:szCs w:val="20"/>
        </w:rPr>
        <w:t xml:space="preserve">r </w:t>
      </w:r>
      <w:r w:rsidRPr="00492380">
        <w:rPr>
          <w:rFonts w:ascii="Arial" w:hAnsi="Arial" w:cs="Arial"/>
          <w:sz w:val="20"/>
          <w:szCs w:val="20"/>
        </w:rPr>
        <w:t xml:space="preserve">het </w:t>
      </w:r>
      <w:r w:rsidRPr="00492380" w:rsidR="00654219">
        <w:rPr>
          <w:rFonts w:ascii="Arial" w:hAnsi="Arial" w:cs="Arial"/>
          <w:sz w:val="20"/>
          <w:szCs w:val="20"/>
        </w:rPr>
        <w:t xml:space="preserve">AO Ecofin op 7 februari a.s. doen toekomen. </w:t>
      </w:r>
      <w:r w:rsidR="00C421D4">
        <w:rPr>
          <w:rFonts w:ascii="Arial" w:hAnsi="Arial" w:cs="Arial"/>
          <w:sz w:val="20"/>
          <w:szCs w:val="20"/>
        </w:rPr>
        <w:br/>
      </w:r>
    </w:p>
    <w:p w:rsidRPr="00670E37" w:rsidR="00670E37" w:rsidP="00670E37" w:rsidRDefault="00670E37">
      <w:pPr>
        <w:pStyle w:val="Lijstalinea"/>
        <w:numPr>
          <w:ilvl w:val="0"/>
          <w:numId w:val="1"/>
        </w:numPr>
        <w:spacing w:line="360" w:lineRule="auto"/>
        <w:rPr>
          <w:rFonts w:ascii="Arial" w:hAnsi="Arial" w:cs="Arial"/>
          <w:b/>
          <w:sz w:val="20"/>
          <w:szCs w:val="20"/>
        </w:rPr>
      </w:pPr>
      <w:proofErr w:type="spellStart"/>
      <w:r w:rsidRPr="00670E37">
        <w:rPr>
          <w:rFonts w:ascii="Arial" w:hAnsi="Arial" w:cs="Arial"/>
          <w:b/>
          <w:sz w:val="20"/>
          <w:szCs w:val="20"/>
        </w:rPr>
        <w:t>Twopack</w:t>
      </w:r>
      <w:proofErr w:type="spellEnd"/>
      <w:r w:rsidRPr="00670E37">
        <w:rPr>
          <w:rFonts w:ascii="Arial" w:hAnsi="Arial" w:cs="Arial"/>
          <w:b/>
          <w:sz w:val="20"/>
          <w:szCs w:val="20"/>
        </w:rPr>
        <w:t xml:space="preserve"> </w:t>
      </w:r>
    </w:p>
    <w:p w:rsidRPr="00670E37" w:rsidR="00670E37" w:rsidP="00670E37" w:rsidRDefault="00670E37">
      <w:pPr>
        <w:keepNext/>
        <w:spacing w:after="0" w:line="360" w:lineRule="auto"/>
        <w:contextualSpacing/>
        <w:rPr>
          <w:rFonts w:ascii="Arial" w:hAnsi="Arial" w:cs="Arial"/>
          <w:bCs/>
          <w:sz w:val="20"/>
          <w:szCs w:val="20"/>
        </w:rPr>
      </w:pPr>
      <w:r w:rsidRPr="00670E37">
        <w:rPr>
          <w:rFonts w:ascii="Arial" w:hAnsi="Arial" w:cs="Arial"/>
          <w:b/>
          <w:bCs/>
          <w:sz w:val="20"/>
          <w:szCs w:val="20"/>
        </w:rPr>
        <w:t>Document</w:t>
      </w:r>
      <w:r w:rsidR="00492380">
        <w:rPr>
          <w:rFonts w:ascii="Arial" w:hAnsi="Arial" w:cs="Arial"/>
          <w:b/>
          <w:bCs/>
          <w:sz w:val="20"/>
          <w:szCs w:val="20"/>
        </w:rPr>
        <w:t>en</w:t>
      </w:r>
      <w:r w:rsidRPr="00670E37">
        <w:rPr>
          <w:rFonts w:ascii="Arial" w:hAnsi="Arial" w:cs="Arial"/>
          <w:b/>
          <w:bCs/>
          <w:sz w:val="20"/>
          <w:szCs w:val="20"/>
        </w:rPr>
        <w:t>:</w:t>
      </w:r>
    </w:p>
    <w:p w:rsidRPr="00670E37" w:rsidR="00670E37" w:rsidP="00670E37" w:rsidRDefault="00B82E2D">
      <w:pPr>
        <w:pStyle w:val="Lijstalinea"/>
        <w:keepNext/>
        <w:numPr>
          <w:ilvl w:val="0"/>
          <w:numId w:val="2"/>
        </w:numPr>
        <w:spacing w:after="0" w:line="360" w:lineRule="auto"/>
        <w:rPr>
          <w:rFonts w:ascii="Arial" w:hAnsi="Arial" w:cs="Arial"/>
          <w:b/>
          <w:sz w:val="20"/>
          <w:szCs w:val="20"/>
        </w:rPr>
      </w:pPr>
      <w:hyperlink w:history="1" r:id="rId5">
        <w:r w:rsidRPr="00486CD8" w:rsidR="00670E37">
          <w:rPr>
            <w:rStyle w:val="Hyperlink"/>
            <w:rFonts w:ascii="Arial" w:hAnsi="Arial" w:cs="Arial"/>
            <w:bCs/>
            <w:sz w:val="20"/>
            <w:szCs w:val="20"/>
          </w:rPr>
          <w:t>http://register.consilium.europa.eu/pdf/en/12/</w:t>
        </w:r>
        <w:r w:rsidRPr="00670E37" w:rsidR="00670E37">
          <w:rPr>
            <w:rStyle w:val="Hyperlink"/>
            <w:rFonts w:ascii="Arial" w:hAnsi="Arial" w:cs="Arial"/>
            <w:bCs/>
            <w:sz w:val="20"/>
            <w:szCs w:val="20"/>
          </w:rPr>
          <w:t>st06/st06565.en12.pdf</w:t>
        </w:r>
      </w:hyperlink>
    </w:p>
    <w:p w:rsidRPr="00670E37" w:rsidR="00670E37" w:rsidP="00670E37" w:rsidRDefault="00B82E2D">
      <w:pPr>
        <w:pStyle w:val="Lijstalinea"/>
        <w:keepNext/>
        <w:numPr>
          <w:ilvl w:val="0"/>
          <w:numId w:val="2"/>
        </w:numPr>
        <w:spacing w:after="0" w:line="360" w:lineRule="auto"/>
        <w:rPr>
          <w:rFonts w:ascii="Arial" w:hAnsi="Arial" w:cs="Arial"/>
          <w:b/>
          <w:sz w:val="20"/>
          <w:szCs w:val="20"/>
        </w:rPr>
      </w:pPr>
      <w:hyperlink w:history="1" r:id="rId6">
        <w:r w:rsidRPr="00670E37" w:rsidR="00670E37">
          <w:rPr>
            <w:rStyle w:val="Hyperlink"/>
            <w:rFonts w:ascii="Arial" w:hAnsi="Arial" w:cs="Arial"/>
            <w:bCs/>
            <w:sz w:val="20"/>
            <w:szCs w:val="20"/>
          </w:rPr>
          <w:t>http://register.consilium.europa.eu/pdf/en/12/st06/st06566.en12.pdf</w:t>
        </w:r>
      </w:hyperlink>
    </w:p>
    <w:p w:rsidRPr="00670E37" w:rsidR="00670E37" w:rsidP="00670E37" w:rsidRDefault="00B82E2D">
      <w:pPr>
        <w:pStyle w:val="Lijstalinea"/>
        <w:keepNext/>
        <w:numPr>
          <w:ilvl w:val="0"/>
          <w:numId w:val="2"/>
        </w:numPr>
        <w:spacing w:after="0" w:line="360" w:lineRule="auto"/>
        <w:rPr>
          <w:rFonts w:ascii="Arial" w:hAnsi="Arial" w:cs="Arial"/>
          <w:b/>
          <w:sz w:val="20"/>
          <w:szCs w:val="20"/>
        </w:rPr>
      </w:pPr>
      <w:hyperlink w:history="1" r:id="rId7">
        <w:r w:rsidRPr="00670E37" w:rsidR="00670E37">
          <w:rPr>
            <w:rStyle w:val="Hyperlink"/>
            <w:rFonts w:ascii="Arial" w:hAnsi="Arial" w:cs="Arial"/>
            <w:bCs/>
            <w:sz w:val="20"/>
            <w:szCs w:val="20"/>
          </w:rPr>
          <w:t>http://www.europarl.europa.eu/sides/getDoc.do?type=TA&amp;reference=P7-TA-2012-0243&amp;language=NL&amp;ring=A7-2012-0173</w:t>
        </w:r>
      </w:hyperlink>
    </w:p>
    <w:p w:rsidRPr="00670E37" w:rsidR="00670E37" w:rsidP="00670E37" w:rsidRDefault="00B82E2D">
      <w:pPr>
        <w:pStyle w:val="Lijstalinea"/>
        <w:keepNext/>
        <w:numPr>
          <w:ilvl w:val="0"/>
          <w:numId w:val="2"/>
        </w:numPr>
        <w:spacing w:after="0" w:line="360" w:lineRule="auto"/>
        <w:rPr>
          <w:rFonts w:ascii="Arial" w:hAnsi="Arial" w:cs="Arial"/>
          <w:b/>
          <w:sz w:val="20"/>
          <w:szCs w:val="20"/>
        </w:rPr>
      </w:pPr>
      <w:hyperlink w:history="1" r:id="rId8">
        <w:r w:rsidRPr="00670E37" w:rsidR="00670E37">
          <w:rPr>
            <w:rStyle w:val="Hyperlink"/>
            <w:rFonts w:ascii="Arial" w:hAnsi="Arial" w:cs="Arial"/>
            <w:bCs/>
            <w:sz w:val="20"/>
            <w:szCs w:val="20"/>
          </w:rPr>
          <w:t>http://www.europarl.europa.eu/sides/getDoc.do?type=TA&amp;reference=P7-TA-2012-0242&amp;language=NL&amp;ring=A7-2012-0172</w:t>
        </w:r>
      </w:hyperlink>
    </w:p>
    <w:p w:rsidRPr="00670E37" w:rsidR="00670E37" w:rsidP="00670E37" w:rsidRDefault="00670E37">
      <w:pPr>
        <w:pStyle w:val="Plattetekst"/>
        <w:spacing w:after="0" w:line="360" w:lineRule="auto"/>
        <w:contextualSpacing/>
        <w:rPr>
          <w:rFonts w:ascii="Arial" w:hAnsi="Arial" w:cs="Arial"/>
          <w:bCs/>
          <w:sz w:val="20"/>
          <w:szCs w:val="20"/>
        </w:rPr>
      </w:pPr>
      <w:r w:rsidRPr="00670E37">
        <w:rPr>
          <w:rFonts w:ascii="Arial" w:hAnsi="Arial" w:cs="Arial"/>
          <w:b/>
          <w:bCs/>
          <w:sz w:val="20"/>
          <w:szCs w:val="20"/>
        </w:rPr>
        <w:t xml:space="preserve">Aard bespreking: </w:t>
      </w:r>
      <w:r w:rsidRPr="00670E37">
        <w:rPr>
          <w:rFonts w:ascii="Arial" w:hAnsi="Arial" w:cs="Arial"/>
          <w:bCs/>
          <w:sz w:val="20"/>
          <w:szCs w:val="20"/>
        </w:rPr>
        <w:t>(mogelijk) politiek akkoord</w:t>
      </w:r>
    </w:p>
    <w:p w:rsidRPr="00670E37" w:rsidR="00670E37" w:rsidP="00670E37" w:rsidRDefault="00670E37">
      <w:pPr>
        <w:pStyle w:val="Plattetekst"/>
        <w:spacing w:after="0" w:line="360" w:lineRule="auto"/>
        <w:contextualSpacing/>
        <w:rPr>
          <w:rFonts w:ascii="Arial" w:hAnsi="Arial" w:cs="Arial"/>
          <w:sz w:val="20"/>
          <w:szCs w:val="20"/>
        </w:rPr>
      </w:pPr>
      <w:r w:rsidRPr="00670E37">
        <w:rPr>
          <w:rFonts w:ascii="Arial" w:hAnsi="Arial" w:cs="Arial"/>
          <w:b/>
          <w:bCs/>
          <w:sz w:val="20"/>
          <w:szCs w:val="20"/>
        </w:rPr>
        <w:t xml:space="preserve">Besluitvormingsprocedure: </w:t>
      </w:r>
      <w:r w:rsidRPr="00670E37">
        <w:rPr>
          <w:rFonts w:ascii="Arial" w:hAnsi="Arial" w:cs="Arial"/>
          <w:bCs/>
          <w:sz w:val="20"/>
          <w:szCs w:val="20"/>
        </w:rPr>
        <w:t xml:space="preserve">Gewone wetgevingsprocedure (gekwalificeerde meerderheid in de Raad, medebeslissingsrecht Europees Parlement). </w:t>
      </w:r>
    </w:p>
    <w:p w:rsidRPr="00670E37" w:rsidR="00670E37" w:rsidP="00670E37" w:rsidRDefault="00670E37">
      <w:pPr>
        <w:spacing w:after="0" w:line="360" w:lineRule="auto"/>
        <w:contextualSpacing/>
        <w:rPr>
          <w:rFonts w:ascii="Arial" w:hAnsi="Arial" w:cs="Arial"/>
          <w:sz w:val="20"/>
          <w:szCs w:val="20"/>
        </w:rPr>
      </w:pPr>
      <w:r w:rsidRPr="00670E37">
        <w:rPr>
          <w:rFonts w:ascii="Arial" w:hAnsi="Arial" w:cs="Arial"/>
          <w:b/>
          <w:sz w:val="20"/>
          <w:szCs w:val="20"/>
        </w:rPr>
        <w:t>Toelichting</w:t>
      </w:r>
      <w:r w:rsidRPr="00670E37">
        <w:rPr>
          <w:rFonts w:ascii="Arial" w:hAnsi="Arial" w:cs="Arial"/>
          <w:sz w:val="20"/>
          <w:szCs w:val="20"/>
        </w:rPr>
        <w:t xml:space="preserve">: De Ecofin Raad bespreekt mogelijk de voortgang bij de onderhandelingen met het Europees Parlement (EP) over de twee </w:t>
      </w:r>
      <w:proofErr w:type="spellStart"/>
      <w:r w:rsidRPr="00670E37">
        <w:rPr>
          <w:rFonts w:ascii="Arial" w:hAnsi="Arial" w:cs="Arial"/>
          <w:sz w:val="20"/>
          <w:szCs w:val="20"/>
        </w:rPr>
        <w:t>toezichtsverordeningen</w:t>
      </w:r>
      <w:proofErr w:type="spellEnd"/>
      <w:r w:rsidRPr="00670E37">
        <w:rPr>
          <w:rFonts w:ascii="Arial" w:hAnsi="Arial" w:cs="Arial"/>
          <w:sz w:val="20"/>
          <w:szCs w:val="20"/>
        </w:rPr>
        <w:t xml:space="preserve"> (‘</w:t>
      </w:r>
      <w:proofErr w:type="spellStart"/>
      <w:r w:rsidRPr="00670E37">
        <w:rPr>
          <w:rFonts w:ascii="Arial" w:hAnsi="Arial" w:cs="Arial"/>
          <w:sz w:val="20"/>
          <w:szCs w:val="20"/>
        </w:rPr>
        <w:t>twopack</w:t>
      </w:r>
      <w:proofErr w:type="spellEnd"/>
      <w:r w:rsidRPr="00670E37">
        <w:rPr>
          <w:rFonts w:ascii="Arial" w:hAnsi="Arial" w:cs="Arial"/>
          <w:sz w:val="20"/>
          <w:szCs w:val="20"/>
        </w:rPr>
        <w:t>’) voor eurolanden. Indien mogelijk kan een politiek akkoord worden bereikt. Deze conceptverordeningen vormen de basis voor een verdere versterking van met name de budgettaire afspraken</w:t>
      </w:r>
      <w:r w:rsidRPr="00670E37">
        <w:rPr>
          <w:rFonts w:ascii="Arial" w:hAnsi="Arial" w:cs="Arial"/>
          <w:i/>
          <w:sz w:val="20"/>
          <w:szCs w:val="20"/>
        </w:rPr>
        <w:t xml:space="preserve"> </w:t>
      </w:r>
      <w:r w:rsidRPr="00670E37">
        <w:rPr>
          <w:rFonts w:ascii="Arial" w:hAnsi="Arial" w:cs="Arial"/>
          <w:sz w:val="20"/>
          <w:szCs w:val="20"/>
        </w:rPr>
        <w:t xml:space="preserve">binnen de Eurozone, bovenop het al aangescherpte </w:t>
      </w:r>
      <w:proofErr w:type="spellStart"/>
      <w:r w:rsidRPr="00670E37">
        <w:rPr>
          <w:rFonts w:ascii="Arial" w:hAnsi="Arial" w:cs="Arial"/>
          <w:sz w:val="20"/>
          <w:szCs w:val="20"/>
        </w:rPr>
        <w:t>Stabiliteits</w:t>
      </w:r>
      <w:proofErr w:type="spellEnd"/>
      <w:r w:rsidRPr="00670E37">
        <w:rPr>
          <w:rFonts w:ascii="Arial" w:hAnsi="Arial" w:cs="Arial"/>
          <w:sz w:val="20"/>
          <w:szCs w:val="20"/>
        </w:rPr>
        <w:t>- en Groeipact. De Ecofin Raad nam over deze verordeningen in februari 2012 een gemeenschappelijk standpunt in. Het EP stelde op 13 juni  2012 definitief zijn amendementen vast, waarna de onderhandelingen tussen Raad en EP van start gegaan zijn. Er is sprake van de gewone besluitvormingsprocedure (codecisie) met het EP.</w:t>
      </w:r>
    </w:p>
    <w:p w:rsidR="00492380" w:rsidP="00670E37" w:rsidRDefault="00670E37">
      <w:pPr>
        <w:spacing w:after="0" w:line="360" w:lineRule="auto"/>
        <w:contextualSpacing/>
        <w:rPr>
          <w:rFonts w:ascii="Arial" w:hAnsi="Arial" w:cs="Arial"/>
          <w:sz w:val="20"/>
          <w:szCs w:val="20"/>
        </w:rPr>
      </w:pPr>
      <w:r w:rsidRPr="00670E37">
        <w:rPr>
          <w:rFonts w:ascii="Arial" w:hAnsi="Arial" w:cs="Arial"/>
          <w:sz w:val="20"/>
          <w:szCs w:val="20"/>
        </w:rPr>
        <w:t xml:space="preserve">De onderhandelingen met het EP zitten in de eindfase. Het EP is op meerdere punten tegemoet gekomen door de Raad. In bepaalde besluitvormingsmomenten in de verordening die ziet op toezicht </w:t>
      </w:r>
      <w:r w:rsidRPr="00670E37">
        <w:rPr>
          <w:rFonts w:ascii="Arial" w:hAnsi="Arial" w:cs="Arial"/>
          <w:sz w:val="20"/>
          <w:szCs w:val="20"/>
        </w:rPr>
        <w:lastRenderedPageBreak/>
        <w:t>op (concept) nationale begrotingen en het versterken van begrotingsdiscipline, zal het EP bijvoorbeeld meer en frequenter geïnformeerd worden.</w:t>
      </w:r>
      <w:r w:rsidR="00486CD8">
        <w:rPr>
          <w:rFonts w:ascii="Arial" w:hAnsi="Arial" w:cs="Arial"/>
          <w:sz w:val="20"/>
          <w:szCs w:val="20"/>
        </w:rPr>
        <w:t xml:space="preserve"> </w:t>
      </w:r>
      <w:r w:rsidRPr="00670E37">
        <w:rPr>
          <w:rFonts w:ascii="Arial" w:hAnsi="Arial" w:cs="Arial"/>
          <w:sz w:val="20"/>
          <w:szCs w:val="20"/>
        </w:rPr>
        <w:t>Een  akkoord kan tot op heden echter niet worden bereikt omdat nog een belangrijk laatste punt openstaat, namelijk de wens van een meerderheid van het EP om concrete stappen te zetten richting de introductie van gezamenlijke schuldfinanciering door eurolanden (</w:t>
      </w:r>
      <w:proofErr w:type="spellStart"/>
      <w:r w:rsidRPr="00670E37">
        <w:rPr>
          <w:rFonts w:ascii="Arial" w:hAnsi="Arial" w:cs="Arial"/>
          <w:sz w:val="20"/>
          <w:szCs w:val="20"/>
        </w:rPr>
        <w:t>Eurobonds</w:t>
      </w:r>
      <w:proofErr w:type="spellEnd"/>
      <w:r w:rsidRPr="00670E37">
        <w:rPr>
          <w:rFonts w:ascii="Arial" w:hAnsi="Arial" w:cs="Arial"/>
          <w:sz w:val="20"/>
          <w:szCs w:val="20"/>
        </w:rPr>
        <w:t>). Zo wenst het EP een verklaring van de Commissie dat concrete vervolgstappen worden gezet in de vorm van bijvoorbeeld een vervolgonderzoek en daaropvolgende concrete (</w:t>
      </w:r>
      <w:proofErr w:type="spellStart"/>
      <w:r w:rsidRPr="00670E37">
        <w:rPr>
          <w:rFonts w:ascii="Arial" w:hAnsi="Arial" w:cs="Arial"/>
          <w:sz w:val="20"/>
          <w:szCs w:val="20"/>
        </w:rPr>
        <w:t>wets</w:t>
      </w:r>
      <w:proofErr w:type="spellEnd"/>
      <w:r w:rsidRPr="00670E37">
        <w:rPr>
          <w:rFonts w:ascii="Arial" w:hAnsi="Arial" w:cs="Arial"/>
          <w:sz w:val="20"/>
          <w:szCs w:val="20"/>
        </w:rPr>
        <w:t xml:space="preserve">)voorstellen. Deze verklaring zou in de preambule of in een van de artikelen van de verordeningen van het </w:t>
      </w:r>
      <w:proofErr w:type="spellStart"/>
      <w:r w:rsidRPr="00670E37">
        <w:rPr>
          <w:rFonts w:ascii="Arial" w:hAnsi="Arial" w:cs="Arial"/>
          <w:sz w:val="20"/>
          <w:szCs w:val="20"/>
        </w:rPr>
        <w:t>twopack</w:t>
      </w:r>
      <w:proofErr w:type="spellEnd"/>
      <w:r w:rsidRPr="00670E37">
        <w:rPr>
          <w:rFonts w:ascii="Arial" w:hAnsi="Arial" w:cs="Arial"/>
          <w:sz w:val="20"/>
          <w:szCs w:val="20"/>
        </w:rPr>
        <w:t xml:space="preserve"> kunnen worden vastgelegd.</w:t>
      </w:r>
      <w:r w:rsidR="00486CD8">
        <w:rPr>
          <w:rFonts w:ascii="Arial" w:hAnsi="Arial" w:cs="Arial"/>
          <w:sz w:val="20"/>
          <w:szCs w:val="20"/>
        </w:rPr>
        <w:t xml:space="preserve"> </w:t>
      </w:r>
      <w:r w:rsidRPr="00670E37">
        <w:rPr>
          <w:rFonts w:ascii="Arial" w:hAnsi="Arial" w:cs="Arial"/>
          <w:sz w:val="20"/>
          <w:szCs w:val="20"/>
        </w:rPr>
        <w:t xml:space="preserve">Nederland is van mening dat niet te ver dient te worden afgedreven van de kern van de verordeningen van het </w:t>
      </w:r>
      <w:proofErr w:type="spellStart"/>
      <w:r w:rsidRPr="00670E37">
        <w:rPr>
          <w:rFonts w:ascii="Arial" w:hAnsi="Arial" w:cs="Arial"/>
          <w:sz w:val="20"/>
          <w:szCs w:val="20"/>
        </w:rPr>
        <w:t>twopack</w:t>
      </w:r>
      <w:proofErr w:type="spellEnd"/>
      <w:r w:rsidRPr="00670E37">
        <w:rPr>
          <w:rFonts w:ascii="Arial" w:hAnsi="Arial" w:cs="Arial"/>
          <w:sz w:val="20"/>
          <w:szCs w:val="20"/>
        </w:rPr>
        <w:t xml:space="preserve">. De verordeningen van het </w:t>
      </w:r>
      <w:proofErr w:type="spellStart"/>
      <w:r w:rsidRPr="00670E37">
        <w:rPr>
          <w:rFonts w:ascii="Arial" w:hAnsi="Arial" w:cs="Arial"/>
          <w:sz w:val="20"/>
          <w:szCs w:val="20"/>
        </w:rPr>
        <w:t>twopack</w:t>
      </w:r>
      <w:proofErr w:type="spellEnd"/>
      <w:r w:rsidRPr="00670E37">
        <w:rPr>
          <w:rFonts w:ascii="Arial" w:hAnsi="Arial" w:cs="Arial"/>
          <w:sz w:val="20"/>
          <w:szCs w:val="20"/>
        </w:rPr>
        <w:t xml:space="preserve"> hebben primair tot doel het toezicht door met name de Commissie op (concept) nationale begrotingen en op eurolanden met grote problemen met financiële stabiliteit, te vergroten. Het past dus niet om de discussie over </w:t>
      </w:r>
      <w:proofErr w:type="spellStart"/>
      <w:r w:rsidRPr="00670E37">
        <w:rPr>
          <w:rFonts w:ascii="Arial" w:hAnsi="Arial" w:cs="Arial"/>
          <w:sz w:val="20"/>
          <w:szCs w:val="20"/>
        </w:rPr>
        <w:t>Eurobonds</w:t>
      </w:r>
      <w:proofErr w:type="spellEnd"/>
      <w:r w:rsidRPr="00670E37">
        <w:rPr>
          <w:rFonts w:ascii="Arial" w:hAnsi="Arial" w:cs="Arial"/>
          <w:sz w:val="20"/>
          <w:szCs w:val="20"/>
        </w:rPr>
        <w:t xml:space="preserve"> hier te voeren. Deze opvatting wordt door meerdere eurolanden gedeeld. Daarnaast hebben de staatshoofden en regeringsleiders tijdens de Europese Raad van 13 en 14 december jl. duidelijke afspraken gemaakt over welke onderwerpen de komende tijd verder kunnen worden onderzocht wat betreft het verder versterken van de architectuur van de EMU. </w:t>
      </w:r>
      <w:proofErr w:type="spellStart"/>
      <w:r w:rsidRPr="00670E37">
        <w:rPr>
          <w:rFonts w:ascii="Arial" w:hAnsi="Arial" w:cs="Arial"/>
          <w:sz w:val="20"/>
          <w:szCs w:val="20"/>
        </w:rPr>
        <w:t>Eurobonds</w:t>
      </w:r>
      <w:proofErr w:type="spellEnd"/>
      <w:r w:rsidRPr="00670E37">
        <w:rPr>
          <w:rFonts w:ascii="Arial" w:hAnsi="Arial" w:cs="Arial"/>
          <w:sz w:val="20"/>
          <w:szCs w:val="20"/>
        </w:rPr>
        <w:t xml:space="preserve"> zitten daar niet bij. Het is daarom niet wenselijk dat de Raad zou worden gecommitteerd aan concrete vervolgstappen in de richting van </w:t>
      </w:r>
      <w:proofErr w:type="spellStart"/>
      <w:r w:rsidRPr="00670E37">
        <w:rPr>
          <w:rFonts w:ascii="Arial" w:hAnsi="Arial" w:cs="Arial"/>
          <w:sz w:val="20"/>
          <w:szCs w:val="20"/>
        </w:rPr>
        <w:t>Eurobonds</w:t>
      </w:r>
      <w:proofErr w:type="spellEnd"/>
      <w:r w:rsidRPr="00670E37">
        <w:rPr>
          <w:rFonts w:ascii="Arial" w:hAnsi="Arial" w:cs="Arial"/>
          <w:sz w:val="20"/>
          <w:szCs w:val="20"/>
        </w:rPr>
        <w:t xml:space="preserve"> in  de verordeningen van het </w:t>
      </w:r>
      <w:proofErr w:type="spellStart"/>
      <w:r w:rsidRPr="00670E37">
        <w:rPr>
          <w:rFonts w:ascii="Arial" w:hAnsi="Arial" w:cs="Arial"/>
          <w:sz w:val="20"/>
          <w:szCs w:val="20"/>
        </w:rPr>
        <w:t>twopack</w:t>
      </w:r>
      <w:proofErr w:type="spellEnd"/>
      <w:r w:rsidRPr="00670E37">
        <w:rPr>
          <w:rFonts w:ascii="Arial" w:hAnsi="Arial" w:cs="Arial"/>
          <w:sz w:val="20"/>
          <w:szCs w:val="20"/>
        </w:rPr>
        <w:t xml:space="preserve">. Binnen deze grenzen zal Nederland het Ierse Voorzitterschap steunen bij het zoeken naar een snel akkoord met het EP over het </w:t>
      </w:r>
      <w:proofErr w:type="spellStart"/>
      <w:r w:rsidRPr="00670E37">
        <w:rPr>
          <w:rFonts w:ascii="Arial" w:hAnsi="Arial" w:cs="Arial"/>
          <w:sz w:val="20"/>
          <w:szCs w:val="20"/>
        </w:rPr>
        <w:t>twopack</w:t>
      </w:r>
      <w:proofErr w:type="spellEnd"/>
      <w:r w:rsidRPr="00670E37">
        <w:rPr>
          <w:rFonts w:ascii="Arial" w:hAnsi="Arial" w:cs="Arial"/>
          <w:sz w:val="20"/>
          <w:szCs w:val="20"/>
        </w:rPr>
        <w:t>.</w:t>
      </w:r>
    </w:p>
    <w:p w:rsidRPr="00B40986" w:rsidR="004B591C" w:rsidP="00670E37" w:rsidRDefault="00B40986">
      <w:pPr>
        <w:spacing w:after="0" w:line="360" w:lineRule="auto"/>
        <w:contextualSpacing/>
        <w:rPr>
          <w:rFonts w:ascii="Arial" w:hAnsi="Arial" w:cs="Arial"/>
          <w:sz w:val="10"/>
          <w:szCs w:val="20"/>
        </w:rPr>
      </w:pPr>
      <w:r>
        <w:rPr>
          <w:rFonts w:ascii="Arial" w:hAnsi="Arial" w:cs="Arial"/>
          <w:sz w:val="20"/>
          <w:szCs w:val="20"/>
        </w:rPr>
        <w:br/>
      </w:r>
    </w:p>
    <w:p w:rsidRPr="00670E37" w:rsidR="00670E37" w:rsidP="00670E37" w:rsidRDefault="00670E37">
      <w:pPr>
        <w:pStyle w:val="Lijstalinea"/>
        <w:numPr>
          <w:ilvl w:val="0"/>
          <w:numId w:val="1"/>
        </w:numPr>
        <w:spacing w:line="360" w:lineRule="auto"/>
        <w:rPr>
          <w:rFonts w:ascii="Arial" w:hAnsi="Arial" w:cs="Arial"/>
          <w:b/>
          <w:sz w:val="20"/>
          <w:szCs w:val="20"/>
        </w:rPr>
      </w:pPr>
      <w:r w:rsidRPr="00670E37">
        <w:rPr>
          <w:rFonts w:ascii="Arial" w:hAnsi="Arial" w:cs="Arial"/>
          <w:b/>
          <w:sz w:val="20"/>
          <w:szCs w:val="20"/>
        </w:rPr>
        <w:t xml:space="preserve">Decharge EU-begroting 2011 </w:t>
      </w:r>
    </w:p>
    <w:p w:rsidRPr="00535E84" w:rsidR="00A10541" w:rsidP="00A10541" w:rsidRDefault="00A10541">
      <w:pPr>
        <w:pStyle w:val="Plattetekst"/>
        <w:spacing w:after="0" w:line="360" w:lineRule="auto"/>
        <w:jc w:val="both"/>
        <w:rPr>
          <w:rFonts w:ascii="Arial" w:hAnsi="Arial" w:cs="Arial"/>
          <w:sz w:val="20"/>
          <w:szCs w:val="20"/>
        </w:rPr>
      </w:pPr>
      <w:r w:rsidRPr="00E06A6D">
        <w:rPr>
          <w:rFonts w:ascii="Arial" w:hAnsi="Arial" w:cs="Arial"/>
          <w:b/>
          <w:bCs/>
          <w:sz w:val="20"/>
          <w:szCs w:val="20"/>
        </w:rPr>
        <w:t xml:space="preserve">Document: </w:t>
      </w:r>
      <w:r w:rsidRPr="000C7C2F">
        <w:rPr>
          <w:rFonts w:ascii="Arial" w:hAnsi="Arial" w:cs="Arial"/>
          <w:bCs/>
          <w:sz w:val="20"/>
          <w:szCs w:val="20"/>
        </w:rPr>
        <w:t xml:space="preserve">concept </w:t>
      </w:r>
      <w:r>
        <w:rPr>
          <w:rFonts w:ascii="Arial" w:hAnsi="Arial" w:cs="Arial"/>
          <w:bCs/>
          <w:sz w:val="20"/>
          <w:szCs w:val="20"/>
        </w:rPr>
        <w:t>raads</w:t>
      </w:r>
      <w:r w:rsidRPr="000C7C2F">
        <w:rPr>
          <w:rFonts w:ascii="Arial" w:hAnsi="Arial" w:cs="Arial"/>
          <w:bCs/>
          <w:sz w:val="20"/>
          <w:szCs w:val="20"/>
        </w:rPr>
        <w:t>conclusies/Dechargeadvies van de Raad.</w:t>
      </w:r>
      <w:r>
        <w:rPr>
          <w:rFonts w:ascii="Arial" w:hAnsi="Arial" w:cs="Arial"/>
          <w:b/>
          <w:bCs/>
          <w:sz w:val="20"/>
          <w:szCs w:val="20"/>
        </w:rPr>
        <w:t xml:space="preserve"> </w:t>
      </w:r>
    </w:p>
    <w:p w:rsidRPr="00554C49" w:rsidR="00A10541" w:rsidP="00A10541" w:rsidRDefault="00A10541">
      <w:pPr>
        <w:pStyle w:val="Plattetekst"/>
        <w:spacing w:after="0" w:line="360" w:lineRule="auto"/>
        <w:jc w:val="both"/>
        <w:rPr>
          <w:rFonts w:ascii="Arial" w:hAnsi="Arial" w:cs="Arial"/>
          <w:sz w:val="20"/>
          <w:szCs w:val="20"/>
        </w:rPr>
      </w:pPr>
      <w:r w:rsidRPr="00554C49">
        <w:rPr>
          <w:rFonts w:ascii="Arial" w:hAnsi="Arial" w:cs="Arial"/>
          <w:b/>
          <w:bCs/>
          <w:sz w:val="20"/>
          <w:szCs w:val="20"/>
        </w:rPr>
        <w:t>Aard bespreking:</w:t>
      </w:r>
      <w:r>
        <w:rPr>
          <w:rFonts w:ascii="Arial" w:hAnsi="Arial" w:cs="Arial"/>
          <w:bCs/>
          <w:sz w:val="20"/>
          <w:szCs w:val="20"/>
        </w:rPr>
        <w:t xml:space="preserve"> Beslissing.</w:t>
      </w:r>
    </w:p>
    <w:p w:rsidRPr="00554C49" w:rsidR="00A10541" w:rsidP="00A10541" w:rsidRDefault="00A10541">
      <w:pPr>
        <w:pStyle w:val="Plattetekst"/>
        <w:spacing w:after="0" w:line="360" w:lineRule="auto"/>
        <w:jc w:val="both"/>
        <w:rPr>
          <w:rFonts w:ascii="Arial" w:hAnsi="Arial" w:cs="Arial"/>
          <w:sz w:val="20"/>
          <w:szCs w:val="20"/>
        </w:rPr>
      </w:pPr>
      <w:r w:rsidRPr="00554C49">
        <w:rPr>
          <w:rFonts w:ascii="Arial" w:hAnsi="Arial" w:cs="Arial"/>
          <w:b/>
          <w:bCs/>
          <w:sz w:val="20"/>
          <w:szCs w:val="20"/>
        </w:rPr>
        <w:t xml:space="preserve">Besluitvormingsprocedure: </w:t>
      </w:r>
      <w:r>
        <w:rPr>
          <w:rFonts w:ascii="Arial" w:hAnsi="Arial" w:cs="Arial"/>
          <w:bCs/>
          <w:sz w:val="20"/>
          <w:szCs w:val="20"/>
        </w:rPr>
        <w:t>D</w:t>
      </w:r>
      <w:r w:rsidRPr="005A1FEC">
        <w:rPr>
          <w:rFonts w:ascii="Arial" w:hAnsi="Arial" w:cs="Arial"/>
          <w:bCs/>
          <w:sz w:val="20"/>
          <w:szCs w:val="20"/>
        </w:rPr>
        <w:t xml:space="preserve">e Ecofin </w:t>
      </w:r>
      <w:r>
        <w:rPr>
          <w:rFonts w:ascii="Arial" w:hAnsi="Arial" w:cs="Arial"/>
          <w:bCs/>
          <w:sz w:val="20"/>
          <w:szCs w:val="20"/>
        </w:rPr>
        <w:t>beslist</w:t>
      </w:r>
      <w:r w:rsidRPr="005A1FEC">
        <w:rPr>
          <w:rFonts w:ascii="Arial" w:hAnsi="Arial" w:cs="Arial"/>
          <w:bCs/>
          <w:sz w:val="20"/>
          <w:szCs w:val="20"/>
        </w:rPr>
        <w:t xml:space="preserve"> over het Dechargeadvies van </w:t>
      </w:r>
      <w:r>
        <w:rPr>
          <w:rFonts w:ascii="Arial" w:hAnsi="Arial" w:cs="Arial"/>
          <w:bCs/>
          <w:sz w:val="20"/>
          <w:szCs w:val="20"/>
        </w:rPr>
        <w:t xml:space="preserve">de Raad met gekwalificeerde meerderheid. Vervolgens beslist het Europees Parlement of zij overgaat tot het verlenen van kwijting aan de Europese Commissie. </w:t>
      </w:r>
    </w:p>
    <w:p w:rsidR="00A10541" w:rsidP="00A10541" w:rsidRDefault="00A10541">
      <w:pPr>
        <w:spacing w:after="0" w:line="360" w:lineRule="auto"/>
        <w:rPr>
          <w:rFonts w:ascii="Arial" w:hAnsi="Arial" w:eastAsia="Calibri" w:cs="Arial"/>
          <w:bCs/>
          <w:sz w:val="20"/>
          <w:szCs w:val="20"/>
        </w:rPr>
      </w:pPr>
      <w:r w:rsidRPr="00F83569">
        <w:rPr>
          <w:rFonts w:ascii="Arial" w:hAnsi="Arial" w:eastAsia="Calibri" w:cs="Arial"/>
          <w:b/>
          <w:bCs/>
          <w:sz w:val="20"/>
          <w:szCs w:val="20"/>
        </w:rPr>
        <w:t>Toelichting:</w:t>
      </w:r>
      <w:r w:rsidRPr="00F83569">
        <w:rPr>
          <w:rFonts w:ascii="Arial" w:hAnsi="Arial" w:eastAsia="Calibri" w:cs="Arial"/>
          <w:bCs/>
          <w:sz w:val="20"/>
          <w:szCs w:val="20"/>
        </w:rPr>
        <w:t xml:space="preserve"> </w:t>
      </w:r>
      <w:r w:rsidRPr="005A1FEC">
        <w:rPr>
          <w:rFonts w:ascii="Arial" w:hAnsi="Arial" w:eastAsia="Calibri" w:cs="Arial"/>
          <w:bCs/>
          <w:sz w:val="20"/>
          <w:szCs w:val="20"/>
        </w:rPr>
        <w:t>Voor Nederland is het Jaarverslag van de Europese Rekenkamer een belangrijk element in de standpuntbepaling ten aanzien van Decharge van de EU begroting</w:t>
      </w:r>
      <w:r>
        <w:rPr>
          <w:rFonts w:ascii="Arial" w:hAnsi="Arial" w:eastAsia="Calibri" w:cs="Arial"/>
          <w:bCs/>
          <w:sz w:val="20"/>
          <w:szCs w:val="20"/>
        </w:rPr>
        <w:t xml:space="preserve">, alsmede de follow-up ten aanzien van de speerpunten bij de voorgaande </w:t>
      </w:r>
      <w:r w:rsidR="00F7233D">
        <w:rPr>
          <w:rFonts w:ascii="Arial" w:hAnsi="Arial" w:eastAsia="Calibri" w:cs="Arial"/>
          <w:bCs/>
          <w:sz w:val="20"/>
          <w:szCs w:val="20"/>
        </w:rPr>
        <w:t>kwijtingprocedure</w:t>
      </w:r>
      <w:r>
        <w:rPr>
          <w:rFonts w:ascii="Arial" w:hAnsi="Arial" w:eastAsia="Calibri" w:cs="Arial"/>
          <w:bCs/>
          <w:sz w:val="20"/>
          <w:szCs w:val="20"/>
        </w:rPr>
        <w:t xml:space="preserve">. </w:t>
      </w:r>
      <w:r w:rsidRPr="005A1FEC">
        <w:rPr>
          <w:rFonts w:ascii="Arial" w:hAnsi="Arial" w:eastAsia="Calibri" w:cs="Arial"/>
          <w:bCs/>
          <w:sz w:val="20"/>
          <w:szCs w:val="20"/>
        </w:rPr>
        <w:t>NL kijkt bij de beoordeling naar meerdere zaken: is het aantal fouten toegenomen of afgenomen? Wat is het financieel belang dat hiermee gemoeid is? Is er verbetering zichtbaar in de beheers- en verantwoordingssystemen?</w:t>
      </w:r>
      <w:r>
        <w:rPr>
          <w:rFonts w:ascii="Arial" w:hAnsi="Arial" w:eastAsia="Calibri" w:cs="Arial"/>
          <w:bCs/>
          <w:sz w:val="20"/>
          <w:szCs w:val="20"/>
        </w:rPr>
        <w:t xml:space="preserve"> Wat is de strekking van het Dechargeadvies van de Raad?</w:t>
      </w:r>
      <w:r w:rsidRPr="005A1FEC">
        <w:rPr>
          <w:rFonts w:ascii="Arial" w:hAnsi="Arial" w:eastAsia="Calibri" w:cs="Arial"/>
          <w:bCs/>
          <w:sz w:val="20"/>
          <w:szCs w:val="20"/>
        </w:rPr>
        <w:t xml:space="preserve"> </w:t>
      </w:r>
    </w:p>
    <w:p w:rsidR="00492380" w:rsidP="004B591C" w:rsidRDefault="00A10541">
      <w:pPr>
        <w:spacing w:after="0" w:line="360" w:lineRule="auto"/>
        <w:rPr>
          <w:rFonts w:ascii="Arial" w:hAnsi="Arial" w:eastAsia="Calibri" w:cs="Arial"/>
          <w:bCs/>
          <w:sz w:val="20"/>
          <w:szCs w:val="20"/>
        </w:rPr>
      </w:pPr>
      <w:r>
        <w:rPr>
          <w:rFonts w:ascii="Arial" w:hAnsi="Arial" w:eastAsia="Calibri" w:cs="Arial"/>
          <w:bCs/>
          <w:sz w:val="20"/>
          <w:szCs w:val="20"/>
        </w:rPr>
        <w:t xml:space="preserve">De Europese Rekenkamer geeft over het jaar 2011 geen goedkeurende verklaring af bij de uitgaven (geen positieve </w:t>
      </w:r>
      <w:proofErr w:type="spellStart"/>
      <w:r>
        <w:rPr>
          <w:rFonts w:ascii="Arial" w:hAnsi="Arial" w:eastAsia="Calibri" w:cs="Arial"/>
          <w:bCs/>
          <w:sz w:val="20"/>
          <w:szCs w:val="20"/>
        </w:rPr>
        <w:t>Déclaration</w:t>
      </w:r>
      <w:proofErr w:type="spellEnd"/>
      <w:r>
        <w:rPr>
          <w:rFonts w:ascii="Arial" w:hAnsi="Arial" w:eastAsia="Calibri" w:cs="Arial"/>
          <w:bCs/>
          <w:sz w:val="20"/>
          <w:szCs w:val="20"/>
        </w:rPr>
        <w:t xml:space="preserve"> </w:t>
      </w:r>
      <w:proofErr w:type="spellStart"/>
      <w:r>
        <w:rPr>
          <w:rFonts w:ascii="Arial" w:hAnsi="Arial" w:eastAsia="Calibri" w:cs="Arial"/>
          <w:bCs/>
          <w:sz w:val="20"/>
          <w:szCs w:val="20"/>
        </w:rPr>
        <w:t>d’Assurance</w:t>
      </w:r>
      <w:proofErr w:type="spellEnd"/>
      <w:r>
        <w:rPr>
          <w:rFonts w:ascii="Arial" w:hAnsi="Arial" w:eastAsia="Calibri" w:cs="Arial"/>
          <w:bCs/>
          <w:sz w:val="20"/>
          <w:szCs w:val="20"/>
        </w:rPr>
        <w:t xml:space="preserve">). Het gemiddelde foutenpercentage van de gehele EU begroting 2011 berekent de Europese Rekenkamer op 3,9% waarmee een materieel belang gemoeid is van circa 5 miljard euro. Over 2010 waren deze cijfers respectievelijk 3,7% en circa 4,5 miljard euro. De begrotingscategorie “Cohesie/Energie/Vervoer” laat een verbetering zien (van 7,7% naar 6% fouten), maar er zijn ook verslechteringen zichtbaar in andere categorieën zoals Onderzoek en Landbouw. Wat betreft de werking van de beheers- en verantwoordingssystemen is het totaalbeeld </w:t>
      </w:r>
      <w:r>
        <w:rPr>
          <w:rFonts w:ascii="Arial" w:hAnsi="Arial" w:eastAsia="Calibri" w:cs="Arial"/>
          <w:bCs/>
          <w:sz w:val="20"/>
          <w:szCs w:val="20"/>
        </w:rPr>
        <w:lastRenderedPageBreak/>
        <w:t xml:space="preserve">stabiel, maar nog altijd niet toereikend (“gedeeltelijk doeltreffend”). Hoewel het kabinet de verbetering op de begrotingscategorie “Cohesie/Energie/Vervoer” waardeert, is het kabinet  teleurgesteld dat de overall verbeteringstrend zoals ingezet sinds 2006 is gestagneerd en dat  er sprake is van een lichte terugval. Het kabinet dringt daarom aan op het doorvoeren van verbeteringen. Kernelementen daarvan zijn: meer transparantie, beter financieel management en verantwoording door lidstaten en strikte handhaving door de Europese Commissie. In het concept Dechargeadvies wordt nota genomen van alle ontwikkelingen, en uitgesproken dat de Raad streeft naar </w:t>
      </w:r>
      <w:proofErr w:type="spellStart"/>
      <w:r>
        <w:rPr>
          <w:rFonts w:ascii="Arial" w:hAnsi="Arial" w:eastAsia="Calibri" w:cs="Arial"/>
          <w:bCs/>
          <w:sz w:val="20"/>
          <w:szCs w:val="20"/>
        </w:rPr>
        <w:t>jaar-op-jaar</w:t>
      </w:r>
      <w:proofErr w:type="spellEnd"/>
      <w:r>
        <w:rPr>
          <w:rFonts w:ascii="Arial" w:hAnsi="Arial" w:eastAsia="Calibri" w:cs="Arial"/>
          <w:bCs/>
          <w:sz w:val="20"/>
          <w:szCs w:val="20"/>
        </w:rPr>
        <w:t xml:space="preserve"> verbeteringen waarbij zowel de rol van de Europese Commissie als de lidstaten genoemd worden. Echter, naar het oordeel van het kabinet ontbreekt het aan “</w:t>
      </w:r>
      <w:proofErr w:type="spellStart"/>
      <w:r>
        <w:rPr>
          <w:rFonts w:ascii="Arial" w:hAnsi="Arial" w:eastAsia="Calibri" w:cs="Arial"/>
          <w:bCs/>
          <w:sz w:val="20"/>
          <w:szCs w:val="20"/>
        </w:rPr>
        <w:t>sense</w:t>
      </w:r>
      <w:proofErr w:type="spellEnd"/>
      <w:r>
        <w:rPr>
          <w:rFonts w:ascii="Arial" w:hAnsi="Arial" w:eastAsia="Calibri" w:cs="Arial"/>
          <w:bCs/>
          <w:sz w:val="20"/>
          <w:szCs w:val="20"/>
        </w:rPr>
        <w:t xml:space="preserve"> of </w:t>
      </w:r>
      <w:proofErr w:type="spellStart"/>
      <w:r>
        <w:rPr>
          <w:rFonts w:ascii="Arial" w:hAnsi="Arial" w:eastAsia="Calibri" w:cs="Arial"/>
          <w:bCs/>
          <w:sz w:val="20"/>
          <w:szCs w:val="20"/>
        </w:rPr>
        <w:t>urgency</w:t>
      </w:r>
      <w:proofErr w:type="spellEnd"/>
      <w:r>
        <w:rPr>
          <w:rFonts w:ascii="Arial" w:hAnsi="Arial" w:eastAsia="Calibri" w:cs="Arial"/>
          <w:bCs/>
          <w:sz w:val="20"/>
          <w:szCs w:val="20"/>
        </w:rPr>
        <w:t xml:space="preserve">” en actiebereidheid zodat het de vraag is of volgend jaar inderdaad sprake zal zijn van verbeteringen. De 2%-norm die de Europese Rekenkamer hanteert is niet dichterbij gekomen en voor diverse beleidsterreinen ligt het gemiddelde foutenpercentage op te hoog niveau. </w:t>
      </w:r>
    </w:p>
    <w:p w:rsidR="00492380" w:rsidP="004B591C" w:rsidRDefault="00492380">
      <w:pPr>
        <w:spacing w:after="0" w:line="360" w:lineRule="auto"/>
        <w:rPr>
          <w:rFonts w:ascii="Arial" w:hAnsi="Arial" w:eastAsia="Calibri" w:cs="Arial"/>
          <w:bCs/>
          <w:sz w:val="20"/>
          <w:szCs w:val="20"/>
        </w:rPr>
      </w:pPr>
    </w:p>
    <w:p w:rsidRPr="00B40986" w:rsidR="00654219" w:rsidP="004B591C" w:rsidRDefault="00654219">
      <w:pPr>
        <w:spacing w:after="0" w:line="360" w:lineRule="auto"/>
        <w:rPr>
          <w:rFonts w:ascii="Arial" w:hAnsi="Arial" w:eastAsia="Calibri" w:cs="Arial"/>
          <w:bCs/>
          <w:sz w:val="10"/>
          <w:szCs w:val="20"/>
        </w:rPr>
      </w:pPr>
    </w:p>
    <w:p w:rsidRPr="00670E37" w:rsidR="00670E37" w:rsidP="00670E37" w:rsidRDefault="00670E37">
      <w:pPr>
        <w:pStyle w:val="Lijstalinea"/>
        <w:numPr>
          <w:ilvl w:val="0"/>
          <w:numId w:val="1"/>
        </w:numPr>
        <w:spacing w:line="360" w:lineRule="auto"/>
        <w:rPr>
          <w:rFonts w:ascii="Arial" w:hAnsi="Arial" w:cs="Arial"/>
          <w:b/>
          <w:sz w:val="20"/>
          <w:szCs w:val="20"/>
        </w:rPr>
      </w:pPr>
      <w:r w:rsidRPr="00670E37">
        <w:rPr>
          <w:rFonts w:ascii="Arial" w:hAnsi="Arial" w:cs="Arial"/>
          <w:b/>
          <w:sz w:val="20"/>
          <w:szCs w:val="20"/>
        </w:rPr>
        <w:t xml:space="preserve">Voorbereiding G20 </w:t>
      </w:r>
    </w:p>
    <w:p w:rsidR="00F75DE9" w:rsidP="00670E37" w:rsidRDefault="00670E37">
      <w:pPr>
        <w:pStyle w:val="Plattetekst"/>
        <w:spacing w:line="360" w:lineRule="auto"/>
        <w:rPr>
          <w:rFonts w:ascii="Arial" w:hAnsi="Arial" w:eastAsia="Calibri" w:cs="Arial"/>
          <w:sz w:val="20"/>
          <w:szCs w:val="20"/>
        </w:rPr>
      </w:pPr>
      <w:r w:rsidRPr="00670E37">
        <w:rPr>
          <w:rFonts w:ascii="Arial" w:hAnsi="Arial" w:cs="Arial"/>
          <w:b/>
          <w:bCs/>
          <w:sz w:val="20"/>
          <w:szCs w:val="20"/>
        </w:rPr>
        <w:t xml:space="preserve">Document: </w:t>
      </w:r>
      <w:r w:rsidRPr="00670E37">
        <w:rPr>
          <w:rFonts w:ascii="Arial" w:hAnsi="Arial" w:cs="Arial"/>
          <w:bCs/>
          <w:sz w:val="20"/>
          <w:szCs w:val="20"/>
        </w:rPr>
        <w:t xml:space="preserve">EU </w:t>
      </w:r>
      <w:proofErr w:type="spellStart"/>
      <w:r w:rsidRPr="00670E37">
        <w:rPr>
          <w:rFonts w:ascii="Arial" w:hAnsi="Arial" w:cs="Arial"/>
          <w:bCs/>
          <w:sz w:val="20"/>
          <w:szCs w:val="20"/>
        </w:rPr>
        <w:t>terms</w:t>
      </w:r>
      <w:proofErr w:type="spellEnd"/>
      <w:r w:rsidRPr="00670E37">
        <w:rPr>
          <w:rFonts w:ascii="Arial" w:hAnsi="Arial" w:cs="Arial"/>
          <w:bCs/>
          <w:sz w:val="20"/>
          <w:szCs w:val="20"/>
        </w:rPr>
        <w:t xml:space="preserve"> of </w:t>
      </w:r>
      <w:proofErr w:type="spellStart"/>
      <w:r w:rsidRPr="00670E37">
        <w:rPr>
          <w:rFonts w:ascii="Arial" w:hAnsi="Arial" w:cs="Arial"/>
          <w:bCs/>
          <w:sz w:val="20"/>
          <w:szCs w:val="20"/>
        </w:rPr>
        <w:t>reference</w:t>
      </w:r>
      <w:proofErr w:type="spellEnd"/>
      <w:r w:rsidRPr="00670E37">
        <w:rPr>
          <w:rFonts w:ascii="Arial" w:hAnsi="Arial" w:cs="Arial"/>
          <w:bCs/>
          <w:sz w:val="20"/>
          <w:szCs w:val="20"/>
        </w:rPr>
        <w:t xml:space="preserve"> </w:t>
      </w:r>
      <w:proofErr w:type="spellStart"/>
      <w:r w:rsidRPr="00670E37">
        <w:rPr>
          <w:rFonts w:ascii="Arial" w:hAnsi="Arial" w:cs="Arial"/>
          <w:bCs/>
          <w:sz w:val="20"/>
          <w:szCs w:val="20"/>
        </w:rPr>
        <w:t>for</w:t>
      </w:r>
      <w:proofErr w:type="spellEnd"/>
      <w:r w:rsidRPr="00670E37">
        <w:rPr>
          <w:rFonts w:ascii="Arial" w:hAnsi="Arial" w:cs="Arial"/>
          <w:bCs/>
          <w:sz w:val="20"/>
          <w:szCs w:val="20"/>
        </w:rPr>
        <w:t xml:space="preserve"> the G20 </w:t>
      </w:r>
      <w:proofErr w:type="spellStart"/>
      <w:r w:rsidRPr="00670E37">
        <w:rPr>
          <w:rFonts w:ascii="Arial" w:hAnsi="Arial" w:cs="Arial"/>
          <w:bCs/>
          <w:sz w:val="20"/>
          <w:szCs w:val="20"/>
        </w:rPr>
        <w:t>Finance</w:t>
      </w:r>
      <w:proofErr w:type="spellEnd"/>
      <w:r w:rsidRPr="00670E37">
        <w:rPr>
          <w:rFonts w:ascii="Arial" w:hAnsi="Arial" w:cs="Arial"/>
          <w:bCs/>
          <w:sz w:val="20"/>
          <w:szCs w:val="20"/>
        </w:rPr>
        <w:t xml:space="preserve"> and Central Bank </w:t>
      </w:r>
      <w:proofErr w:type="spellStart"/>
      <w:r w:rsidRPr="00670E37">
        <w:rPr>
          <w:rFonts w:ascii="Arial" w:hAnsi="Arial" w:cs="Arial"/>
          <w:bCs/>
          <w:sz w:val="20"/>
          <w:szCs w:val="20"/>
        </w:rPr>
        <w:t>Deputies</w:t>
      </w:r>
      <w:proofErr w:type="spellEnd"/>
      <w:r w:rsidRPr="00670E37">
        <w:rPr>
          <w:rFonts w:ascii="Arial" w:hAnsi="Arial" w:cs="Arial"/>
          <w:bCs/>
          <w:sz w:val="20"/>
          <w:szCs w:val="20"/>
        </w:rPr>
        <w:t xml:space="preserve">’ and </w:t>
      </w:r>
      <w:proofErr w:type="spellStart"/>
      <w:r w:rsidRPr="00670E37">
        <w:rPr>
          <w:rFonts w:ascii="Arial" w:hAnsi="Arial" w:cs="Arial"/>
          <w:bCs/>
          <w:sz w:val="20"/>
          <w:szCs w:val="20"/>
        </w:rPr>
        <w:t>Ministerial</w:t>
      </w:r>
      <w:proofErr w:type="spellEnd"/>
      <w:r w:rsidRPr="00670E37">
        <w:rPr>
          <w:rFonts w:ascii="Arial" w:hAnsi="Arial" w:cs="Arial"/>
          <w:bCs/>
          <w:sz w:val="20"/>
          <w:szCs w:val="20"/>
        </w:rPr>
        <w:t xml:space="preserve"> and Central Bank </w:t>
      </w:r>
      <w:proofErr w:type="spellStart"/>
      <w:r w:rsidRPr="00670E37">
        <w:rPr>
          <w:rFonts w:ascii="Arial" w:hAnsi="Arial" w:cs="Arial"/>
          <w:bCs/>
          <w:sz w:val="20"/>
          <w:szCs w:val="20"/>
        </w:rPr>
        <w:t>Governors</w:t>
      </w:r>
      <w:proofErr w:type="spellEnd"/>
      <w:r w:rsidRPr="00670E37">
        <w:rPr>
          <w:rFonts w:ascii="Arial" w:hAnsi="Arial" w:cs="Arial"/>
          <w:bCs/>
          <w:sz w:val="20"/>
          <w:szCs w:val="20"/>
        </w:rPr>
        <w:t xml:space="preserve"> meeting </w:t>
      </w:r>
      <w:proofErr w:type="spellStart"/>
      <w:r w:rsidRPr="00670E37">
        <w:rPr>
          <w:rFonts w:ascii="Arial" w:hAnsi="Arial" w:cs="Arial"/>
          <w:bCs/>
          <w:sz w:val="20"/>
          <w:szCs w:val="20"/>
        </w:rPr>
        <w:t>on</w:t>
      </w:r>
      <w:proofErr w:type="spellEnd"/>
      <w:r w:rsidRPr="00670E37">
        <w:rPr>
          <w:rFonts w:ascii="Arial" w:hAnsi="Arial" w:cs="Arial"/>
          <w:bCs/>
          <w:sz w:val="20"/>
          <w:szCs w:val="20"/>
        </w:rPr>
        <w:t xml:space="preserve"> 14-16 </w:t>
      </w:r>
      <w:proofErr w:type="spellStart"/>
      <w:r w:rsidRPr="00670E37">
        <w:rPr>
          <w:rFonts w:ascii="Arial" w:hAnsi="Arial" w:cs="Arial"/>
          <w:bCs/>
          <w:sz w:val="20"/>
          <w:szCs w:val="20"/>
        </w:rPr>
        <w:t>February</w:t>
      </w:r>
      <w:proofErr w:type="spellEnd"/>
      <w:r w:rsidRPr="00670E37">
        <w:rPr>
          <w:rFonts w:ascii="Arial" w:hAnsi="Arial" w:cs="Arial"/>
          <w:bCs/>
          <w:sz w:val="20"/>
          <w:szCs w:val="20"/>
        </w:rPr>
        <w:t xml:space="preserve"> 2013 in </w:t>
      </w:r>
      <w:proofErr w:type="spellStart"/>
      <w:r w:rsidRPr="00670E37">
        <w:rPr>
          <w:rFonts w:ascii="Arial" w:hAnsi="Arial" w:cs="Arial"/>
          <w:bCs/>
          <w:sz w:val="20"/>
          <w:szCs w:val="20"/>
        </w:rPr>
        <w:t>Moscow</w:t>
      </w:r>
      <w:proofErr w:type="spellEnd"/>
      <w:r w:rsidRPr="00670E37">
        <w:rPr>
          <w:rFonts w:ascii="Arial" w:hAnsi="Arial" w:cs="Arial"/>
          <w:bCs/>
          <w:sz w:val="20"/>
          <w:szCs w:val="20"/>
        </w:rPr>
        <w:t xml:space="preserve"> </w:t>
      </w:r>
      <w:r w:rsidRPr="00670E37">
        <w:rPr>
          <w:rFonts w:ascii="Arial" w:hAnsi="Arial" w:cs="Arial"/>
          <w:b/>
          <w:bCs/>
          <w:sz w:val="20"/>
          <w:szCs w:val="20"/>
        </w:rPr>
        <w:br/>
        <w:t xml:space="preserve">Aard bespreking: </w:t>
      </w:r>
      <w:r w:rsidRPr="00670E37">
        <w:rPr>
          <w:rFonts w:ascii="Arial" w:hAnsi="Arial" w:cs="Arial"/>
          <w:bCs/>
          <w:sz w:val="20"/>
          <w:szCs w:val="20"/>
        </w:rPr>
        <w:t xml:space="preserve">aanname </w:t>
      </w:r>
      <w:proofErr w:type="spellStart"/>
      <w:r w:rsidRPr="00670E37">
        <w:rPr>
          <w:rFonts w:ascii="Arial" w:hAnsi="Arial" w:cs="Arial"/>
          <w:bCs/>
          <w:sz w:val="20"/>
          <w:szCs w:val="20"/>
        </w:rPr>
        <w:t>Terms</w:t>
      </w:r>
      <w:proofErr w:type="spellEnd"/>
      <w:r w:rsidRPr="00670E37">
        <w:rPr>
          <w:rFonts w:ascii="Arial" w:hAnsi="Arial" w:cs="Arial"/>
          <w:bCs/>
          <w:sz w:val="20"/>
          <w:szCs w:val="20"/>
        </w:rPr>
        <w:t xml:space="preserve"> of </w:t>
      </w:r>
      <w:proofErr w:type="spellStart"/>
      <w:r w:rsidRPr="00670E37">
        <w:rPr>
          <w:rFonts w:ascii="Arial" w:hAnsi="Arial" w:cs="Arial"/>
          <w:bCs/>
          <w:sz w:val="20"/>
          <w:szCs w:val="20"/>
        </w:rPr>
        <w:t>Reference</w:t>
      </w:r>
      <w:proofErr w:type="spellEnd"/>
      <w:r w:rsidRPr="00670E37">
        <w:rPr>
          <w:rFonts w:ascii="Arial" w:hAnsi="Arial" w:cs="Arial"/>
          <w:bCs/>
          <w:sz w:val="20"/>
          <w:szCs w:val="20"/>
        </w:rPr>
        <w:t xml:space="preserve"> </w:t>
      </w:r>
      <w:r w:rsidRPr="00670E37">
        <w:rPr>
          <w:rFonts w:ascii="Arial" w:hAnsi="Arial" w:cs="Arial"/>
          <w:bCs/>
          <w:sz w:val="20"/>
          <w:szCs w:val="20"/>
        </w:rPr>
        <w:br/>
      </w:r>
      <w:r w:rsidRPr="00670E37">
        <w:rPr>
          <w:rFonts w:ascii="Arial" w:hAnsi="Arial" w:cs="Arial"/>
          <w:b/>
          <w:bCs/>
          <w:sz w:val="20"/>
          <w:szCs w:val="20"/>
        </w:rPr>
        <w:t xml:space="preserve">Besluitvormingsprocedure: </w:t>
      </w:r>
      <w:r w:rsidRPr="00670E37">
        <w:rPr>
          <w:rFonts w:ascii="Arial" w:hAnsi="Arial" w:cs="Arial"/>
          <w:bCs/>
          <w:sz w:val="20"/>
          <w:szCs w:val="20"/>
        </w:rPr>
        <w:t>gekwalificeerde meerderheid</w:t>
      </w:r>
      <w:r w:rsidRPr="00670E37">
        <w:rPr>
          <w:rFonts w:ascii="Arial" w:hAnsi="Arial" w:cs="Arial"/>
          <w:bCs/>
          <w:sz w:val="20"/>
          <w:szCs w:val="20"/>
        </w:rPr>
        <w:br/>
      </w:r>
      <w:r w:rsidRPr="00670E37">
        <w:rPr>
          <w:rFonts w:ascii="Arial" w:hAnsi="Arial" w:eastAsia="Calibri" w:cs="Arial"/>
          <w:b/>
          <w:bCs/>
          <w:sz w:val="20"/>
          <w:szCs w:val="20"/>
        </w:rPr>
        <w:t>Toelichting:</w:t>
      </w:r>
      <w:r w:rsidRPr="00670E37">
        <w:rPr>
          <w:rFonts w:ascii="Arial" w:hAnsi="Arial" w:eastAsia="Calibri" w:cs="Arial"/>
          <w:bCs/>
          <w:sz w:val="20"/>
          <w:szCs w:val="20"/>
        </w:rPr>
        <w:t xml:space="preserve"> O</w:t>
      </w:r>
      <w:r w:rsidRPr="00670E37">
        <w:rPr>
          <w:rFonts w:ascii="Arial" w:hAnsi="Arial" w:eastAsia="Calibri" w:cs="Arial"/>
          <w:sz w:val="20"/>
          <w:szCs w:val="20"/>
        </w:rPr>
        <w:t xml:space="preserve">p 15 en 16 februari zal onder Russisch voorzitterschap in Moskou de G20 vergadering voor ministers van Financiën en centralebankpresidenten plaatsvinden. De voorbereiding van de </w:t>
      </w:r>
      <w:r w:rsidRPr="00670E37">
        <w:rPr>
          <w:rFonts w:ascii="Arial" w:hAnsi="Arial" w:eastAsia="Calibri" w:cs="Arial"/>
          <w:bCs/>
          <w:sz w:val="20"/>
          <w:szCs w:val="20"/>
        </w:rPr>
        <w:t xml:space="preserve">EU-inbreng is vooraf gecoördineerd middels een </w:t>
      </w:r>
      <w:proofErr w:type="spellStart"/>
      <w:r w:rsidRPr="00670E37">
        <w:rPr>
          <w:rFonts w:ascii="Arial" w:hAnsi="Arial" w:eastAsia="Calibri" w:cs="Arial"/>
          <w:bCs/>
          <w:i/>
          <w:sz w:val="20"/>
          <w:szCs w:val="20"/>
        </w:rPr>
        <w:t>Terms</w:t>
      </w:r>
      <w:proofErr w:type="spellEnd"/>
      <w:r w:rsidRPr="00670E37">
        <w:rPr>
          <w:rFonts w:ascii="Arial" w:hAnsi="Arial" w:eastAsia="Calibri" w:cs="Arial"/>
          <w:bCs/>
          <w:i/>
          <w:sz w:val="20"/>
          <w:szCs w:val="20"/>
        </w:rPr>
        <w:t xml:space="preserve"> of </w:t>
      </w:r>
      <w:proofErr w:type="spellStart"/>
      <w:r w:rsidRPr="00670E37">
        <w:rPr>
          <w:rFonts w:ascii="Arial" w:hAnsi="Arial" w:eastAsia="Calibri" w:cs="Arial"/>
          <w:bCs/>
          <w:i/>
          <w:sz w:val="20"/>
          <w:szCs w:val="20"/>
        </w:rPr>
        <w:t>Reference</w:t>
      </w:r>
      <w:proofErr w:type="spellEnd"/>
      <w:r w:rsidRPr="00670E37">
        <w:rPr>
          <w:rFonts w:ascii="Arial" w:hAnsi="Arial" w:eastAsia="Calibri" w:cs="Arial"/>
          <w:bCs/>
          <w:sz w:val="20"/>
          <w:szCs w:val="20"/>
        </w:rPr>
        <w:t xml:space="preserve"> (</w:t>
      </w:r>
      <w:proofErr w:type="spellStart"/>
      <w:r w:rsidRPr="00670E37">
        <w:rPr>
          <w:rFonts w:ascii="Arial" w:hAnsi="Arial" w:eastAsia="Calibri" w:cs="Arial"/>
          <w:bCs/>
          <w:sz w:val="20"/>
          <w:szCs w:val="20"/>
        </w:rPr>
        <w:t>ToR</w:t>
      </w:r>
      <w:proofErr w:type="spellEnd"/>
      <w:r w:rsidRPr="00670E37">
        <w:rPr>
          <w:rFonts w:ascii="Arial" w:hAnsi="Arial" w:eastAsia="Calibri" w:cs="Arial"/>
          <w:bCs/>
          <w:sz w:val="20"/>
          <w:szCs w:val="20"/>
        </w:rPr>
        <w:t>).</w:t>
      </w:r>
      <w:r w:rsidRPr="00670E37">
        <w:rPr>
          <w:rFonts w:ascii="Arial" w:hAnsi="Arial" w:eastAsia="Calibri" w:cs="Arial"/>
          <w:sz w:val="20"/>
          <w:szCs w:val="20"/>
        </w:rPr>
        <w:t xml:space="preserve">  De EU zal tijdens de G20 vergadering aandacht vragen voor diverse risico’s, die herstel van de wereldeconomie bedreigen. Ook zal de EU het belang van duurzame economische groei opbrengen en vragen op wat voor wijze de G20 hieraan kan bijdragen. Daarnaast zal gesproken worden over het financieren van investeringen, </w:t>
      </w:r>
      <w:r w:rsidRPr="00670E37">
        <w:rPr>
          <w:rFonts w:ascii="Arial" w:hAnsi="Arial" w:cs="Arial"/>
          <w:sz w:val="20"/>
          <w:szCs w:val="20"/>
        </w:rPr>
        <w:t>hervorming</w:t>
      </w:r>
      <w:r w:rsidRPr="00670E37">
        <w:rPr>
          <w:rFonts w:ascii="Arial" w:hAnsi="Arial" w:eastAsia="Calibri" w:cs="Arial"/>
          <w:sz w:val="20"/>
          <w:szCs w:val="20"/>
        </w:rPr>
        <w:t>en</w:t>
      </w:r>
      <w:r w:rsidRPr="00670E37">
        <w:rPr>
          <w:rFonts w:ascii="Arial" w:hAnsi="Arial" w:cs="Arial"/>
          <w:sz w:val="20"/>
          <w:szCs w:val="20"/>
        </w:rPr>
        <w:t xml:space="preserve"> van financiële markten en </w:t>
      </w:r>
      <w:r w:rsidRPr="00670E37">
        <w:rPr>
          <w:rFonts w:ascii="Arial" w:hAnsi="Arial" w:eastAsia="Calibri" w:cs="Arial"/>
          <w:sz w:val="20"/>
          <w:szCs w:val="20"/>
        </w:rPr>
        <w:t>het monitoren</w:t>
      </w:r>
      <w:r w:rsidRPr="00670E37">
        <w:rPr>
          <w:rFonts w:ascii="Arial" w:hAnsi="Arial" w:cs="Arial"/>
          <w:sz w:val="20"/>
          <w:szCs w:val="20"/>
        </w:rPr>
        <w:t xml:space="preserve"> van het naleven van</w:t>
      </w:r>
      <w:r w:rsidRPr="00670E37">
        <w:rPr>
          <w:rFonts w:ascii="Arial" w:hAnsi="Arial" w:eastAsia="Calibri" w:cs="Arial"/>
          <w:sz w:val="20"/>
          <w:szCs w:val="20"/>
        </w:rPr>
        <w:t xml:space="preserve"> eerder gemaakte</w:t>
      </w:r>
      <w:r w:rsidRPr="00670E37">
        <w:rPr>
          <w:rFonts w:ascii="Arial" w:hAnsi="Arial" w:cs="Arial"/>
          <w:sz w:val="20"/>
          <w:szCs w:val="20"/>
        </w:rPr>
        <w:t xml:space="preserve"> beleidsafspraken</w:t>
      </w:r>
      <w:r w:rsidRPr="00670E37">
        <w:rPr>
          <w:rFonts w:ascii="Arial" w:hAnsi="Arial" w:eastAsia="Calibri" w:cs="Arial"/>
          <w:sz w:val="20"/>
          <w:szCs w:val="20"/>
        </w:rPr>
        <w:t xml:space="preserve"> op het gebied van financiële sector, regelgeving en toezicht. Ten aanzien van de herziening van de quotaformule van het IMF, zal de EU het besluit verwelkomen om deze discussie te continueren en samen te nemen met de 15</w:t>
      </w:r>
      <w:r w:rsidRPr="00670E37">
        <w:rPr>
          <w:rFonts w:ascii="Arial" w:hAnsi="Arial" w:eastAsia="Calibri" w:cs="Arial"/>
          <w:sz w:val="20"/>
          <w:szCs w:val="20"/>
          <w:vertAlign w:val="superscript"/>
        </w:rPr>
        <w:t>de</w:t>
      </w:r>
      <w:r w:rsidRPr="00670E37">
        <w:rPr>
          <w:rFonts w:ascii="Arial" w:hAnsi="Arial" w:eastAsia="Calibri" w:cs="Arial"/>
          <w:sz w:val="20"/>
          <w:szCs w:val="20"/>
        </w:rPr>
        <w:t xml:space="preserve"> quota herziening waarvoor januari 2014 de deadline is. De EU zal hierbij aangeven dat de discussie omwille van legitimiteit in het IMF dient plaats te vinden en dat BBP en openheid de belangrijkste variabelen in de formule moeten blijven. Nederland kan zich goed vinden in de EU-inzet. </w:t>
      </w:r>
    </w:p>
    <w:p w:rsidR="00492380" w:rsidP="00670E37" w:rsidRDefault="00492380">
      <w:pPr>
        <w:pStyle w:val="Plattetekst"/>
        <w:spacing w:line="360" w:lineRule="auto"/>
        <w:rPr>
          <w:rFonts w:ascii="Arial" w:hAnsi="Arial" w:eastAsia="Calibri" w:cs="Arial"/>
          <w:sz w:val="20"/>
          <w:szCs w:val="20"/>
        </w:rPr>
      </w:pPr>
    </w:p>
    <w:p w:rsidRPr="00670E37" w:rsidR="00670E37" w:rsidP="00670E37" w:rsidRDefault="00670E37">
      <w:pPr>
        <w:pStyle w:val="Lijstalinea"/>
        <w:numPr>
          <w:ilvl w:val="0"/>
          <w:numId w:val="1"/>
        </w:numPr>
        <w:spacing w:line="360" w:lineRule="auto"/>
        <w:rPr>
          <w:rFonts w:ascii="Arial" w:hAnsi="Arial" w:cs="Arial"/>
          <w:b/>
          <w:sz w:val="20"/>
          <w:szCs w:val="20"/>
          <w:lang w:val="en-US"/>
        </w:rPr>
      </w:pPr>
      <w:r w:rsidRPr="00670E37">
        <w:rPr>
          <w:rFonts w:ascii="Arial" w:hAnsi="Arial" w:cs="Arial"/>
          <w:b/>
          <w:sz w:val="20"/>
          <w:szCs w:val="20"/>
          <w:lang w:val="en-US"/>
        </w:rPr>
        <w:t xml:space="preserve">Annual Growth Survey </w:t>
      </w:r>
    </w:p>
    <w:p w:rsidR="00F75DE9" w:rsidP="00670E37" w:rsidRDefault="00670E37">
      <w:pPr>
        <w:spacing w:line="360" w:lineRule="auto"/>
        <w:rPr>
          <w:rFonts w:ascii="Arial" w:hAnsi="Arial" w:cs="Arial"/>
          <w:sz w:val="20"/>
          <w:szCs w:val="20"/>
        </w:rPr>
      </w:pPr>
      <w:r w:rsidRPr="00670E37">
        <w:rPr>
          <w:rFonts w:ascii="Arial" w:hAnsi="Arial" w:cs="Arial"/>
          <w:b/>
          <w:sz w:val="20"/>
          <w:szCs w:val="20"/>
        </w:rPr>
        <w:t>Document:</w:t>
      </w:r>
      <w:r w:rsidR="00784A3D">
        <w:rPr>
          <w:rFonts w:ascii="Arial" w:hAnsi="Arial" w:cs="Arial"/>
          <w:b/>
          <w:sz w:val="20"/>
          <w:szCs w:val="20"/>
        </w:rPr>
        <w:t xml:space="preserve">  </w:t>
      </w:r>
      <w:proofErr w:type="spellStart"/>
      <w:r w:rsidR="00784A3D">
        <w:rPr>
          <w:rFonts w:ascii="Arial" w:hAnsi="Arial" w:cs="Arial"/>
          <w:sz w:val="20"/>
          <w:szCs w:val="20"/>
        </w:rPr>
        <w:t>Annual</w:t>
      </w:r>
      <w:proofErr w:type="spellEnd"/>
      <w:r w:rsidR="00784A3D">
        <w:rPr>
          <w:rFonts w:ascii="Arial" w:hAnsi="Arial" w:cs="Arial"/>
          <w:sz w:val="20"/>
          <w:szCs w:val="20"/>
        </w:rPr>
        <w:t xml:space="preserve"> </w:t>
      </w:r>
      <w:proofErr w:type="spellStart"/>
      <w:r w:rsidR="00784A3D">
        <w:rPr>
          <w:rFonts w:ascii="Arial" w:hAnsi="Arial" w:cs="Arial"/>
          <w:sz w:val="20"/>
          <w:szCs w:val="20"/>
        </w:rPr>
        <w:t>Growth</w:t>
      </w:r>
      <w:proofErr w:type="spellEnd"/>
      <w:r w:rsidR="00784A3D">
        <w:rPr>
          <w:rFonts w:ascii="Arial" w:hAnsi="Arial" w:cs="Arial"/>
          <w:sz w:val="20"/>
          <w:szCs w:val="20"/>
        </w:rPr>
        <w:t xml:space="preserve"> </w:t>
      </w:r>
      <w:proofErr w:type="spellStart"/>
      <w:r w:rsidR="00784A3D">
        <w:rPr>
          <w:rFonts w:ascii="Arial" w:hAnsi="Arial" w:cs="Arial"/>
          <w:sz w:val="20"/>
          <w:szCs w:val="20"/>
        </w:rPr>
        <w:t>Survey</w:t>
      </w:r>
      <w:proofErr w:type="spellEnd"/>
      <w:r w:rsidR="00784A3D">
        <w:rPr>
          <w:rFonts w:ascii="Arial" w:hAnsi="Arial" w:cs="Arial"/>
          <w:sz w:val="20"/>
          <w:szCs w:val="20"/>
        </w:rPr>
        <w:t xml:space="preserve"> van de Commissie </w:t>
      </w:r>
      <w:r w:rsidRPr="00670E37">
        <w:rPr>
          <w:rFonts w:ascii="Arial" w:hAnsi="Arial" w:cs="Arial"/>
          <w:b/>
          <w:sz w:val="20"/>
          <w:szCs w:val="20"/>
        </w:rPr>
        <w:br/>
        <w:t xml:space="preserve">Aard bespreking: </w:t>
      </w:r>
      <w:r w:rsidRPr="00784A3D" w:rsidR="00784A3D">
        <w:rPr>
          <w:rFonts w:ascii="Arial" w:hAnsi="Arial" w:cs="Arial"/>
          <w:bCs/>
          <w:sz w:val="20"/>
          <w:szCs w:val="20"/>
        </w:rPr>
        <w:t>gedachtewisseling</w:t>
      </w:r>
      <w:r w:rsidRPr="00670E37">
        <w:rPr>
          <w:rFonts w:ascii="Arial" w:hAnsi="Arial" w:cs="Arial"/>
          <w:b/>
          <w:sz w:val="20"/>
          <w:szCs w:val="20"/>
        </w:rPr>
        <w:br/>
        <w:t xml:space="preserve">Besluitvormingsprocedure: </w:t>
      </w:r>
      <w:r w:rsidRPr="00784A3D" w:rsidR="00784A3D">
        <w:rPr>
          <w:rFonts w:ascii="Arial" w:hAnsi="Arial" w:cs="Arial"/>
          <w:sz w:val="20"/>
          <w:szCs w:val="20"/>
        </w:rPr>
        <w:t>n.v.t.</w:t>
      </w:r>
      <w:r w:rsidRPr="00670E37">
        <w:rPr>
          <w:rFonts w:ascii="Arial" w:hAnsi="Arial" w:cs="Arial"/>
          <w:b/>
          <w:sz w:val="20"/>
          <w:szCs w:val="20"/>
        </w:rPr>
        <w:br/>
        <w:t xml:space="preserve">Toelichting: </w:t>
      </w:r>
      <w:r w:rsidRPr="00670E37">
        <w:rPr>
          <w:rFonts w:ascii="Arial" w:hAnsi="Arial" w:cs="Arial"/>
          <w:sz w:val="20"/>
          <w:szCs w:val="20"/>
        </w:rPr>
        <w:t xml:space="preserve">De Ecofin Raad zal spreken over de </w:t>
      </w:r>
      <w:proofErr w:type="spellStart"/>
      <w:r w:rsidRPr="00670E37">
        <w:rPr>
          <w:rFonts w:ascii="Arial" w:hAnsi="Arial" w:cs="Arial"/>
          <w:sz w:val="20"/>
          <w:szCs w:val="20"/>
        </w:rPr>
        <w:t>Annual</w:t>
      </w:r>
      <w:proofErr w:type="spellEnd"/>
      <w:r w:rsidRPr="00670E37">
        <w:rPr>
          <w:rFonts w:ascii="Arial" w:hAnsi="Arial" w:cs="Arial"/>
          <w:sz w:val="20"/>
          <w:szCs w:val="20"/>
        </w:rPr>
        <w:t xml:space="preserve"> </w:t>
      </w:r>
      <w:proofErr w:type="spellStart"/>
      <w:r w:rsidRPr="00670E37">
        <w:rPr>
          <w:rFonts w:ascii="Arial" w:hAnsi="Arial" w:cs="Arial"/>
          <w:sz w:val="20"/>
          <w:szCs w:val="20"/>
        </w:rPr>
        <w:t>Growth</w:t>
      </w:r>
      <w:proofErr w:type="spellEnd"/>
      <w:r w:rsidRPr="00670E37">
        <w:rPr>
          <w:rFonts w:ascii="Arial" w:hAnsi="Arial" w:cs="Arial"/>
          <w:sz w:val="20"/>
          <w:szCs w:val="20"/>
        </w:rPr>
        <w:t xml:space="preserve"> </w:t>
      </w:r>
      <w:proofErr w:type="spellStart"/>
      <w:r w:rsidRPr="00670E37">
        <w:rPr>
          <w:rFonts w:ascii="Arial" w:hAnsi="Arial" w:cs="Arial"/>
          <w:sz w:val="20"/>
          <w:szCs w:val="20"/>
        </w:rPr>
        <w:t>Survey</w:t>
      </w:r>
      <w:proofErr w:type="spellEnd"/>
      <w:r w:rsidRPr="00670E37">
        <w:rPr>
          <w:rFonts w:ascii="Arial" w:hAnsi="Arial" w:cs="Arial"/>
          <w:sz w:val="20"/>
          <w:szCs w:val="20"/>
        </w:rPr>
        <w:t xml:space="preserve"> van de Europese Commissie, met daarin onder andere de jaarlijkse prioriteiten voor het versterken van de groei in de </w:t>
      </w:r>
      <w:r w:rsidRPr="00670E37">
        <w:rPr>
          <w:rFonts w:ascii="Arial" w:hAnsi="Arial" w:cs="Arial"/>
          <w:sz w:val="20"/>
          <w:szCs w:val="20"/>
        </w:rPr>
        <w:lastRenderedPageBreak/>
        <w:t xml:space="preserve">EU, en een actualisering van de implementatie van de Europa 2020 strategie. Er zullen geen besluiten worden genomen. In aanloop naar de Voorjaarsraad waarin </w:t>
      </w:r>
      <w:r w:rsidR="00654219">
        <w:rPr>
          <w:rFonts w:ascii="Arial" w:hAnsi="Arial" w:cs="Arial"/>
          <w:sz w:val="20"/>
          <w:szCs w:val="20"/>
        </w:rPr>
        <w:t>dit jaar</w:t>
      </w:r>
      <w:r w:rsidRPr="00670E37">
        <w:rPr>
          <w:rFonts w:ascii="Arial" w:hAnsi="Arial" w:cs="Arial"/>
          <w:sz w:val="20"/>
          <w:szCs w:val="20"/>
        </w:rPr>
        <w:t xml:space="preserve"> de prioriteiten voor groei officieel vastgelegd worden, zal de Ecofin naar verwachting nog een keer over de </w:t>
      </w:r>
      <w:proofErr w:type="spellStart"/>
      <w:r w:rsidRPr="00670E37">
        <w:rPr>
          <w:rFonts w:ascii="Arial" w:hAnsi="Arial" w:cs="Arial"/>
          <w:sz w:val="20"/>
          <w:szCs w:val="20"/>
        </w:rPr>
        <w:t>Annual</w:t>
      </w:r>
      <w:proofErr w:type="spellEnd"/>
      <w:r w:rsidRPr="00670E37">
        <w:rPr>
          <w:rFonts w:ascii="Arial" w:hAnsi="Arial" w:cs="Arial"/>
          <w:sz w:val="20"/>
          <w:szCs w:val="20"/>
        </w:rPr>
        <w:t xml:space="preserve"> </w:t>
      </w:r>
      <w:proofErr w:type="spellStart"/>
      <w:r w:rsidRPr="00670E37">
        <w:rPr>
          <w:rFonts w:ascii="Arial" w:hAnsi="Arial" w:cs="Arial"/>
          <w:sz w:val="20"/>
          <w:szCs w:val="20"/>
        </w:rPr>
        <w:t>Growth</w:t>
      </w:r>
      <w:proofErr w:type="spellEnd"/>
      <w:r w:rsidRPr="00670E37">
        <w:rPr>
          <w:rFonts w:ascii="Arial" w:hAnsi="Arial" w:cs="Arial"/>
          <w:sz w:val="20"/>
          <w:szCs w:val="20"/>
        </w:rPr>
        <w:t xml:space="preserve"> </w:t>
      </w:r>
      <w:proofErr w:type="spellStart"/>
      <w:r w:rsidRPr="00670E37">
        <w:rPr>
          <w:rFonts w:ascii="Arial" w:hAnsi="Arial" w:cs="Arial"/>
          <w:sz w:val="20"/>
          <w:szCs w:val="20"/>
        </w:rPr>
        <w:t>Survey</w:t>
      </w:r>
      <w:proofErr w:type="spellEnd"/>
      <w:r w:rsidRPr="00670E37">
        <w:rPr>
          <w:rFonts w:ascii="Arial" w:hAnsi="Arial" w:cs="Arial"/>
          <w:sz w:val="20"/>
          <w:szCs w:val="20"/>
        </w:rPr>
        <w:t xml:space="preserve"> spreken en conclusies aannemen.</w:t>
      </w:r>
    </w:p>
    <w:p w:rsidR="00492380" w:rsidP="00670E37" w:rsidRDefault="00492380">
      <w:pPr>
        <w:spacing w:line="360" w:lineRule="auto"/>
        <w:rPr>
          <w:rFonts w:ascii="Arial" w:hAnsi="Arial" w:cs="Arial"/>
          <w:sz w:val="20"/>
          <w:szCs w:val="20"/>
        </w:rPr>
      </w:pPr>
    </w:p>
    <w:p w:rsidRPr="00670E37" w:rsidR="00670E37" w:rsidP="00670E37" w:rsidRDefault="00670E37">
      <w:pPr>
        <w:pStyle w:val="Lijstalinea"/>
        <w:numPr>
          <w:ilvl w:val="0"/>
          <w:numId w:val="1"/>
        </w:numPr>
        <w:spacing w:line="360" w:lineRule="auto"/>
        <w:rPr>
          <w:rFonts w:ascii="Arial" w:hAnsi="Arial" w:cs="Arial"/>
          <w:b/>
          <w:sz w:val="20"/>
          <w:szCs w:val="20"/>
          <w:lang w:val="en-US"/>
        </w:rPr>
      </w:pPr>
      <w:r w:rsidRPr="00670E37">
        <w:rPr>
          <w:rFonts w:ascii="Arial" w:hAnsi="Arial" w:cs="Arial"/>
          <w:b/>
          <w:sz w:val="20"/>
          <w:szCs w:val="20"/>
          <w:lang w:val="en-US"/>
        </w:rPr>
        <w:t>Alert Mechanism Report</w:t>
      </w:r>
    </w:p>
    <w:p w:rsidR="00F75DE9" w:rsidP="00670E37" w:rsidRDefault="00670E37">
      <w:pPr>
        <w:spacing w:line="360" w:lineRule="auto"/>
        <w:rPr>
          <w:rFonts w:ascii="Arial" w:hAnsi="Arial" w:cs="Arial"/>
          <w:sz w:val="20"/>
          <w:szCs w:val="20"/>
        </w:rPr>
      </w:pPr>
      <w:r w:rsidRPr="00670E37">
        <w:rPr>
          <w:rFonts w:ascii="Arial" w:hAnsi="Arial" w:cs="Arial"/>
          <w:b/>
          <w:sz w:val="20"/>
          <w:szCs w:val="20"/>
        </w:rPr>
        <w:t>Document:</w:t>
      </w:r>
      <w:r w:rsidR="00784A3D">
        <w:rPr>
          <w:rFonts w:ascii="Arial" w:hAnsi="Arial" w:cs="Arial"/>
          <w:b/>
          <w:sz w:val="20"/>
          <w:szCs w:val="20"/>
        </w:rPr>
        <w:t xml:space="preserve"> </w:t>
      </w:r>
      <w:r w:rsidRPr="00F75DE9" w:rsidR="00784A3D">
        <w:rPr>
          <w:rFonts w:ascii="Arial" w:hAnsi="Arial" w:cs="Arial"/>
          <w:bCs/>
          <w:sz w:val="20"/>
          <w:szCs w:val="20"/>
        </w:rPr>
        <w:t>Alert Mechanism Report van de Commissie</w:t>
      </w:r>
      <w:r w:rsidRPr="00670E37">
        <w:rPr>
          <w:rFonts w:ascii="Arial" w:hAnsi="Arial" w:cs="Arial"/>
          <w:b/>
          <w:sz w:val="20"/>
          <w:szCs w:val="20"/>
        </w:rPr>
        <w:br/>
        <w:t xml:space="preserve">Aard bespreking: </w:t>
      </w:r>
      <w:r w:rsidRPr="00784A3D" w:rsidR="00784A3D">
        <w:rPr>
          <w:rFonts w:ascii="Arial" w:hAnsi="Arial" w:cs="Arial"/>
          <w:sz w:val="20"/>
          <w:szCs w:val="20"/>
        </w:rPr>
        <w:t>aanname</w:t>
      </w:r>
      <w:r w:rsidR="00784A3D">
        <w:rPr>
          <w:rFonts w:ascii="Arial" w:hAnsi="Arial" w:cs="Arial"/>
          <w:sz w:val="20"/>
          <w:szCs w:val="20"/>
        </w:rPr>
        <w:t xml:space="preserve"> raadsconclusies </w:t>
      </w:r>
      <w:r w:rsidRPr="00670E37">
        <w:rPr>
          <w:rFonts w:ascii="Arial" w:hAnsi="Arial" w:cs="Arial"/>
          <w:b/>
          <w:sz w:val="20"/>
          <w:szCs w:val="20"/>
        </w:rPr>
        <w:br/>
        <w:t xml:space="preserve">Besluitvormingsprocedure: </w:t>
      </w:r>
      <w:r w:rsidR="00E661B8">
        <w:rPr>
          <w:rFonts w:ascii="Arial" w:hAnsi="Arial" w:cs="Arial"/>
          <w:bCs/>
          <w:sz w:val="20"/>
          <w:szCs w:val="20"/>
        </w:rPr>
        <w:t xml:space="preserve">consensus </w:t>
      </w:r>
      <w:r w:rsidRPr="00670E37">
        <w:rPr>
          <w:rFonts w:ascii="Arial" w:hAnsi="Arial" w:cs="Arial"/>
          <w:b/>
          <w:sz w:val="20"/>
          <w:szCs w:val="20"/>
        </w:rPr>
        <w:br/>
        <w:t xml:space="preserve">Toelichting: </w:t>
      </w:r>
      <w:r w:rsidRPr="00670E37">
        <w:rPr>
          <w:rFonts w:ascii="Arial" w:hAnsi="Arial" w:cs="Arial"/>
          <w:sz w:val="20"/>
          <w:szCs w:val="20"/>
        </w:rPr>
        <w:t>De Ecofin Raad zal conclusies aannemen over het Alert Mechanism Report in het kader van het Europees Semester 2013. In het Alert Mechanism Report presenteerde de Commissie het scorebord voor het signaleren van onevenwichtigheden van de Macro-economische Onevenwichtighedenprocedure (MEOP). Op basis van dit scorebord heeft de Commissie 14 landen waaronder Nederland geselecteerd voor een diepteanalyse. Naar verwachting zullen in maart de diepteanalyses worden gepubliceerd. Naar aanleiding van de uitkomsten daarvan zal de Raad eventueel kunnen besluiten bij enkele landen met ernstige onevenwichtigheden over te gaan tot een Buitensporige Onevenwichtighedenprocedure.</w:t>
      </w:r>
    </w:p>
    <w:p w:rsidRPr="00E661B8" w:rsidR="00492380" w:rsidP="00670E37" w:rsidRDefault="00492380">
      <w:pPr>
        <w:spacing w:line="360" w:lineRule="auto"/>
        <w:rPr>
          <w:rFonts w:ascii="Arial" w:hAnsi="Arial" w:cs="Arial"/>
          <w:sz w:val="20"/>
          <w:szCs w:val="20"/>
        </w:rPr>
      </w:pPr>
    </w:p>
    <w:p w:rsidRPr="00670E37" w:rsidR="00670E37" w:rsidP="00670E37" w:rsidRDefault="00670E37">
      <w:pPr>
        <w:pStyle w:val="Lijstalinea"/>
        <w:numPr>
          <w:ilvl w:val="0"/>
          <w:numId w:val="1"/>
        </w:numPr>
        <w:spacing w:line="360" w:lineRule="auto"/>
        <w:rPr>
          <w:rFonts w:ascii="Arial" w:hAnsi="Arial" w:cs="Arial"/>
          <w:b/>
          <w:sz w:val="20"/>
          <w:szCs w:val="20"/>
          <w:lang w:val="en-US"/>
        </w:rPr>
      </w:pPr>
      <w:r w:rsidRPr="00670E37">
        <w:rPr>
          <w:rFonts w:ascii="Arial" w:hAnsi="Arial" w:cs="Arial"/>
          <w:b/>
          <w:sz w:val="20"/>
          <w:szCs w:val="20"/>
          <w:lang w:val="en-US"/>
        </w:rPr>
        <w:t xml:space="preserve">Fiscal Sustainability Report </w:t>
      </w:r>
    </w:p>
    <w:p w:rsidRPr="00670E37" w:rsidR="00670E37" w:rsidP="00670E37" w:rsidRDefault="00670E37">
      <w:pPr>
        <w:pStyle w:val="Plattetekst"/>
        <w:spacing w:after="0" w:line="360" w:lineRule="auto"/>
        <w:rPr>
          <w:rFonts w:ascii="Arial" w:hAnsi="Arial" w:cs="Arial"/>
          <w:sz w:val="20"/>
          <w:szCs w:val="20"/>
        </w:rPr>
      </w:pPr>
      <w:r w:rsidRPr="00670E37">
        <w:rPr>
          <w:rFonts w:ascii="Arial" w:hAnsi="Arial" w:cs="Arial"/>
          <w:b/>
          <w:bCs/>
          <w:sz w:val="20"/>
          <w:szCs w:val="20"/>
        </w:rPr>
        <w:t xml:space="preserve">Document: </w:t>
      </w:r>
      <w:proofErr w:type="spellStart"/>
      <w:r w:rsidRPr="00F7233D">
        <w:rPr>
          <w:rFonts w:ascii="Arial" w:hAnsi="Arial" w:cs="Arial"/>
          <w:bCs/>
          <w:sz w:val="20"/>
          <w:szCs w:val="20"/>
        </w:rPr>
        <w:t>Draft</w:t>
      </w:r>
      <w:proofErr w:type="spellEnd"/>
      <w:r w:rsidRPr="00F7233D">
        <w:rPr>
          <w:rFonts w:ascii="Arial" w:hAnsi="Arial" w:cs="Arial"/>
          <w:bCs/>
          <w:sz w:val="20"/>
          <w:szCs w:val="20"/>
        </w:rPr>
        <w:t xml:space="preserve"> </w:t>
      </w:r>
      <w:proofErr w:type="spellStart"/>
      <w:r w:rsidRPr="00F7233D">
        <w:rPr>
          <w:rFonts w:ascii="Arial" w:hAnsi="Arial" w:cs="Arial"/>
          <w:bCs/>
          <w:sz w:val="20"/>
          <w:szCs w:val="20"/>
        </w:rPr>
        <w:t>Council</w:t>
      </w:r>
      <w:proofErr w:type="spellEnd"/>
      <w:r w:rsidRPr="00F7233D">
        <w:rPr>
          <w:rFonts w:ascii="Arial" w:hAnsi="Arial" w:cs="Arial"/>
          <w:bCs/>
          <w:sz w:val="20"/>
          <w:szCs w:val="20"/>
        </w:rPr>
        <w:t xml:space="preserve"> </w:t>
      </w:r>
      <w:proofErr w:type="spellStart"/>
      <w:r w:rsidRPr="00F7233D">
        <w:rPr>
          <w:rFonts w:ascii="Arial" w:hAnsi="Arial" w:cs="Arial"/>
          <w:bCs/>
          <w:sz w:val="20"/>
          <w:szCs w:val="20"/>
        </w:rPr>
        <w:t>Conclusions</w:t>
      </w:r>
      <w:proofErr w:type="spellEnd"/>
      <w:r w:rsidRPr="00670E37">
        <w:rPr>
          <w:rFonts w:ascii="Arial" w:hAnsi="Arial" w:cs="Arial"/>
          <w:b/>
          <w:bCs/>
          <w:sz w:val="20"/>
          <w:szCs w:val="20"/>
        </w:rPr>
        <w:t xml:space="preserve"> </w:t>
      </w:r>
    </w:p>
    <w:p w:rsidRPr="00670E37" w:rsidR="00670E37" w:rsidP="00670E37" w:rsidRDefault="00670E37">
      <w:pPr>
        <w:pStyle w:val="Plattetekst"/>
        <w:spacing w:after="0" w:line="360" w:lineRule="auto"/>
        <w:rPr>
          <w:rFonts w:ascii="Arial" w:hAnsi="Arial" w:cs="Arial"/>
          <w:sz w:val="20"/>
          <w:szCs w:val="20"/>
        </w:rPr>
      </w:pPr>
      <w:r w:rsidRPr="00670E37">
        <w:rPr>
          <w:rFonts w:ascii="Arial" w:hAnsi="Arial" w:cs="Arial"/>
          <w:b/>
          <w:bCs/>
          <w:sz w:val="20"/>
          <w:szCs w:val="20"/>
        </w:rPr>
        <w:t xml:space="preserve">Aard bespreking: </w:t>
      </w:r>
      <w:r w:rsidRPr="00670E37">
        <w:rPr>
          <w:rFonts w:ascii="Arial" w:hAnsi="Arial" w:cs="Arial"/>
          <w:bCs/>
          <w:sz w:val="20"/>
          <w:szCs w:val="20"/>
        </w:rPr>
        <w:t>aanname raadsconclusies</w:t>
      </w:r>
    </w:p>
    <w:p w:rsidRPr="00670E37" w:rsidR="00670E37" w:rsidP="00670E37" w:rsidRDefault="00670E37">
      <w:pPr>
        <w:pStyle w:val="Plattetekst"/>
        <w:spacing w:after="0" w:line="360" w:lineRule="auto"/>
        <w:rPr>
          <w:rFonts w:ascii="Arial" w:hAnsi="Arial" w:cs="Arial"/>
          <w:sz w:val="20"/>
          <w:szCs w:val="20"/>
        </w:rPr>
      </w:pPr>
      <w:r w:rsidRPr="00670E37">
        <w:rPr>
          <w:rFonts w:ascii="Arial" w:hAnsi="Arial" w:cs="Arial"/>
          <w:b/>
          <w:bCs/>
          <w:sz w:val="20"/>
          <w:szCs w:val="20"/>
        </w:rPr>
        <w:t xml:space="preserve">Besluitvormingsprocedure: </w:t>
      </w:r>
    </w:p>
    <w:p w:rsidR="00A87BF1" w:rsidP="00670E37" w:rsidRDefault="00670E37">
      <w:pPr>
        <w:spacing w:after="0" w:line="360" w:lineRule="auto"/>
        <w:rPr>
          <w:rFonts w:ascii="Arial" w:hAnsi="Arial" w:eastAsia="Calibri" w:cs="Arial"/>
          <w:bCs/>
          <w:sz w:val="20"/>
          <w:szCs w:val="20"/>
        </w:rPr>
      </w:pPr>
      <w:r w:rsidRPr="00670E37">
        <w:rPr>
          <w:rFonts w:ascii="Arial" w:hAnsi="Arial" w:eastAsia="Calibri" w:cs="Arial"/>
          <w:b/>
          <w:bCs/>
          <w:sz w:val="20"/>
          <w:szCs w:val="20"/>
        </w:rPr>
        <w:t>Toelichting:</w:t>
      </w:r>
      <w:r w:rsidRPr="00670E37">
        <w:rPr>
          <w:rFonts w:ascii="Arial" w:hAnsi="Arial" w:eastAsia="Calibri" w:cs="Arial"/>
          <w:bCs/>
          <w:sz w:val="20"/>
          <w:szCs w:val="20"/>
        </w:rPr>
        <w:t xml:space="preserve"> De ministers zullen naar verwachting de raadsconclusies van het 2012 </w:t>
      </w:r>
      <w:proofErr w:type="spellStart"/>
      <w:r w:rsidRPr="00670E37">
        <w:rPr>
          <w:rFonts w:ascii="Arial" w:hAnsi="Arial" w:eastAsia="Calibri" w:cs="Arial"/>
          <w:bCs/>
          <w:sz w:val="20"/>
          <w:szCs w:val="20"/>
        </w:rPr>
        <w:t>Sustainability</w:t>
      </w:r>
      <w:proofErr w:type="spellEnd"/>
      <w:r w:rsidRPr="00670E37">
        <w:rPr>
          <w:rFonts w:ascii="Arial" w:hAnsi="Arial" w:eastAsia="Calibri" w:cs="Arial"/>
          <w:bCs/>
          <w:sz w:val="20"/>
          <w:szCs w:val="20"/>
        </w:rPr>
        <w:t xml:space="preserve"> Report van de Europese Commissie aannemen. Deze raadsconclusies beschrijven dat de crisis voor uitdagingen heeft gezorgd, dat in veel landen belangrijke en welkome stappen zijn gezet. De conclusies onderstrepen het belang hiervan voor houdbare overheidsfinanciën. De raadsconclusies nodigen lidstaten en de Europese Commissie uit om de ontwikkeling van de houdbaarheid van de overheidsfinanciën te betrekken bij de EU2020 strategie. Ook nodigen de raadsconclusies de Europese Commissie uit om samen met het EPC de methodologie om de houdbaarheid van de overheidsfinanciën in beeld te brengen, verder te ontwikkelen. </w:t>
      </w:r>
    </w:p>
    <w:p w:rsidR="000C689D" w:rsidP="00670E37" w:rsidRDefault="000C689D">
      <w:pPr>
        <w:spacing w:after="0" w:line="360" w:lineRule="auto"/>
        <w:rPr>
          <w:rFonts w:ascii="Arial" w:hAnsi="Arial" w:eastAsia="Calibri" w:cs="Arial"/>
          <w:bCs/>
          <w:sz w:val="20"/>
          <w:szCs w:val="20"/>
        </w:rPr>
      </w:pPr>
    </w:p>
    <w:p w:rsidR="00492380" w:rsidP="00492380" w:rsidRDefault="00F7233D">
      <w:pPr>
        <w:pStyle w:val="Lijstalinea"/>
        <w:numPr>
          <w:ilvl w:val="0"/>
          <w:numId w:val="1"/>
        </w:numPr>
        <w:spacing w:line="360" w:lineRule="auto"/>
        <w:rPr>
          <w:rFonts w:ascii="Arial" w:hAnsi="Arial" w:cs="Arial"/>
          <w:b/>
          <w:sz w:val="20"/>
          <w:szCs w:val="20"/>
          <w:lang w:val="en-US"/>
        </w:rPr>
      </w:pPr>
      <w:proofErr w:type="spellStart"/>
      <w:r>
        <w:rPr>
          <w:rFonts w:ascii="Arial" w:hAnsi="Arial" w:cs="Arial"/>
          <w:b/>
          <w:sz w:val="20"/>
          <w:szCs w:val="20"/>
          <w:lang w:val="en-US"/>
        </w:rPr>
        <w:t>Begrotings</w:t>
      </w:r>
      <w:r w:rsidRPr="00670E37" w:rsidR="00670E37">
        <w:rPr>
          <w:rFonts w:ascii="Arial" w:hAnsi="Arial" w:cs="Arial"/>
          <w:b/>
          <w:sz w:val="20"/>
          <w:szCs w:val="20"/>
          <w:lang w:val="en-US"/>
        </w:rPr>
        <w:t>richtsnoeren</w:t>
      </w:r>
      <w:proofErr w:type="spellEnd"/>
      <w:r w:rsidRPr="00670E37" w:rsidR="00670E37">
        <w:rPr>
          <w:rFonts w:ascii="Arial" w:hAnsi="Arial" w:cs="Arial"/>
          <w:b/>
          <w:sz w:val="20"/>
          <w:szCs w:val="20"/>
          <w:lang w:val="en-US"/>
        </w:rPr>
        <w:t xml:space="preserve"> 2014 </w:t>
      </w:r>
    </w:p>
    <w:p w:rsidRPr="00492380" w:rsidR="00B40986" w:rsidP="00492380" w:rsidRDefault="00B40986">
      <w:pPr>
        <w:spacing w:line="360" w:lineRule="auto"/>
        <w:rPr>
          <w:rFonts w:ascii="Arial" w:hAnsi="Arial" w:cs="Arial"/>
          <w:b/>
          <w:sz w:val="20"/>
          <w:szCs w:val="20"/>
        </w:rPr>
      </w:pPr>
      <w:r w:rsidRPr="00492380">
        <w:rPr>
          <w:rFonts w:ascii="Arial" w:hAnsi="Arial" w:cs="Arial"/>
          <w:b/>
          <w:bCs/>
          <w:sz w:val="20"/>
          <w:szCs w:val="20"/>
        </w:rPr>
        <w:t xml:space="preserve">Document: </w:t>
      </w:r>
      <w:proofErr w:type="spellStart"/>
      <w:r w:rsidRPr="00492380">
        <w:rPr>
          <w:rFonts w:ascii="Arial" w:hAnsi="Arial" w:cs="Arial"/>
          <w:sz w:val="20"/>
          <w:szCs w:val="20"/>
        </w:rPr>
        <w:t>Draft</w:t>
      </w:r>
      <w:proofErr w:type="spellEnd"/>
      <w:r w:rsidRPr="00492380">
        <w:rPr>
          <w:rFonts w:ascii="Arial" w:hAnsi="Arial" w:cs="Arial"/>
          <w:sz w:val="20"/>
          <w:szCs w:val="20"/>
        </w:rPr>
        <w:t xml:space="preserve"> </w:t>
      </w:r>
      <w:proofErr w:type="spellStart"/>
      <w:r w:rsidRPr="00492380">
        <w:rPr>
          <w:rFonts w:ascii="Arial" w:hAnsi="Arial" w:cs="Arial"/>
          <w:sz w:val="20"/>
          <w:szCs w:val="20"/>
        </w:rPr>
        <w:t>Council</w:t>
      </w:r>
      <w:proofErr w:type="spellEnd"/>
      <w:r w:rsidRPr="00492380">
        <w:rPr>
          <w:rFonts w:ascii="Arial" w:hAnsi="Arial" w:cs="Arial"/>
          <w:sz w:val="20"/>
          <w:szCs w:val="20"/>
        </w:rPr>
        <w:t xml:space="preserve"> </w:t>
      </w:r>
      <w:proofErr w:type="spellStart"/>
      <w:r w:rsidRPr="00492380">
        <w:rPr>
          <w:rFonts w:ascii="Arial" w:hAnsi="Arial" w:cs="Arial"/>
          <w:sz w:val="20"/>
          <w:szCs w:val="20"/>
        </w:rPr>
        <w:t>conclusions</w:t>
      </w:r>
      <w:proofErr w:type="spellEnd"/>
      <w:r w:rsidRPr="00492380">
        <w:rPr>
          <w:rFonts w:ascii="Arial" w:hAnsi="Arial" w:cs="Arial"/>
          <w:sz w:val="20"/>
          <w:szCs w:val="20"/>
        </w:rPr>
        <w:t xml:space="preserve"> </w:t>
      </w:r>
      <w:proofErr w:type="spellStart"/>
      <w:r w:rsidRPr="00492380">
        <w:rPr>
          <w:rFonts w:ascii="Arial" w:hAnsi="Arial" w:cs="Arial"/>
          <w:sz w:val="20"/>
          <w:szCs w:val="20"/>
        </w:rPr>
        <w:t>on</w:t>
      </w:r>
      <w:proofErr w:type="spellEnd"/>
      <w:r w:rsidRPr="00492380">
        <w:rPr>
          <w:rFonts w:ascii="Arial" w:hAnsi="Arial" w:cs="Arial"/>
          <w:sz w:val="20"/>
          <w:szCs w:val="20"/>
        </w:rPr>
        <w:t xml:space="preserve"> the budget </w:t>
      </w:r>
      <w:proofErr w:type="spellStart"/>
      <w:r w:rsidRPr="00492380">
        <w:rPr>
          <w:rFonts w:ascii="Arial" w:hAnsi="Arial" w:cs="Arial"/>
          <w:sz w:val="20"/>
          <w:szCs w:val="20"/>
        </w:rPr>
        <w:t>guidelines</w:t>
      </w:r>
      <w:proofErr w:type="spellEnd"/>
      <w:r w:rsidRPr="00492380">
        <w:rPr>
          <w:rFonts w:ascii="Arial" w:hAnsi="Arial" w:cs="Arial"/>
          <w:sz w:val="20"/>
          <w:szCs w:val="20"/>
        </w:rPr>
        <w:t xml:space="preserve"> </w:t>
      </w:r>
      <w:proofErr w:type="spellStart"/>
      <w:r w:rsidRPr="00492380">
        <w:rPr>
          <w:rFonts w:ascii="Arial" w:hAnsi="Arial" w:cs="Arial"/>
          <w:sz w:val="20"/>
          <w:szCs w:val="20"/>
        </w:rPr>
        <w:t>for</w:t>
      </w:r>
      <w:proofErr w:type="spellEnd"/>
      <w:r w:rsidRPr="00492380">
        <w:rPr>
          <w:rFonts w:ascii="Arial" w:hAnsi="Arial" w:cs="Arial"/>
          <w:sz w:val="20"/>
          <w:szCs w:val="20"/>
        </w:rPr>
        <w:t xml:space="preserve"> 2014 (COMBUD 22/1/13 REV 1)</w:t>
      </w:r>
      <w:r w:rsidRPr="00492380" w:rsidR="00492380">
        <w:rPr>
          <w:rFonts w:ascii="Arial" w:hAnsi="Arial" w:cs="Arial"/>
          <w:b/>
          <w:sz w:val="20"/>
          <w:szCs w:val="20"/>
        </w:rPr>
        <w:br/>
      </w:r>
      <w:r>
        <w:rPr>
          <w:rFonts w:ascii="Arial" w:hAnsi="Arial" w:cs="Arial"/>
          <w:b/>
          <w:bCs/>
          <w:sz w:val="20"/>
          <w:szCs w:val="20"/>
        </w:rPr>
        <w:t xml:space="preserve">Aard bespreking: </w:t>
      </w:r>
      <w:r>
        <w:rPr>
          <w:rFonts w:ascii="Arial" w:hAnsi="Arial" w:cs="Arial"/>
          <w:sz w:val="20"/>
          <w:szCs w:val="20"/>
        </w:rPr>
        <w:t>beslissing</w:t>
      </w:r>
      <w:r w:rsidR="00492380">
        <w:rPr>
          <w:rFonts w:ascii="Arial" w:hAnsi="Arial" w:cs="Arial"/>
          <w:b/>
          <w:sz w:val="20"/>
          <w:szCs w:val="20"/>
        </w:rPr>
        <w:br/>
      </w:r>
      <w:r>
        <w:rPr>
          <w:rFonts w:ascii="Arial" w:hAnsi="Arial" w:cs="Arial"/>
          <w:b/>
          <w:bCs/>
          <w:sz w:val="20"/>
          <w:szCs w:val="20"/>
        </w:rPr>
        <w:t xml:space="preserve">Besluitvormingsprocedure: </w:t>
      </w:r>
      <w:r>
        <w:rPr>
          <w:rFonts w:ascii="Arial" w:hAnsi="Arial" w:cs="Arial"/>
          <w:sz w:val="20"/>
          <w:szCs w:val="20"/>
        </w:rPr>
        <w:t>gekwalificeerde meerderheid</w:t>
      </w:r>
      <w:r w:rsidR="00492380">
        <w:rPr>
          <w:rFonts w:ascii="Arial" w:hAnsi="Arial" w:cs="Arial"/>
          <w:b/>
          <w:sz w:val="20"/>
          <w:szCs w:val="20"/>
        </w:rPr>
        <w:br/>
      </w:r>
      <w:r>
        <w:rPr>
          <w:rFonts w:ascii="Arial" w:hAnsi="Arial" w:cs="Arial"/>
          <w:b/>
          <w:bCs/>
          <w:sz w:val="20"/>
          <w:szCs w:val="20"/>
        </w:rPr>
        <w:t xml:space="preserve">Toelichting: </w:t>
      </w:r>
      <w:r>
        <w:rPr>
          <w:rFonts w:ascii="Arial" w:hAnsi="Arial" w:cs="Arial"/>
          <w:sz w:val="20"/>
          <w:szCs w:val="20"/>
        </w:rPr>
        <w:t xml:space="preserve">Ieder jaar, ruim voordat de onderhandelingen over de EU-begroting voor het volgend jaar </w:t>
      </w:r>
      <w:r>
        <w:rPr>
          <w:rFonts w:ascii="Arial" w:hAnsi="Arial" w:cs="Arial"/>
          <w:sz w:val="20"/>
          <w:szCs w:val="20"/>
        </w:rPr>
        <w:lastRenderedPageBreak/>
        <w:t>van start gaan, worden er door de Raad richtsnoeren opgesteld. Hierin is opgenomen dat de EU-begroting voor 2014 rekening moet houden met de huidige economische situatie. De EU-begroting 2014 dient de bezuinigingsinspanningen van lidstaten te reflecteren. Tegelijkertijd geven de richtsnoeren aan dat de EU-begroting in 2014 kan worden ingezet om de negatieve effecten van de crisis te mitigeren door het stimuleren van groei en werkgelegenheid. Ook wordt er aandacht gevraagd voor het vergroten van de transparantie van het budgettaire proces, zo dient de Commissie de EU-begroting zo helder en simpel mogelijk  te presenteren. Daarnaast wordt  de Commissie verzocht regelmatig een overzicht te geven met uitstaande vastleggingen en betalingspatronen in een bepaalde periode. Tevens wordt er expliciet opgeroepen om de administratieve uitgaven van Europese instellingen en agentschappen in te perken.</w:t>
      </w:r>
    </w:p>
    <w:p w:rsidR="004414EE" w:rsidP="004414EE" w:rsidRDefault="004414EE">
      <w:pPr>
        <w:spacing w:line="360" w:lineRule="auto"/>
        <w:rPr>
          <w:rFonts w:ascii="Arial" w:hAnsi="Arial" w:cs="Arial"/>
          <w:b/>
          <w:sz w:val="20"/>
          <w:szCs w:val="20"/>
        </w:rPr>
      </w:pPr>
    </w:p>
    <w:p w:rsidRPr="00D900F9" w:rsidR="009D3948" w:rsidP="009D3948" w:rsidRDefault="009D3948">
      <w:pPr>
        <w:spacing w:line="360" w:lineRule="auto"/>
        <w:jc w:val="both"/>
        <w:rPr>
          <w:rFonts w:ascii="Arial" w:hAnsi="Arial" w:cs="Arial"/>
          <w:b/>
          <w:bCs/>
          <w:sz w:val="20"/>
          <w:szCs w:val="20"/>
        </w:rPr>
      </w:pPr>
      <w:r w:rsidRPr="00D900F9">
        <w:rPr>
          <w:rFonts w:ascii="Arial" w:hAnsi="Arial" w:cs="Arial"/>
          <w:b/>
          <w:bCs/>
          <w:sz w:val="20"/>
          <w:szCs w:val="20"/>
        </w:rPr>
        <w:t xml:space="preserve">Additioneel: toezegging </w:t>
      </w:r>
      <w:r w:rsidRPr="00D900F9">
        <w:rPr>
          <w:rFonts w:ascii="Arial" w:hAnsi="Arial" w:cs="Arial"/>
          <w:b/>
          <w:sz w:val="20"/>
          <w:szCs w:val="20"/>
        </w:rPr>
        <w:t>AO bankenunie van 24 januari 2013</w:t>
      </w:r>
    </w:p>
    <w:p w:rsidRPr="00D900F9" w:rsidR="00D900F9" w:rsidP="00D900F9" w:rsidRDefault="00D900F9">
      <w:pPr>
        <w:spacing w:line="360" w:lineRule="auto"/>
        <w:jc w:val="both"/>
        <w:rPr>
          <w:rFonts w:ascii="Arial" w:hAnsi="Arial" w:cs="Arial"/>
          <w:sz w:val="20"/>
          <w:szCs w:val="20"/>
        </w:rPr>
      </w:pPr>
      <w:r w:rsidRPr="00D900F9">
        <w:rPr>
          <w:rFonts w:ascii="Arial" w:hAnsi="Arial" w:cs="Arial"/>
          <w:sz w:val="20"/>
          <w:szCs w:val="20"/>
        </w:rPr>
        <w:t xml:space="preserve">Zoals toegezegd tijdens het AO bankenunie van 24 januari jl. zou ik u nog informeren of en </w:t>
      </w:r>
      <w:r>
        <w:rPr>
          <w:rFonts w:ascii="Arial" w:hAnsi="Arial" w:cs="Arial"/>
          <w:sz w:val="20"/>
          <w:szCs w:val="20"/>
        </w:rPr>
        <w:t xml:space="preserve">in </w:t>
      </w:r>
      <w:r w:rsidRPr="00D900F9">
        <w:rPr>
          <w:rFonts w:ascii="Arial" w:hAnsi="Arial" w:cs="Arial"/>
          <w:sz w:val="20"/>
          <w:szCs w:val="20"/>
        </w:rPr>
        <w:t xml:space="preserve">hoeverre iets over </w:t>
      </w:r>
      <w:proofErr w:type="spellStart"/>
      <w:r w:rsidRPr="00D900F9">
        <w:rPr>
          <w:rFonts w:ascii="Arial" w:hAnsi="Arial" w:cs="Arial"/>
          <w:sz w:val="20"/>
          <w:szCs w:val="20"/>
        </w:rPr>
        <w:t>claw</w:t>
      </w:r>
      <w:proofErr w:type="spellEnd"/>
      <w:r w:rsidRPr="00D900F9">
        <w:rPr>
          <w:rFonts w:ascii="Arial" w:hAnsi="Arial" w:cs="Arial"/>
          <w:sz w:val="20"/>
          <w:szCs w:val="20"/>
        </w:rPr>
        <w:t xml:space="preserve"> back van beloningen is opgenomen in CRDIV. Tijdens het VAO van 31 januari jl. heb ik in reactie op een motie over dit onderwerp van het lid </w:t>
      </w:r>
      <w:proofErr w:type="spellStart"/>
      <w:r w:rsidRPr="00D900F9">
        <w:rPr>
          <w:rFonts w:ascii="Arial" w:hAnsi="Arial" w:cs="Arial"/>
          <w:sz w:val="20"/>
          <w:szCs w:val="20"/>
        </w:rPr>
        <w:t>Merkies</w:t>
      </w:r>
      <w:proofErr w:type="spellEnd"/>
      <w:r w:rsidRPr="00D900F9">
        <w:rPr>
          <w:rFonts w:ascii="Arial" w:hAnsi="Arial" w:cs="Arial"/>
          <w:sz w:val="20"/>
          <w:szCs w:val="20"/>
        </w:rPr>
        <w:t xml:space="preserve"> aangegeven dat de verplichting voor een bank om te beschikken over </w:t>
      </w:r>
      <w:proofErr w:type="spellStart"/>
      <w:r w:rsidRPr="00D900F9">
        <w:rPr>
          <w:rFonts w:ascii="Arial" w:hAnsi="Arial" w:cs="Arial"/>
          <w:sz w:val="20"/>
          <w:szCs w:val="20"/>
        </w:rPr>
        <w:t>claw</w:t>
      </w:r>
      <w:proofErr w:type="spellEnd"/>
      <w:r w:rsidRPr="00D900F9">
        <w:rPr>
          <w:rFonts w:ascii="Arial" w:hAnsi="Arial" w:cs="Arial"/>
          <w:sz w:val="20"/>
          <w:szCs w:val="20"/>
        </w:rPr>
        <w:t xml:space="preserve"> back bepalingen in contracten/beloningsbeleid reeds is opgenomen in CRDIII (geïmplementeerd in de Regeling beheerst beloningsbeleid </w:t>
      </w:r>
      <w:proofErr w:type="spellStart"/>
      <w:r w:rsidRPr="00D900F9">
        <w:rPr>
          <w:rFonts w:ascii="Arial" w:hAnsi="Arial" w:cs="Arial"/>
          <w:sz w:val="20"/>
          <w:szCs w:val="20"/>
        </w:rPr>
        <w:t>Wft</w:t>
      </w:r>
      <w:proofErr w:type="spellEnd"/>
      <w:r w:rsidRPr="00D900F9">
        <w:rPr>
          <w:rFonts w:ascii="Arial" w:hAnsi="Arial" w:cs="Arial"/>
          <w:sz w:val="20"/>
          <w:szCs w:val="20"/>
        </w:rPr>
        <w:t xml:space="preserve"> 2011, </w:t>
      </w:r>
      <w:proofErr w:type="spellStart"/>
      <w:r w:rsidRPr="00D900F9">
        <w:rPr>
          <w:rFonts w:ascii="Arial" w:hAnsi="Arial" w:cs="Arial"/>
          <w:sz w:val="20"/>
          <w:szCs w:val="20"/>
        </w:rPr>
        <w:t>Stcrt</w:t>
      </w:r>
      <w:proofErr w:type="spellEnd"/>
      <w:r w:rsidRPr="00D900F9">
        <w:rPr>
          <w:rFonts w:ascii="Arial" w:hAnsi="Arial" w:cs="Arial"/>
          <w:sz w:val="20"/>
          <w:szCs w:val="20"/>
        </w:rPr>
        <w:t xml:space="preserve"> 2010, 20931). </w:t>
      </w:r>
      <w:r w:rsidRPr="00D900F9">
        <w:rPr>
          <w:sz w:val="20"/>
          <w:szCs w:val="20"/>
        </w:rPr>
        <w:t xml:space="preserve">Op nationaal niveau wordt dit geregeld voor beleidsbepalers van alle financiële ondernemingen in een </w:t>
      </w:r>
      <w:r w:rsidRPr="00D900F9">
        <w:rPr>
          <w:rFonts w:ascii="Arial" w:hAnsi="Arial" w:cs="Arial"/>
          <w:sz w:val="20"/>
          <w:szCs w:val="20"/>
        </w:rPr>
        <w:t>wetsvoorstel dat op dit moment aanhangig</w:t>
      </w:r>
      <w:r>
        <w:rPr>
          <w:rFonts w:ascii="Arial" w:hAnsi="Arial" w:cs="Arial"/>
          <w:sz w:val="20"/>
          <w:szCs w:val="20"/>
        </w:rPr>
        <w:t xml:space="preserve"> is</w:t>
      </w:r>
      <w:r w:rsidRPr="00D900F9">
        <w:rPr>
          <w:rFonts w:ascii="Arial" w:hAnsi="Arial" w:cs="Arial"/>
          <w:sz w:val="20"/>
          <w:szCs w:val="20"/>
        </w:rPr>
        <w:t xml:space="preserve"> bij de Eerste Kamer (Kamerstukken I, 2012/13, 32 512, A). Mijn verwachting is dat in CRDIV een dergelijke verplichting zal blijven bestaan.</w:t>
      </w: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00492380" w:rsidP="004414EE" w:rsidRDefault="00492380">
      <w:pPr>
        <w:spacing w:line="360" w:lineRule="auto"/>
        <w:rPr>
          <w:rFonts w:ascii="Arial" w:hAnsi="Arial" w:cs="Arial"/>
          <w:b/>
          <w:sz w:val="20"/>
          <w:szCs w:val="20"/>
        </w:rPr>
      </w:pPr>
    </w:p>
    <w:p w:rsidRPr="00670E37" w:rsidR="004414EE" w:rsidP="00670E37" w:rsidRDefault="004414EE">
      <w:pPr>
        <w:spacing w:line="360" w:lineRule="auto"/>
        <w:rPr>
          <w:rFonts w:ascii="Arial" w:hAnsi="Arial" w:cs="Arial"/>
          <w:b/>
          <w:sz w:val="20"/>
          <w:szCs w:val="20"/>
        </w:rPr>
      </w:pPr>
    </w:p>
    <w:sectPr w:rsidRPr="00670E37" w:rsidR="004414EE"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597C"/>
    <w:multiLevelType w:val="hybridMultilevel"/>
    <w:tmpl w:val="54305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AE32D8E"/>
    <w:multiLevelType w:val="hybridMultilevel"/>
    <w:tmpl w:val="983EEE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670E37"/>
    <w:rsid w:val="00032A83"/>
    <w:rsid w:val="00052941"/>
    <w:rsid w:val="00077743"/>
    <w:rsid w:val="000906F6"/>
    <w:rsid w:val="000C689D"/>
    <w:rsid w:val="001C0579"/>
    <w:rsid w:val="001D3CB6"/>
    <w:rsid w:val="0023792F"/>
    <w:rsid w:val="00375F8C"/>
    <w:rsid w:val="003763E2"/>
    <w:rsid w:val="003843FB"/>
    <w:rsid w:val="00392E41"/>
    <w:rsid w:val="0041346C"/>
    <w:rsid w:val="004414EE"/>
    <w:rsid w:val="00486CD8"/>
    <w:rsid w:val="00492380"/>
    <w:rsid w:val="004B591C"/>
    <w:rsid w:val="004B6C01"/>
    <w:rsid w:val="00580080"/>
    <w:rsid w:val="0059728D"/>
    <w:rsid w:val="00654219"/>
    <w:rsid w:val="00670E37"/>
    <w:rsid w:val="00726C00"/>
    <w:rsid w:val="007637BA"/>
    <w:rsid w:val="00784A3D"/>
    <w:rsid w:val="007A228F"/>
    <w:rsid w:val="007E2B06"/>
    <w:rsid w:val="00852AB4"/>
    <w:rsid w:val="00895FF0"/>
    <w:rsid w:val="00974578"/>
    <w:rsid w:val="009D3948"/>
    <w:rsid w:val="009D4FAD"/>
    <w:rsid w:val="00A10541"/>
    <w:rsid w:val="00A16B04"/>
    <w:rsid w:val="00A87BF1"/>
    <w:rsid w:val="00B40986"/>
    <w:rsid w:val="00B82E2D"/>
    <w:rsid w:val="00BE0DF2"/>
    <w:rsid w:val="00C421D4"/>
    <w:rsid w:val="00CB41AA"/>
    <w:rsid w:val="00CD3124"/>
    <w:rsid w:val="00D539A4"/>
    <w:rsid w:val="00D900F9"/>
    <w:rsid w:val="00DB16FA"/>
    <w:rsid w:val="00E661B8"/>
    <w:rsid w:val="00F7233D"/>
    <w:rsid w:val="00F75DE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0E37"/>
    <w:pPr>
      <w:ind w:left="720"/>
      <w:contextualSpacing/>
    </w:pPr>
  </w:style>
  <w:style w:type="paragraph" w:styleId="Plattetekst">
    <w:name w:val="Body Text"/>
    <w:basedOn w:val="Standaard"/>
    <w:link w:val="PlattetekstChar"/>
    <w:rsid w:val="00670E37"/>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670E37"/>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70E37"/>
    <w:rPr>
      <w:color w:val="0000FF" w:themeColor="hyperlink"/>
      <w:u w:val="single"/>
    </w:rPr>
  </w:style>
  <w:style w:type="paragraph" w:customStyle="1" w:styleId="Huisstijl-Kopje">
    <w:name w:val="Huisstijl-Kopje"/>
    <w:basedOn w:val="Standaard"/>
    <w:uiPriority w:val="99"/>
    <w:rsid w:val="00486CD8"/>
    <w:pPr>
      <w:spacing w:after="0" w:line="180" w:lineRule="exact"/>
    </w:pPr>
    <w:rPr>
      <w:rFonts w:eastAsia="Times New Roman" w:cs="Times New Roman"/>
      <w:b/>
      <w:noProof/>
      <w:sz w:val="13"/>
      <w:szCs w:val="24"/>
      <w:lang w:eastAsia="nl-NL"/>
    </w:rPr>
  </w:style>
</w:styles>
</file>

<file path=word/webSettings.xml><?xml version="1.0" encoding="utf-8"?>
<w:webSettings xmlns:r="http://schemas.openxmlformats.org/officeDocument/2006/relationships" xmlns:w="http://schemas.openxmlformats.org/wordprocessingml/2006/main">
  <w:divs>
    <w:div w:id="314140556">
      <w:bodyDiv w:val="1"/>
      <w:marLeft w:val="0"/>
      <w:marRight w:val="0"/>
      <w:marTop w:val="0"/>
      <w:marBottom w:val="0"/>
      <w:divBdr>
        <w:top w:val="none" w:sz="0" w:space="0" w:color="auto"/>
        <w:left w:val="none" w:sz="0" w:space="0" w:color="auto"/>
        <w:bottom w:val="none" w:sz="0" w:space="0" w:color="auto"/>
        <w:right w:val="none" w:sz="0" w:space="0" w:color="auto"/>
      </w:divBdr>
    </w:div>
    <w:div w:id="382103884">
      <w:bodyDiv w:val="1"/>
      <w:marLeft w:val="0"/>
      <w:marRight w:val="0"/>
      <w:marTop w:val="0"/>
      <w:marBottom w:val="0"/>
      <w:divBdr>
        <w:top w:val="none" w:sz="0" w:space="0" w:color="auto"/>
        <w:left w:val="none" w:sz="0" w:space="0" w:color="auto"/>
        <w:bottom w:val="none" w:sz="0" w:space="0" w:color="auto"/>
        <w:right w:val="none" w:sz="0" w:space="0" w:color="auto"/>
      </w:divBdr>
    </w:div>
    <w:div w:id="460540589">
      <w:bodyDiv w:val="1"/>
      <w:marLeft w:val="0"/>
      <w:marRight w:val="0"/>
      <w:marTop w:val="0"/>
      <w:marBottom w:val="0"/>
      <w:divBdr>
        <w:top w:val="none" w:sz="0" w:space="0" w:color="auto"/>
        <w:left w:val="none" w:sz="0" w:space="0" w:color="auto"/>
        <w:bottom w:val="none" w:sz="0" w:space="0" w:color="auto"/>
        <w:right w:val="none" w:sz="0" w:space="0" w:color="auto"/>
      </w:divBdr>
    </w:div>
    <w:div w:id="1102526921">
      <w:bodyDiv w:val="1"/>
      <w:marLeft w:val="0"/>
      <w:marRight w:val="0"/>
      <w:marTop w:val="0"/>
      <w:marBottom w:val="0"/>
      <w:divBdr>
        <w:top w:val="none" w:sz="0" w:space="0" w:color="auto"/>
        <w:left w:val="none" w:sz="0" w:space="0" w:color="auto"/>
        <w:bottom w:val="none" w:sz="0" w:space="0" w:color="auto"/>
        <w:right w:val="none" w:sz="0" w:space="0" w:color="auto"/>
      </w:divBdr>
    </w:div>
    <w:div w:id="17055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europarl.europa.eu/sides/getDoc.do?type=TA&amp;reference=P7-TA-2012-0242&amp;language=NL&amp;ring=A7-2012-0172" TargetMode="External" Id="rId8" /><Relationship Type="http://schemas.openxmlformats.org/officeDocument/2006/relationships/settings" Target="settings.xml" Id="rId3" /><Relationship Type="http://schemas.openxmlformats.org/officeDocument/2006/relationships/hyperlink" Target="http://www.europarl.europa.eu/sides/getDoc.do?type=TA&amp;reference=P7-TA-2012-0243&amp;language=NL&amp;ring=A7-2012-0173"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register.consilium.europa.eu/pdf/en/12/st06/st06566.en12.pdf" TargetMode="External" Id="rId6" /><Relationship Type="http://schemas.openxmlformats.org/officeDocument/2006/relationships/hyperlink" Target="http://register.consilium.europa.eu/pdf/en/12/st06/st06565.en12.pdf"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2503</ap:Words>
  <ap:Characters>13767</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2013-02-04T14:07:00.0000000Z</lastPrinted>
  <dcterms:created xsi:type="dcterms:W3CDTF">2013-02-04T14:21:00.0000000Z</dcterms:created>
  <dcterms:modified xsi:type="dcterms:W3CDTF">2013-02-04T14:21:00.0000000Z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0x0101006DC1177A5B453F4093DA3CE086597FE7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