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E0927" w:rsidR="007C0735" w:rsidP="00493687" w:rsidRDefault="007C0735">
      <w:pPr>
        <w:spacing w:line="240" w:lineRule="exact"/>
        <w:rPr>
          <w:b/>
          <w:sz w:val="24"/>
        </w:rPr>
      </w:pPr>
      <w:r w:rsidRPr="004E0927">
        <w:rPr>
          <w:b/>
          <w:sz w:val="24"/>
        </w:rPr>
        <w:t xml:space="preserve">Bijlage </w:t>
      </w:r>
      <w:r w:rsidRPr="004E0927" w:rsidR="005E5FAB">
        <w:rPr>
          <w:b/>
          <w:sz w:val="24"/>
        </w:rPr>
        <w:t>5</w:t>
      </w:r>
      <w:r w:rsidR="004E0927">
        <w:rPr>
          <w:b/>
          <w:sz w:val="24"/>
        </w:rPr>
        <w:tab/>
      </w:r>
      <w:r w:rsidRPr="004E0927">
        <w:rPr>
          <w:b/>
          <w:sz w:val="24"/>
        </w:rPr>
        <w:t>Herverkavelingsmemorandum</w:t>
      </w:r>
    </w:p>
    <w:p w:rsidR="007C0735" w:rsidP="00493687" w:rsidRDefault="007C0735">
      <w:pPr>
        <w:spacing w:line="240" w:lineRule="exact"/>
      </w:pPr>
    </w:p>
    <w:p w:rsidR="003B4ED7" w:rsidP="00493687" w:rsidRDefault="00E279D2">
      <w:pPr>
        <w:spacing w:line="240" w:lineRule="exact"/>
      </w:pPr>
      <w:r>
        <w:t xml:space="preserve">Dit memorandum biedt het overzicht van de herverkaveling van beleidsbudgetten tussen de begrotingen. Hierin is ook de overheveling opgenomen van beleidsbudgetten naar de begroting  van Wonen en Rijksdienst. De overheveling naar de begroting van Buitenlandse Handel en Ontwikkelingssamenwerking zal in januari 2013 </w:t>
      </w:r>
      <w:r w:rsidR="00AC30A4">
        <w:t>worden gecompleteerd</w:t>
      </w:r>
      <w:r>
        <w:t xml:space="preserve"> door middel van incidentele suppletoire begrotingen.</w:t>
      </w:r>
    </w:p>
    <w:p w:rsidR="007438B3" w:rsidP="00493687" w:rsidRDefault="007438B3">
      <w:pPr>
        <w:spacing w:line="240" w:lineRule="exact"/>
      </w:pPr>
    </w:p>
    <w:p w:rsidR="00493687" w:rsidP="00493687" w:rsidRDefault="00493687">
      <w:pPr>
        <w:spacing w:line="240" w:lineRule="exact"/>
      </w:pPr>
      <w:r>
        <w:t xml:space="preserve">Per definitie tellen alle wijzigingsvoorstellen bij elkaar op tot 0; er wordt in dit </w:t>
      </w:r>
      <w:proofErr w:type="spellStart"/>
      <w:r>
        <w:t>herverkavelingsmemorandum</w:t>
      </w:r>
      <w:proofErr w:type="spellEnd"/>
      <w:r>
        <w:t xml:space="preserve"> </w:t>
      </w:r>
      <w:r w:rsidR="0006226C">
        <w:t xml:space="preserve">per saldo </w:t>
      </w:r>
      <w:r>
        <w:t>geen voorstel tot uitgavenverhogingen of uitgavenverlagingen gedaan.</w:t>
      </w:r>
    </w:p>
    <w:p w:rsidRPr="003B4ED7" w:rsidR="003B4ED7" w:rsidP="00493687" w:rsidRDefault="003B4ED7">
      <w:pPr>
        <w:spacing w:line="240" w:lineRule="exact"/>
      </w:pPr>
    </w:p>
    <w:p w:rsidR="00493687" w:rsidP="00493687" w:rsidRDefault="00493687">
      <w:pPr>
        <w:spacing w:line="240" w:lineRule="exact"/>
      </w:pPr>
      <w:r>
        <w:t xml:space="preserve">Onderstaande tabel geeft het overzicht </w:t>
      </w:r>
      <w:r w:rsidR="0006226C">
        <w:t>per begrotingshoofdstuk</w:t>
      </w:r>
      <w:r>
        <w:t xml:space="preserve">. In de bijlage wordt meer in detail aangegeven welke budgetten er op de betreffende begroting bijkomen respectievelijk overgaan. </w:t>
      </w:r>
      <w:r w:rsidR="0006226C">
        <w:t>Alleen de begrotingshoofdstukken waar sprake is van herverkaveling van beleidsbudgetten zijn hier opgenomen.</w:t>
      </w:r>
    </w:p>
    <w:p w:rsidR="00343E60" w:rsidRDefault="00343E60"/>
    <w:tbl>
      <w:tblPr>
        <w:tblW w:w="7800" w:type="dxa"/>
        <w:tblInd w:w="55" w:type="dxa"/>
        <w:tblCellMar>
          <w:left w:w="70" w:type="dxa"/>
          <w:right w:w="70" w:type="dxa"/>
        </w:tblCellMar>
        <w:tblLook w:val="04A0"/>
      </w:tblPr>
      <w:tblGrid>
        <w:gridCol w:w="480"/>
        <w:gridCol w:w="1560"/>
        <w:gridCol w:w="960"/>
        <w:gridCol w:w="960"/>
        <w:gridCol w:w="960"/>
        <w:gridCol w:w="960"/>
        <w:gridCol w:w="960"/>
        <w:gridCol w:w="960"/>
      </w:tblGrid>
      <w:tr w:rsidRPr="006D0502" w:rsidR="006D0502" w:rsidTr="006D0502">
        <w:trPr>
          <w:trHeight w:val="255"/>
        </w:trPr>
        <w:tc>
          <w:tcPr>
            <w:tcW w:w="48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 </w:t>
            </w:r>
          </w:p>
        </w:tc>
        <w:tc>
          <w:tcPr>
            <w:tcW w:w="15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rPr>
                <w:rFonts w:cs="Arial"/>
                <w:b/>
                <w:bCs/>
                <w:sz w:val="20"/>
                <w:szCs w:val="20"/>
              </w:rPr>
            </w:pPr>
            <w:r w:rsidRPr="006D0502">
              <w:rPr>
                <w:rFonts w:cs="Arial"/>
                <w:b/>
                <w:bCs/>
                <w:sz w:val="20"/>
                <w:szCs w:val="20"/>
              </w:rPr>
              <w:t>Uitgaven</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2013</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2014</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2015</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2016</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2017</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2018</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5</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proofErr w:type="spellStart"/>
            <w:r w:rsidRPr="006D0502">
              <w:rPr>
                <w:rFonts w:cs="Arial"/>
                <w:sz w:val="20"/>
                <w:szCs w:val="20"/>
              </w:rPr>
              <w:t>Buza</w:t>
            </w:r>
            <w:proofErr w:type="spellEnd"/>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10,2</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9,7</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9,5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9,5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9,5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9,4</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6</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V&amp;J</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814,2</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788,5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693,3</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673,2</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651,4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642,0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7</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BZK</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-3.994,2</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-4.115,7</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-4.159,7</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-4.346,3</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-4.582,5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-4.724,6</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8</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OCW</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9</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Fin</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-86,8</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-85,4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-84,7</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-84,3</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-83,9</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-83,6</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10</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Def</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12</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I&amp;M</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13</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EZ</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-96,0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-89,7</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-74,4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-72,1</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-66,4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-67,4</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15</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SZW</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180,9</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129,0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120,7</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119,5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121,4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112,1</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16</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VWS</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-2,0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-3,5</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17</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BH&amp;OS</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89,2</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82,0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68,4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66,1</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60,5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61,5</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18</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W&amp;R</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3.085,9</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3.283,5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3.430,4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3.638,0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3.893,5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4.054,1</w:t>
            </w:r>
          </w:p>
        </w:tc>
      </w:tr>
      <w:tr w:rsidRPr="006D0502" w:rsidR="006D0502" w:rsidTr="006D0502">
        <w:trPr>
          <w:trHeight w:val="270"/>
        </w:trPr>
        <w:tc>
          <w:tcPr>
            <w:tcW w:w="48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 </w:t>
            </w:r>
          </w:p>
        </w:tc>
        <w:tc>
          <w:tcPr>
            <w:tcW w:w="15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rPr>
                <w:rFonts w:cs="Arial"/>
                <w:b/>
                <w:bCs/>
                <w:sz w:val="20"/>
                <w:szCs w:val="20"/>
              </w:rPr>
            </w:pPr>
            <w:r w:rsidRPr="006D0502">
              <w:rPr>
                <w:rFonts w:cs="Arial"/>
                <w:b/>
                <w:bCs/>
                <w:sz w:val="20"/>
                <w:szCs w:val="20"/>
              </w:rPr>
              <w:t>totaal</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r>
    </w:tbl>
    <w:p w:rsidR="00833B8B" w:rsidRDefault="00833B8B"/>
    <w:tbl>
      <w:tblPr>
        <w:tblW w:w="7800" w:type="dxa"/>
        <w:tblInd w:w="55" w:type="dxa"/>
        <w:tblCellMar>
          <w:left w:w="70" w:type="dxa"/>
          <w:right w:w="70" w:type="dxa"/>
        </w:tblCellMar>
        <w:tblLook w:val="04A0"/>
      </w:tblPr>
      <w:tblGrid>
        <w:gridCol w:w="480"/>
        <w:gridCol w:w="1575"/>
        <w:gridCol w:w="960"/>
        <w:gridCol w:w="960"/>
        <w:gridCol w:w="960"/>
        <w:gridCol w:w="960"/>
        <w:gridCol w:w="960"/>
        <w:gridCol w:w="960"/>
      </w:tblGrid>
      <w:tr w:rsidRPr="006D0502" w:rsidR="006D0502" w:rsidTr="006D0502">
        <w:trPr>
          <w:trHeight w:val="255"/>
        </w:trPr>
        <w:tc>
          <w:tcPr>
            <w:tcW w:w="48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 </w:t>
            </w:r>
          </w:p>
        </w:tc>
        <w:tc>
          <w:tcPr>
            <w:tcW w:w="15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rPr>
                <w:rFonts w:cs="Arial"/>
                <w:b/>
                <w:bCs/>
                <w:sz w:val="20"/>
                <w:szCs w:val="20"/>
              </w:rPr>
            </w:pPr>
            <w:r w:rsidRPr="006D0502">
              <w:rPr>
                <w:rFonts w:cs="Arial"/>
                <w:b/>
                <w:bCs/>
                <w:sz w:val="20"/>
                <w:szCs w:val="20"/>
              </w:rPr>
              <w:t>Ontvangsten</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2013</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2014</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2015</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2016</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2017</w:t>
            </w:r>
          </w:p>
        </w:tc>
        <w:tc>
          <w:tcPr>
            <w:tcW w:w="960" w:type="dxa"/>
            <w:tcBorders>
              <w:top w:val="single" w:color="00B050" w:sz="8" w:space="0"/>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2018</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5</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proofErr w:type="spellStart"/>
            <w:r w:rsidRPr="006D0502">
              <w:rPr>
                <w:rFonts w:cs="Arial"/>
                <w:sz w:val="20"/>
                <w:szCs w:val="20"/>
              </w:rPr>
              <w:t>Buza</w:t>
            </w:r>
            <w:proofErr w:type="spellEnd"/>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6</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V&amp;J</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7</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BZK</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-606,5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-590,1</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-585,4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-583,1</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-604,4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-592,8</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8</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OCW</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9</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Fin</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-175,4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-174,5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-174,0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-174,0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-174,0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-174,0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10</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Def</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12</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I&amp;M</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13</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EZ</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-14,3</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-9,3</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-5,2</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-1,8</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-1,8</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-1,8</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15</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SZW</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27,6</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4,4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4,4</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5,9</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8,9</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11,9</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16</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VWS</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0,0</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17</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BH&amp;OS</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14,3</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9,3</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5,2</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1,8</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1,8</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1,8</w:t>
            </w:r>
          </w:p>
        </w:tc>
      </w:tr>
      <w:tr w:rsidRPr="006D0502" w:rsidR="006D0502" w:rsidTr="006D0502">
        <w:trPr>
          <w:trHeight w:val="255"/>
        </w:trPr>
        <w:tc>
          <w:tcPr>
            <w:tcW w:w="48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 w:val="20"/>
                <w:szCs w:val="20"/>
              </w:rPr>
            </w:pPr>
            <w:r w:rsidRPr="006D0502">
              <w:rPr>
                <w:rFonts w:cs="Arial"/>
                <w:sz w:val="20"/>
                <w:szCs w:val="20"/>
              </w:rPr>
              <w:t>18</w:t>
            </w:r>
          </w:p>
        </w:tc>
        <w:tc>
          <w:tcPr>
            <w:tcW w:w="15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W&amp;R</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754,3</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760,1</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755,0</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751,2</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769,5</w:t>
            </w:r>
          </w:p>
        </w:tc>
        <w:tc>
          <w:tcPr>
            <w:tcW w:w="960" w:type="dxa"/>
            <w:tcBorders>
              <w:top w:val="nil"/>
              <w:left w:val="nil"/>
              <w:bottom w:val="nil"/>
              <w:right w:val="nil"/>
            </w:tcBorders>
            <w:shd w:val="clear" w:color="auto" w:fill="auto"/>
            <w:noWrap/>
            <w:vAlign w:val="bottom"/>
            <w:hideMark/>
          </w:tcPr>
          <w:p w:rsidRPr="006D0502" w:rsidR="006D0502" w:rsidP="006D0502" w:rsidRDefault="006D0502">
            <w:pPr>
              <w:spacing w:line="240" w:lineRule="auto"/>
              <w:jc w:val="right"/>
              <w:rPr>
                <w:rFonts w:cs="Arial"/>
                <w:szCs w:val="18"/>
              </w:rPr>
            </w:pPr>
            <w:r w:rsidRPr="006D0502">
              <w:rPr>
                <w:rFonts w:cs="Arial"/>
                <w:szCs w:val="18"/>
              </w:rPr>
              <w:t>754,9</w:t>
            </w:r>
          </w:p>
        </w:tc>
      </w:tr>
      <w:tr w:rsidRPr="006D0502" w:rsidR="006D0502" w:rsidTr="006D0502">
        <w:trPr>
          <w:trHeight w:val="270"/>
        </w:trPr>
        <w:tc>
          <w:tcPr>
            <w:tcW w:w="48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rPr>
                <w:rFonts w:cs="Arial"/>
                <w:sz w:val="20"/>
                <w:szCs w:val="20"/>
              </w:rPr>
            </w:pPr>
            <w:r w:rsidRPr="006D0502">
              <w:rPr>
                <w:rFonts w:cs="Arial"/>
                <w:sz w:val="20"/>
                <w:szCs w:val="20"/>
              </w:rPr>
              <w:t> </w:t>
            </w:r>
          </w:p>
        </w:tc>
        <w:tc>
          <w:tcPr>
            <w:tcW w:w="15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rPr>
                <w:rFonts w:cs="Arial"/>
                <w:b/>
                <w:bCs/>
                <w:sz w:val="20"/>
                <w:szCs w:val="20"/>
              </w:rPr>
            </w:pPr>
            <w:r w:rsidRPr="006D0502">
              <w:rPr>
                <w:rFonts w:cs="Arial"/>
                <w:b/>
                <w:bCs/>
                <w:sz w:val="20"/>
                <w:szCs w:val="20"/>
              </w:rPr>
              <w:t>totaal</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c>
          <w:tcPr>
            <w:tcW w:w="960" w:type="dxa"/>
            <w:tcBorders>
              <w:top w:val="nil"/>
              <w:left w:val="nil"/>
              <w:bottom w:val="single" w:color="00B050" w:sz="8" w:space="0"/>
              <w:right w:val="nil"/>
            </w:tcBorders>
            <w:shd w:val="clear" w:color="auto" w:fill="auto"/>
            <w:noWrap/>
            <w:vAlign w:val="bottom"/>
            <w:hideMark/>
          </w:tcPr>
          <w:p w:rsidRPr="006D0502" w:rsidR="006D0502" w:rsidP="006D0502" w:rsidRDefault="006D0502">
            <w:pPr>
              <w:spacing w:line="240" w:lineRule="auto"/>
              <w:jc w:val="right"/>
              <w:rPr>
                <w:rFonts w:cs="Arial"/>
                <w:b/>
                <w:bCs/>
                <w:sz w:val="20"/>
                <w:szCs w:val="20"/>
              </w:rPr>
            </w:pPr>
            <w:r w:rsidRPr="006D0502">
              <w:rPr>
                <w:rFonts w:cs="Arial"/>
                <w:b/>
                <w:bCs/>
                <w:sz w:val="20"/>
                <w:szCs w:val="20"/>
              </w:rPr>
              <w:t>0,0</w:t>
            </w:r>
          </w:p>
        </w:tc>
      </w:tr>
    </w:tbl>
    <w:p w:rsidR="00493687" w:rsidRDefault="00493687"/>
    <w:p w:rsidR="00493687" w:rsidRDefault="00493687"/>
    <w:p w:rsidRPr="005713F0" w:rsidR="00493687" w:rsidP="00493687" w:rsidRDefault="00493687">
      <w:pPr>
        <w:spacing w:line="240" w:lineRule="exact"/>
        <w:rPr>
          <w:b/>
        </w:rPr>
      </w:pPr>
      <w:r w:rsidRPr="005713F0">
        <w:rPr>
          <w:b/>
        </w:rPr>
        <w:t>Vervolg</w:t>
      </w:r>
      <w:r>
        <w:rPr>
          <w:b/>
        </w:rPr>
        <w:t xml:space="preserve"> </w:t>
      </w:r>
      <w:r w:rsidRPr="005713F0">
        <w:rPr>
          <w:b/>
        </w:rPr>
        <w:t>proces</w:t>
      </w:r>
    </w:p>
    <w:p w:rsidR="00504C5D" w:rsidRDefault="00493687">
      <w:pPr>
        <w:spacing w:after="200" w:line="276" w:lineRule="auto"/>
      </w:pPr>
      <w:r>
        <w:t xml:space="preserve">Na besluitvorming in de Ministerraad van </w:t>
      </w:r>
      <w:r w:rsidR="002D73F8">
        <w:t xml:space="preserve">7 december </w:t>
      </w:r>
      <w:r>
        <w:t xml:space="preserve">zullen de </w:t>
      </w:r>
      <w:proofErr w:type="spellStart"/>
      <w:r w:rsidR="002D73F8">
        <w:t>NvW</w:t>
      </w:r>
      <w:r>
        <w:t>’s</w:t>
      </w:r>
      <w:proofErr w:type="spellEnd"/>
      <w:r>
        <w:t xml:space="preserve"> door de minister van Financiën worden aangeboden aan de Tweede Kamer. </w:t>
      </w:r>
      <w:r w:rsidR="00504C5D">
        <w:br w:type="page"/>
      </w:r>
    </w:p>
    <w:p w:rsidR="00B20BE9" w:rsidP="0039651C" w:rsidRDefault="00B20BE9">
      <w:pPr>
        <w:spacing w:line="240" w:lineRule="auto"/>
        <w:rPr>
          <w:rFonts w:cs="Arial"/>
          <w:sz w:val="16"/>
          <w:szCs w:val="16"/>
        </w:rPr>
        <w:sectPr w:rsidR="00B20BE9" w:rsidSect="00B20BE9">
          <w:pgSz w:w="11906" w:h="16838" w:code="9"/>
          <w:pgMar w:top="1418" w:right="1418" w:bottom="1418" w:left="1418" w:header="709" w:footer="709" w:gutter="0"/>
          <w:cols w:space="708"/>
          <w:docGrid w:linePitch="360"/>
        </w:sectPr>
      </w:pPr>
    </w:p>
    <w:tbl>
      <w:tblPr>
        <w:tblW w:w="12808" w:type="dxa"/>
        <w:tblInd w:w="55" w:type="dxa"/>
        <w:tblCellMar>
          <w:left w:w="70" w:type="dxa"/>
          <w:right w:w="70" w:type="dxa"/>
        </w:tblCellMar>
        <w:tblLook w:val="04A0"/>
      </w:tblPr>
      <w:tblGrid>
        <w:gridCol w:w="760"/>
        <w:gridCol w:w="4800"/>
        <w:gridCol w:w="1798"/>
        <w:gridCol w:w="920"/>
        <w:gridCol w:w="920"/>
        <w:gridCol w:w="920"/>
        <w:gridCol w:w="920"/>
        <w:gridCol w:w="920"/>
        <w:gridCol w:w="960"/>
      </w:tblGrid>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bedragen in miljoenen</w:t>
            </w:r>
            <w:r w:rsidR="005E5FAB">
              <w:rPr>
                <w:rFonts w:cs="Arial"/>
                <w:sz w:val="16"/>
                <w:szCs w:val="16"/>
              </w:rPr>
              <w:t xml:space="preserve"> euro</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705"/>
        </w:trPr>
        <w:tc>
          <w:tcPr>
            <w:tcW w:w="7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Artikel</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V. Buitenlandse Zaken</w:t>
            </w:r>
          </w:p>
        </w:tc>
        <w:tc>
          <w:tcPr>
            <w:tcW w:w="1688" w:type="dxa"/>
            <w:tcBorders>
              <w:top w:val="nil"/>
              <w:left w:val="nil"/>
              <w:bottom w:val="single" w:color="auto" w:sz="4" w:space="0"/>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Corresponderende begroting</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2013</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2014</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2015</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2016</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2017</w:t>
            </w:r>
          </w:p>
        </w:tc>
        <w:tc>
          <w:tcPr>
            <w:tcW w:w="9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11</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roofErr w:type="spellStart"/>
            <w:r w:rsidRPr="002F228B">
              <w:rPr>
                <w:rFonts w:cs="Arial"/>
                <w:sz w:val="16"/>
                <w:szCs w:val="16"/>
              </w:rPr>
              <w:t>Apparaatsuitgaven</w:t>
            </w:r>
            <w:proofErr w:type="spellEnd"/>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9,4</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uitgaven (HGIS)</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9,7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9,5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9,5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9,5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9,4</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ind w:firstLine="160" w:firstLineChars="100"/>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r>
      <w:tr w:rsidRPr="002F228B" w:rsidR="002F228B" w:rsidTr="002F228B">
        <w:trPr>
          <w:trHeight w:val="210"/>
        </w:trPr>
        <w:tc>
          <w:tcPr>
            <w:tcW w:w="7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r>
    </w:tbl>
    <w:p w:rsidR="002F228B" w:rsidRDefault="002F228B"/>
    <w:p w:rsidR="002F228B" w:rsidRDefault="002F228B">
      <w:pPr>
        <w:spacing w:after="200" w:line="276" w:lineRule="auto"/>
      </w:pPr>
      <w:r>
        <w:br w:type="page"/>
      </w:r>
    </w:p>
    <w:tbl>
      <w:tblPr>
        <w:tblW w:w="12808" w:type="dxa"/>
        <w:tblInd w:w="55" w:type="dxa"/>
        <w:tblCellMar>
          <w:left w:w="70" w:type="dxa"/>
          <w:right w:w="70" w:type="dxa"/>
        </w:tblCellMar>
        <w:tblLook w:val="04A0"/>
      </w:tblPr>
      <w:tblGrid>
        <w:gridCol w:w="760"/>
        <w:gridCol w:w="4800"/>
        <w:gridCol w:w="1798"/>
        <w:gridCol w:w="920"/>
        <w:gridCol w:w="920"/>
        <w:gridCol w:w="920"/>
        <w:gridCol w:w="920"/>
        <w:gridCol w:w="920"/>
        <w:gridCol w:w="960"/>
      </w:tblGrid>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bedragen in miljoenen</w:t>
            </w:r>
            <w:r w:rsidR="005E5FAB">
              <w:rPr>
                <w:rFonts w:cs="Arial"/>
                <w:sz w:val="16"/>
                <w:szCs w:val="16"/>
              </w:rPr>
              <w:t xml:space="preserve"> euro</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705"/>
        </w:trPr>
        <w:tc>
          <w:tcPr>
            <w:tcW w:w="7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Artikel</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 xml:space="preserve">VI. Veiligheid en Justitie </w:t>
            </w:r>
          </w:p>
        </w:tc>
        <w:tc>
          <w:tcPr>
            <w:tcW w:w="1688" w:type="dxa"/>
            <w:tcBorders>
              <w:top w:val="nil"/>
              <w:left w:val="nil"/>
              <w:bottom w:val="single" w:color="auto" w:sz="4" w:space="0"/>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Corresponderende begroting</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2013</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2014</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2015</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2016</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2017</w:t>
            </w:r>
          </w:p>
        </w:tc>
        <w:tc>
          <w:tcPr>
            <w:tcW w:w="9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37.2</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Toegang toelating en opvang vreemdelingen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Bijdrage BLD: Immigratie- en Naturalisatiedienst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267,5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266,6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244,1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243,5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242,9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242,2 </w:t>
            </w:r>
          </w:p>
        </w:tc>
      </w:tr>
      <w:tr w:rsidRPr="002F228B" w:rsidR="002F228B" w:rsidTr="002F228B">
        <w:trPr>
          <w:trHeight w:val="42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r w:rsidRPr="002F228B">
              <w:rPr>
                <w:rFonts w:cs="Arial"/>
                <w:sz w:val="16"/>
                <w:szCs w:val="16"/>
              </w:rPr>
              <w:t>Bijdrage ZBO: Centraal Orgaan opvang asielzoekers (COA)</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388,2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364,6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331,4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330,4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329,3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328,6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Subsidies: Vluchtelingenwerk Nederland (VWN) </w:t>
            </w:r>
            <w:proofErr w:type="spellStart"/>
            <w:r w:rsidRPr="002F228B">
              <w:rPr>
                <w:rFonts w:cs="Arial"/>
                <w:sz w:val="16"/>
                <w:szCs w:val="16"/>
              </w:rPr>
              <w:t>ea</w:t>
            </w:r>
            <w:proofErr w:type="spellEnd"/>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6,2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6,4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7,4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7,3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7,3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7,3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Opdrachten: Programma </w:t>
            </w:r>
            <w:proofErr w:type="spellStart"/>
            <w:r w:rsidRPr="002F228B">
              <w:rPr>
                <w:rFonts w:cs="Arial"/>
                <w:sz w:val="16"/>
                <w:szCs w:val="16"/>
              </w:rPr>
              <w:t>Biometrie</w:t>
            </w:r>
            <w:proofErr w:type="spellEnd"/>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12,0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2,5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0,5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0,5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0,5 </w:t>
            </w:r>
          </w:p>
        </w:tc>
      </w:tr>
      <w:tr w:rsidRPr="002F228B" w:rsidR="002F228B" w:rsidTr="002F228B">
        <w:trPr>
          <w:trHeight w:val="42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r w:rsidRPr="002F228B">
              <w:rPr>
                <w:rFonts w:cs="Arial"/>
                <w:sz w:val="16"/>
                <w:szCs w:val="16"/>
              </w:rPr>
              <w:t>Opdrachten: Programma Vernieuwing Grensmanagement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12,0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13,0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10,0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8,0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8,0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Opdrachten: Programma keteninformatie</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19,8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17,9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4,8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4,8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4,8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4,8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Opdrachten: Versterking vreemdelingenketen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3,0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3,0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37.3</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Terugkeer</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Subsidies: </w:t>
            </w:r>
            <w:proofErr w:type="spellStart"/>
            <w:r w:rsidRPr="002F228B">
              <w:rPr>
                <w:rFonts w:cs="Arial"/>
                <w:sz w:val="16"/>
                <w:szCs w:val="16"/>
              </w:rPr>
              <w:t>REAN-regeling</w:t>
            </w:r>
            <w:proofErr w:type="spellEnd"/>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6,6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6,6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6,4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6,3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6,3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6,3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Bijdrage BLD:  terugkeer vreemdelingen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8,4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8,4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Opdrachten:  terugkeer vreemdelingen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12,1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11,5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11,2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11,5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11,4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11,4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91</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Apparaat Kerndepartement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eigen personeel</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61,0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60,6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57,6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57,2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57,1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57,0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externe inhuur</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9,7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9,7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0,4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0,4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overig personeel</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5,2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0,4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0,4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ICT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0,2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0,2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roofErr w:type="spellStart"/>
            <w:r w:rsidRPr="002F228B">
              <w:rPr>
                <w:rFonts w:cs="Arial"/>
                <w:sz w:val="16"/>
                <w:szCs w:val="16"/>
              </w:rPr>
              <w:t>SSO's</w:t>
            </w:r>
            <w:proofErr w:type="spellEnd"/>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3,9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3,8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3,7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overig materieel</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1,2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1,2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0,7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0,7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0,7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0,7 </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92</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Nominaal en onvoorzien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1,9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0,8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-13,5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-33,1</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-41,0</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814,2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788,5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693,3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673,2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651,4</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642,0</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r>
      <w:tr w:rsidRPr="002F228B" w:rsidR="002F228B" w:rsidTr="002F228B">
        <w:trPr>
          <w:trHeight w:val="210"/>
        </w:trPr>
        <w:tc>
          <w:tcPr>
            <w:tcW w:w="7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i/>
                <w:iCs/>
                <w:sz w:val="16"/>
                <w:szCs w:val="16"/>
              </w:rPr>
            </w:pPr>
            <w:r w:rsidRPr="002F228B">
              <w:rPr>
                <w:rFonts w:cs="Arial"/>
                <w:i/>
                <w:i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r>
    </w:tbl>
    <w:p w:rsidR="002F228B" w:rsidRDefault="002F228B"/>
    <w:p w:rsidR="002F228B" w:rsidRDefault="002F228B">
      <w:pPr>
        <w:spacing w:after="200" w:line="276" w:lineRule="auto"/>
      </w:pPr>
      <w:r>
        <w:br w:type="page"/>
      </w:r>
    </w:p>
    <w:tbl>
      <w:tblPr>
        <w:tblW w:w="13848" w:type="dxa"/>
        <w:tblInd w:w="55" w:type="dxa"/>
        <w:tblCellMar>
          <w:left w:w="70" w:type="dxa"/>
          <w:right w:w="70" w:type="dxa"/>
        </w:tblCellMar>
        <w:tblLook w:val="04A0"/>
      </w:tblPr>
      <w:tblGrid>
        <w:gridCol w:w="760"/>
        <w:gridCol w:w="4800"/>
        <w:gridCol w:w="1798"/>
        <w:gridCol w:w="1100"/>
        <w:gridCol w:w="1100"/>
        <w:gridCol w:w="1100"/>
        <w:gridCol w:w="1100"/>
        <w:gridCol w:w="1100"/>
        <w:gridCol w:w="1100"/>
      </w:tblGrid>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48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bedragen in miljoenen</w:t>
            </w:r>
            <w:r w:rsidR="005E5FAB">
              <w:rPr>
                <w:rFonts w:cs="Arial"/>
                <w:sz w:val="16"/>
                <w:szCs w:val="16"/>
              </w:rPr>
              <w:t xml:space="preserve"> euro</w:t>
            </w:r>
          </w:p>
        </w:tc>
        <w:tc>
          <w:tcPr>
            <w:tcW w:w="1688"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r>
      <w:tr w:rsidRPr="003958E5" w:rsidR="003958E5" w:rsidTr="003958E5">
        <w:trPr>
          <w:trHeight w:val="705"/>
        </w:trPr>
        <w:tc>
          <w:tcPr>
            <w:tcW w:w="760" w:type="dxa"/>
            <w:tcBorders>
              <w:top w:val="single" w:color="auto" w:sz="4" w:space="0"/>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r w:rsidRPr="003958E5">
              <w:rPr>
                <w:rFonts w:cs="Arial"/>
                <w:b/>
                <w:bCs/>
                <w:sz w:val="16"/>
                <w:szCs w:val="16"/>
              </w:rPr>
              <w:t>Artikel</w:t>
            </w:r>
          </w:p>
        </w:tc>
        <w:tc>
          <w:tcPr>
            <w:tcW w:w="48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r w:rsidRPr="003958E5">
              <w:rPr>
                <w:rFonts w:cs="Arial"/>
                <w:b/>
                <w:bCs/>
                <w:sz w:val="16"/>
                <w:szCs w:val="16"/>
              </w:rPr>
              <w:t>VII. Binnenlandse Zaken en Koninkrijksrelaties</w:t>
            </w:r>
          </w:p>
        </w:tc>
        <w:tc>
          <w:tcPr>
            <w:tcW w:w="1688" w:type="dxa"/>
            <w:tcBorders>
              <w:top w:val="nil"/>
              <w:left w:val="nil"/>
              <w:bottom w:val="single" w:color="auto" w:sz="4" w:space="0"/>
              <w:right w:val="nil"/>
            </w:tcBorders>
            <w:shd w:val="clear" w:color="auto" w:fill="auto"/>
            <w:vAlign w:val="bottom"/>
            <w:hideMark/>
          </w:tcPr>
          <w:p w:rsidRPr="003958E5" w:rsidR="003958E5" w:rsidP="003958E5" w:rsidRDefault="003958E5">
            <w:pPr>
              <w:spacing w:line="240" w:lineRule="auto"/>
              <w:rPr>
                <w:rFonts w:cs="Arial"/>
                <w:b/>
                <w:bCs/>
                <w:sz w:val="16"/>
                <w:szCs w:val="16"/>
              </w:rPr>
            </w:pPr>
            <w:r w:rsidRPr="003958E5">
              <w:rPr>
                <w:rFonts w:cs="Arial"/>
                <w:b/>
                <w:bCs/>
                <w:sz w:val="16"/>
                <w:szCs w:val="16"/>
              </w:rPr>
              <w:t>Corresponderende begroting</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jc w:val="right"/>
              <w:rPr>
                <w:rFonts w:cs="Arial"/>
                <w:b/>
                <w:bCs/>
                <w:sz w:val="16"/>
                <w:szCs w:val="16"/>
              </w:rPr>
            </w:pPr>
            <w:r w:rsidRPr="003958E5">
              <w:rPr>
                <w:rFonts w:cs="Arial"/>
                <w:b/>
                <w:bCs/>
                <w:sz w:val="16"/>
                <w:szCs w:val="16"/>
              </w:rPr>
              <w:t>2013</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jc w:val="right"/>
              <w:rPr>
                <w:rFonts w:cs="Arial"/>
                <w:b/>
                <w:bCs/>
                <w:sz w:val="16"/>
                <w:szCs w:val="16"/>
              </w:rPr>
            </w:pPr>
            <w:r w:rsidRPr="003958E5">
              <w:rPr>
                <w:rFonts w:cs="Arial"/>
                <w:b/>
                <w:bCs/>
                <w:sz w:val="16"/>
                <w:szCs w:val="16"/>
              </w:rPr>
              <w:t>2014</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jc w:val="right"/>
              <w:rPr>
                <w:rFonts w:cs="Arial"/>
                <w:b/>
                <w:bCs/>
                <w:sz w:val="16"/>
                <w:szCs w:val="16"/>
              </w:rPr>
            </w:pPr>
            <w:r w:rsidRPr="003958E5">
              <w:rPr>
                <w:rFonts w:cs="Arial"/>
                <w:b/>
                <w:bCs/>
                <w:sz w:val="16"/>
                <w:szCs w:val="16"/>
              </w:rPr>
              <w:t>2015</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jc w:val="right"/>
              <w:rPr>
                <w:rFonts w:cs="Arial"/>
                <w:b/>
                <w:bCs/>
                <w:sz w:val="16"/>
                <w:szCs w:val="16"/>
              </w:rPr>
            </w:pPr>
            <w:r w:rsidRPr="003958E5">
              <w:rPr>
                <w:rFonts w:cs="Arial"/>
                <w:b/>
                <w:bCs/>
                <w:sz w:val="16"/>
                <w:szCs w:val="16"/>
              </w:rPr>
              <w:t>2016</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jc w:val="right"/>
              <w:rPr>
                <w:rFonts w:cs="Arial"/>
                <w:b/>
                <w:bCs/>
                <w:sz w:val="16"/>
                <w:szCs w:val="16"/>
              </w:rPr>
            </w:pPr>
            <w:r w:rsidRPr="003958E5">
              <w:rPr>
                <w:rFonts w:cs="Arial"/>
                <w:b/>
                <w:bCs/>
                <w:sz w:val="16"/>
                <w:szCs w:val="16"/>
              </w:rPr>
              <w:t>2017</w:t>
            </w:r>
          </w:p>
        </w:tc>
        <w:tc>
          <w:tcPr>
            <w:tcW w:w="1100" w:type="dxa"/>
            <w:tcBorders>
              <w:top w:val="single" w:color="auto" w:sz="4" w:space="0"/>
              <w:left w:val="nil"/>
              <w:bottom w:val="single" w:color="auto" w:sz="4" w:space="0"/>
              <w:right w:val="nil"/>
            </w:tcBorders>
            <w:shd w:val="clear" w:color="auto" w:fill="auto"/>
            <w:noWrap/>
            <w:vAlign w:val="bottom"/>
            <w:hideMark/>
          </w:tcPr>
          <w:p w:rsidRPr="003958E5" w:rsidR="003958E5" w:rsidP="003958E5" w:rsidRDefault="003958E5">
            <w:pPr>
              <w:spacing w:line="240" w:lineRule="auto"/>
              <w:jc w:val="right"/>
              <w:rPr>
                <w:rFonts w:cs="Arial"/>
                <w:b/>
                <w:bCs/>
                <w:sz w:val="16"/>
                <w:szCs w:val="16"/>
              </w:rPr>
            </w:pPr>
            <w:r w:rsidRPr="003958E5">
              <w:rPr>
                <w:rFonts w:cs="Arial"/>
                <w:b/>
                <w:bCs/>
                <w:sz w:val="16"/>
                <w:szCs w:val="16"/>
              </w:rPr>
              <w:t>2018</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r w:rsidRPr="003958E5">
              <w:rPr>
                <w:rFonts w:cs="Arial"/>
                <w:b/>
                <w:bCs/>
                <w:sz w:val="16"/>
                <w:szCs w:val="16"/>
              </w:rPr>
              <w:t>Uitgaven</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70</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Vreemdelingen</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-733,2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-711,0</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-629,2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-623,8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-621,9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-620,5</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71</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Centraal apparaat</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-79,1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-77,5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-63,4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-63,0</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-62,9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-62,9</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73</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Nominaal en onvoorzien</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13,7</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33,4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41,4</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73</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Nominaal en onvoorzien</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0,7</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0,1</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71</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Centraal apparaat</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1,4</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65</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Integratie en maatschappelijke samenhang</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-172,4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-121,2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-113,0</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-112,3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-114,9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-105,8</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71</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Centraal apparaat</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-8,0</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-7,9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-7,5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-7,4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-7,3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-7,3</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73</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Nominaal en onvoorzien</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0,0</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1,1</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63</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Woningmarkt</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-2.880,4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-3.085,3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-3.228,9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-3.436,8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-3.693,6</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-3.854,4</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64</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Woonomgeving en bouw</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-32,6</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-28,1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-32,4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-32,4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-32,3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-32,2</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68</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Kwaliteit Rijksdienst</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-29,4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-28,6</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-28,1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-27,9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-27,9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-27,8</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69</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Uitvoering Rijkshuisvesting</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-59,2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-58,5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-58,8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-58,7</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-57,5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-57,7</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ascii="Courier New" w:hAnsi="Courier New" w:cs="Courier New"/>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ascii="Courier New" w:hAnsi="Courier New" w:cs="Courier New"/>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ascii="Courier New" w:hAnsi="Courier New" w:cs="Courier New"/>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ascii="Courier New" w:hAnsi="Courier New" w:cs="Courier New"/>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ascii="Courier New" w:hAnsi="Courier New" w:cs="Courier New"/>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ascii="Courier New" w:hAnsi="Courier New" w:cs="Courier New"/>
                <w:sz w:val="16"/>
                <w:szCs w:val="16"/>
              </w:rPr>
            </w:pP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i/>
                <w:iCs/>
                <w:sz w:val="16"/>
                <w:szCs w:val="16"/>
              </w:rPr>
            </w:pPr>
            <w:r w:rsidRPr="003958E5">
              <w:rPr>
                <w:rFonts w:cs="Arial"/>
                <w:b/>
                <w:bCs/>
                <w:i/>
                <w:iCs/>
                <w:sz w:val="16"/>
                <w:szCs w:val="16"/>
              </w:rPr>
              <w:t>Totaal mutaties uitgaven</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b/>
                <w:bCs/>
                <w:i/>
                <w:i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-3.994,2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-4.115,7</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-4.159,7</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-4.346,3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-4.582,5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-4.724,6</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i/>
                <w:iCs/>
                <w:sz w:val="16"/>
                <w:szCs w:val="16"/>
              </w:rPr>
            </w:pP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b/>
                <w:bCs/>
                <w:i/>
                <w:i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i/>
                <w:iCs/>
                <w:sz w:val="16"/>
                <w:szCs w:val="16"/>
              </w:rPr>
            </w:pP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b/>
                <w:bCs/>
                <w:i/>
                <w:i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r w:rsidRPr="003958E5">
              <w:rPr>
                <w:rFonts w:cs="Arial"/>
                <w:b/>
                <w:bCs/>
                <w:sz w:val="16"/>
                <w:szCs w:val="16"/>
              </w:rPr>
              <w:t>Niet-belastingontvangsten</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sz w:val="16"/>
                <w:szCs w:val="16"/>
              </w:rPr>
            </w:pP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65</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Integratie en maatschappelijke samenhang</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-27,6</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-4,4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-4,4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-8,9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-11,9</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71</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Centraal apparaat</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9</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0,2</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0,2</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63</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Woningmarkt</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-578,4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-585,1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-580,5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-576,7</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-595,0</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-580,3</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64</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Woonomgeving en bouw</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-0,1</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68</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Kwaliteit Rijksdienst</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-0,3</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-0,3</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69</w:t>
            </w: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Uitvoering Rijkshuisvesting</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18</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sz w:val="16"/>
                <w:szCs w:val="16"/>
              </w:rPr>
            </w:pPr>
            <w:r w:rsidRPr="003958E5">
              <w:rPr>
                <w:rFonts w:cs="Arial"/>
                <w:sz w:val="16"/>
                <w:szCs w:val="16"/>
              </w:rPr>
              <w:t>-0,4</w:t>
            </w: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ind w:firstLine="160" w:firstLineChars="100"/>
              <w:rPr>
                <w:rFonts w:cs="Arial"/>
                <w:sz w:val="16"/>
                <w:szCs w:val="16"/>
              </w:rPr>
            </w:pP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sz w:val="16"/>
                <w:szCs w:val="16"/>
              </w:rPr>
            </w:pPr>
          </w:p>
        </w:tc>
      </w:tr>
      <w:tr w:rsidRPr="003958E5" w:rsidR="003958E5" w:rsidTr="003958E5">
        <w:trPr>
          <w:trHeight w:val="210"/>
        </w:trPr>
        <w:tc>
          <w:tcPr>
            <w:tcW w:w="76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rPr>
                <w:rFonts w:cs="Arial"/>
                <w:b/>
                <w:bCs/>
                <w:i/>
                <w:iCs/>
                <w:sz w:val="16"/>
                <w:szCs w:val="16"/>
              </w:rPr>
            </w:pPr>
            <w:r w:rsidRPr="003958E5">
              <w:rPr>
                <w:rFonts w:cs="Arial"/>
                <w:b/>
                <w:bCs/>
                <w:i/>
                <w:iCs/>
                <w:sz w:val="16"/>
                <w:szCs w:val="16"/>
              </w:rPr>
              <w:t>Totaal mutaties niet-belastingontvangsten</w:t>
            </w:r>
          </w:p>
        </w:tc>
        <w:tc>
          <w:tcPr>
            <w:tcW w:w="1688"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center"/>
              <w:rPr>
                <w:rFonts w:cs="Arial"/>
                <w:b/>
                <w:bCs/>
                <w:i/>
                <w:iCs/>
                <w:sz w:val="16"/>
                <w:szCs w:val="16"/>
              </w:rPr>
            </w:pP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-606,5</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-590,1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-585,4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-583,1</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-604,4</w:t>
            </w:r>
          </w:p>
        </w:tc>
        <w:tc>
          <w:tcPr>
            <w:tcW w:w="1100" w:type="dxa"/>
            <w:tcBorders>
              <w:top w:val="nil"/>
              <w:left w:val="nil"/>
              <w:bottom w:val="nil"/>
              <w:right w:val="nil"/>
            </w:tcBorders>
            <w:shd w:val="clear" w:color="auto" w:fill="auto"/>
            <w:noWrap/>
            <w:vAlign w:val="bottom"/>
            <w:hideMark/>
          </w:tcPr>
          <w:p w:rsidRPr="003958E5" w:rsidR="003958E5" w:rsidP="003958E5" w:rsidRDefault="003958E5">
            <w:pPr>
              <w:spacing w:line="240" w:lineRule="auto"/>
              <w:jc w:val="right"/>
              <w:rPr>
                <w:rFonts w:cs="Arial"/>
                <w:b/>
                <w:bCs/>
                <w:i/>
                <w:iCs/>
                <w:sz w:val="16"/>
                <w:szCs w:val="16"/>
              </w:rPr>
            </w:pPr>
            <w:r w:rsidRPr="003958E5">
              <w:rPr>
                <w:rFonts w:cs="Arial"/>
                <w:b/>
                <w:bCs/>
                <w:i/>
                <w:iCs/>
                <w:sz w:val="16"/>
                <w:szCs w:val="16"/>
              </w:rPr>
              <w:t>-592,8</w:t>
            </w:r>
          </w:p>
        </w:tc>
      </w:tr>
      <w:tr w:rsidRPr="003958E5" w:rsidR="003958E5" w:rsidTr="003958E5">
        <w:trPr>
          <w:trHeight w:val="210"/>
        </w:trPr>
        <w:tc>
          <w:tcPr>
            <w:tcW w:w="76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 </w:t>
            </w:r>
          </w:p>
        </w:tc>
        <w:tc>
          <w:tcPr>
            <w:tcW w:w="48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688"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jc w:val="center"/>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c>
          <w:tcPr>
            <w:tcW w:w="1100" w:type="dxa"/>
            <w:tcBorders>
              <w:top w:val="nil"/>
              <w:left w:val="nil"/>
              <w:bottom w:val="single" w:color="auto" w:sz="4" w:space="0"/>
              <w:right w:val="nil"/>
            </w:tcBorders>
            <w:shd w:val="clear" w:color="auto" w:fill="auto"/>
            <w:noWrap/>
            <w:vAlign w:val="bottom"/>
            <w:hideMark/>
          </w:tcPr>
          <w:p w:rsidRPr="003958E5" w:rsidR="003958E5" w:rsidP="003958E5" w:rsidRDefault="003958E5">
            <w:pPr>
              <w:spacing w:line="240" w:lineRule="auto"/>
              <w:rPr>
                <w:rFonts w:cs="Arial"/>
                <w:sz w:val="16"/>
                <w:szCs w:val="16"/>
              </w:rPr>
            </w:pPr>
            <w:r w:rsidRPr="003958E5">
              <w:rPr>
                <w:rFonts w:cs="Arial"/>
                <w:sz w:val="16"/>
                <w:szCs w:val="16"/>
              </w:rPr>
              <w:t> </w:t>
            </w:r>
          </w:p>
        </w:tc>
      </w:tr>
    </w:tbl>
    <w:p w:rsidR="002F228B" w:rsidRDefault="002F228B"/>
    <w:p w:rsidR="002F228B" w:rsidRDefault="002F228B">
      <w:pPr>
        <w:spacing w:after="200" w:line="276" w:lineRule="auto"/>
      </w:pPr>
      <w:r>
        <w:br w:type="page"/>
      </w:r>
    </w:p>
    <w:tbl>
      <w:tblPr>
        <w:tblW w:w="12808" w:type="dxa"/>
        <w:tblInd w:w="55" w:type="dxa"/>
        <w:tblCellMar>
          <w:left w:w="70" w:type="dxa"/>
          <w:right w:w="70" w:type="dxa"/>
        </w:tblCellMar>
        <w:tblLook w:val="04A0"/>
      </w:tblPr>
      <w:tblGrid>
        <w:gridCol w:w="760"/>
        <w:gridCol w:w="4800"/>
        <w:gridCol w:w="1798"/>
        <w:gridCol w:w="920"/>
        <w:gridCol w:w="920"/>
        <w:gridCol w:w="920"/>
        <w:gridCol w:w="920"/>
        <w:gridCol w:w="920"/>
        <w:gridCol w:w="960"/>
      </w:tblGrid>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bedragen in miljoenen</w:t>
            </w:r>
            <w:r w:rsidR="005E5FAB">
              <w:rPr>
                <w:rFonts w:cs="Arial"/>
                <w:sz w:val="16"/>
                <w:szCs w:val="16"/>
              </w:rPr>
              <w:t xml:space="preserve"> euro</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705"/>
        </w:trPr>
        <w:tc>
          <w:tcPr>
            <w:tcW w:w="7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Artikel</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IX. Financiën</w:t>
            </w:r>
          </w:p>
        </w:tc>
        <w:tc>
          <w:tcPr>
            <w:tcW w:w="1688" w:type="dxa"/>
            <w:tcBorders>
              <w:top w:val="nil"/>
              <w:left w:val="nil"/>
              <w:bottom w:val="single" w:color="auto" w:sz="4" w:space="0"/>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Corresponderende begroting</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2013</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2014</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2015</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2016</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2017</w:t>
            </w:r>
          </w:p>
        </w:tc>
        <w:tc>
          <w:tcPr>
            <w:tcW w:w="9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Zakelijke lasten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-55,0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-55,0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-55,0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-55,0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-55,0</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-55,0</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roofErr w:type="spellStart"/>
            <w:r w:rsidRPr="002F228B">
              <w:rPr>
                <w:rFonts w:cs="Arial"/>
                <w:sz w:val="16"/>
                <w:szCs w:val="16"/>
              </w:rPr>
              <w:t>Onderhouds</w:t>
            </w:r>
            <w:proofErr w:type="spellEnd"/>
            <w:r w:rsidRPr="002F228B">
              <w:rPr>
                <w:rFonts w:cs="Arial"/>
                <w:sz w:val="16"/>
                <w:szCs w:val="16"/>
              </w:rPr>
              <w:t>- en beheerskosten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-7,4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-6,8</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Bijdrage aan RVOB</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-21,9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-21,1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-20,5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-20,4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-20,4</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-20,3</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Van Financiën naar BZK</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-1,7</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-1,5</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-86,8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-85,4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-84,7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-84,3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-83,9</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-83,6</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Zakelijke lasten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-26,6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-26,6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-26,6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-26,6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-26,6</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-26,6</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roofErr w:type="spellStart"/>
            <w:r w:rsidRPr="002F228B">
              <w:rPr>
                <w:rFonts w:cs="Arial"/>
                <w:sz w:val="16"/>
                <w:szCs w:val="16"/>
              </w:rPr>
              <w:t>Ingebruikgevingen</w:t>
            </w:r>
            <w:proofErr w:type="spellEnd"/>
            <w:r w:rsidRPr="002F228B">
              <w:rPr>
                <w:rFonts w:cs="Arial"/>
                <w:sz w:val="16"/>
                <w:szCs w:val="16"/>
              </w:rPr>
              <w:t xml:space="preserve"> RVOB</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-94,9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-94,0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-93,5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-93,5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-93,5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-93,5</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Vervreemding RVOB</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-53,7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-53,7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-53,7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-53,7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-53,7</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-53,7</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21</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Apparaatontvangsten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-0,2</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-0,2</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ind w:firstLine="160" w:firstLineChars="100"/>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-175,4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-174,5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-174,0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-174,0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-174,0</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-174,0</w:t>
            </w:r>
          </w:p>
        </w:tc>
      </w:tr>
      <w:tr w:rsidRPr="002F228B" w:rsidR="002F228B" w:rsidTr="002F228B">
        <w:trPr>
          <w:trHeight w:val="210"/>
        </w:trPr>
        <w:tc>
          <w:tcPr>
            <w:tcW w:w="7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i/>
                <w:iCs/>
                <w:sz w:val="16"/>
                <w:szCs w:val="16"/>
              </w:rPr>
            </w:pPr>
            <w:r w:rsidRPr="002F228B">
              <w:rPr>
                <w:rFonts w:cs="Arial"/>
                <w:i/>
                <w:i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w:t>
            </w:r>
          </w:p>
        </w:tc>
        <w:tc>
          <w:tcPr>
            <w:tcW w:w="9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w:t>
            </w:r>
          </w:p>
        </w:tc>
      </w:tr>
    </w:tbl>
    <w:p w:rsidR="002F228B" w:rsidRDefault="002F228B"/>
    <w:p w:rsidR="002F228B" w:rsidRDefault="002F228B">
      <w:pPr>
        <w:spacing w:after="200" w:line="276" w:lineRule="auto"/>
      </w:pPr>
      <w:r>
        <w:br w:type="page"/>
      </w:r>
    </w:p>
    <w:tbl>
      <w:tblPr>
        <w:tblW w:w="12808" w:type="dxa"/>
        <w:tblInd w:w="55" w:type="dxa"/>
        <w:tblCellMar>
          <w:left w:w="70" w:type="dxa"/>
          <w:right w:w="70" w:type="dxa"/>
        </w:tblCellMar>
        <w:tblLook w:val="04A0"/>
      </w:tblPr>
      <w:tblGrid>
        <w:gridCol w:w="760"/>
        <w:gridCol w:w="4800"/>
        <w:gridCol w:w="1798"/>
        <w:gridCol w:w="920"/>
        <w:gridCol w:w="920"/>
        <w:gridCol w:w="920"/>
        <w:gridCol w:w="920"/>
        <w:gridCol w:w="920"/>
        <w:gridCol w:w="960"/>
      </w:tblGrid>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bedragen in miljoenen</w:t>
            </w:r>
            <w:r w:rsidR="005E5FAB">
              <w:rPr>
                <w:rFonts w:cs="Arial"/>
                <w:sz w:val="16"/>
                <w:szCs w:val="16"/>
              </w:rPr>
              <w:t xml:space="preserve"> euro</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705"/>
        </w:trPr>
        <w:tc>
          <w:tcPr>
            <w:tcW w:w="7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Artikel</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XIII. Economische Zaken</w:t>
            </w:r>
          </w:p>
        </w:tc>
        <w:tc>
          <w:tcPr>
            <w:tcW w:w="1688" w:type="dxa"/>
            <w:tcBorders>
              <w:top w:val="nil"/>
              <w:left w:val="nil"/>
              <w:bottom w:val="single" w:color="auto" w:sz="4" w:space="0"/>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Corresponderende begroting</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2013</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2014</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2015</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2016</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2017</w:t>
            </w:r>
          </w:p>
        </w:tc>
        <w:tc>
          <w:tcPr>
            <w:tcW w:w="9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40</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Apparaat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-9,4</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15</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Een sterke internationale concurrentiepositie</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-89,2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-82,0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-68,4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-66,1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-60,5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-61,5</w:t>
            </w:r>
          </w:p>
        </w:tc>
      </w:tr>
      <w:tr w:rsidRPr="002F228B" w:rsidR="002F228B" w:rsidTr="002F228B">
        <w:trPr>
          <w:trHeight w:val="42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16</w:t>
            </w: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Concurrerende, duurzame, veilige </w:t>
            </w:r>
            <w:proofErr w:type="spellStart"/>
            <w:r w:rsidRPr="002F228B">
              <w:rPr>
                <w:rFonts w:cs="Arial"/>
                <w:sz w:val="16"/>
                <w:szCs w:val="16"/>
              </w:rPr>
              <w:t>agro-</w:t>
            </w:r>
            <w:proofErr w:type="spellEnd"/>
            <w:r w:rsidRPr="002F228B">
              <w:rPr>
                <w:rFonts w:cs="Arial"/>
                <w:sz w:val="16"/>
                <w:szCs w:val="16"/>
              </w:rPr>
              <w:t>, visserij- en voedselketens (</w:t>
            </w:r>
            <w:proofErr w:type="spellStart"/>
            <w:r w:rsidRPr="002F228B">
              <w:rPr>
                <w:rFonts w:cs="Arial"/>
                <w:sz w:val="16"/>
                <w:szCs w:val="16"/>
              </w:rPr>
              <w:t>progammageld</w:t>
            </w:r>
            <w:proofErr w:type="spellEnd"/>
            <w:r w:rsidRPr="002F228B">
              <w:rPr>
                <w:rFonts w:cs="Arial"/>
                <w:sz w:val="16"/>
                <w:szCs w:val="16"/>
              </w:rPr>
              <w: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2,8</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2,8</w:t>
            </w:r>
          </w:p>
        </w:tc>
      </w:tr>
      <w:tr w:rsidRPr="002F228B" w:rsidR="002F228B" w:rsidTr="002F228B">
        <w:trPr>
          <w:trHeight w:val="42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16</w:t>
            </w: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Concurrerende, duurzame, veilige </w:t>
            </w:r>
            <w:proofErr w:type="spellStart"/>
            <w:r w:rsidRPr="002F228B">
              <w:rPr>
                <w:rFonts w:cs="Arial"/>
                <w:sz w:val="16"/>
                <w:szCs w:val="16"/>
              </w:rPr>
              <w:t>agro-</w:t>
            </w:r>
            <w:proofErr w:type="spellEnd"/>
            <w:r w:rsidRPr="002F228B">
              <w:rPr>
                <w:rFonts w:cs="Arial"/>
                <w:sz w:val="16"/>
                <w:szCs w:val="16"/>
              </w:rPr>
              <w:t>, visserij- en voedselketens (bijdragen BLD)</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0,6</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0,6</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40</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Apparaat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-96,0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-89,7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-74,4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-72,1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-66,4</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-67,4</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hideMark/>
          </w:tcPr>
          <w:p w:rsidRPr="002F228B" w:rsidR="002F228B" w:rsidP="002F228B" w:rsidRDefault="002F228B">
            <w:pPr>
              <w:spacing w:line="240" w:lineRule="auto"/>
              <w:rPr>
                <w:rFonts w:cs="Arial"/>
                <w:i/>
                <w:iCs/>
                <w:sz w:val="16"/>
                <w:szCs w:val="16"/>
              </w:rPr>
            </w:pPr>
          </w:p>
        </w:tc>
        <w:tc>
          <w:tcPr>
            <w:tcW w:w="1688" w:type="dxa"/>
            <w:tcBorders>
              <w:top w:val="nil"/>
              <w:left w:val="nil"/>
              <w:bottom w:val="nil"/>
              <w:right w:val="nil"/>
            </w:tcBorders>
            <w:shd w:val="clear" w:color="auto" w:fill="auto"/>
            <w:hideMark/>
          </w:tcPr>
          <w:p w:rsidRPr="002F228B" w:rsidR="002F228B" w:rsidP="002F228B" w:rsidRDefault="002F228B">
            <w:pPr>
              <w:spacing w:line="240" w:lineRule="auto"/>
              <w:jc w:val="center"/>
              <w:rPr>
                <w:rFonts w:cs="Arial"/>
                <w:i/>
                <w:iCs/>
                <w:sz w:val="16"/>
                <w:szCs w:val="16"/>
              </w:rPr>
            </w:pPr>
          </w:p>
        </w:tc>
        <w:tc>
          <w:tcPr>
            <w:tcW w:w="920" w:type="dxa"/>
            <w:tcBorders>
              <w:top w:val="nil"/>
              <w:left w:val="nil"/>
              <w:bottom w:val="nil"/>
              <w:right w:val="nil"/>
            </w:tcBorders>
            <w:shd w:val="clear" w:color="auto" w:fill="auto"/>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hideMark/>
          </w:tcPr>
          <w:p w:rsidRPr="002F228B" w:rsidR="002F228B" w:rsidP="002F228B" w:rsidRDefault="002F228B">
            <w:pPr>
              <w:spacing w:line="240" w:lineRule="auto"/>
              <w:rPr>
                <w:rFonts w:cs="Arial"/>
                <w:i/>
                <w:iCs/>
                <w:sz w:val="16"/>
                <w:szCs w:val="16"/>
              </w:rPr>
            </w:pPr>
          </w:p>
        </w:tc>
        <w:tc>
          <w:tcPr>
            <w:tcW w:w="960" w:type="dxa"/>
            <w:tcBorders>
              <w:top w:val="nil"/>
              <w:left w:val="nil"/>
              <w:bottom w:val="nil"/>
              <w:right w:val="nil"/>
            </w:tcBorders>
            <w:shd w:val="clear" w:color="auto" w:fill="auto"/>
            <w:hideMark/>
          </w:tcPr>
          <w:p w:rsidRPr="002F228B" w:rsidR="002F228B" w:rsidP="002F228B" w:rsidRDefault="002F228B">
            <w:pPr>
              <w:spacing w:line="240" w:lineRule="auto"/>
              <w:rPr>
                <w:rFonts w:cs="Arial"/>
                <w:i/>
                <w:iCs/>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hideMark/>
          </w:tcPr>
          <w:p w:rsidRPr="002F228B" w:rsidR="002F228B" w:rsidP="002F228B" w:rsidRDefault="002F228B">
            <w:pPr>
              <w:spacing w:line="240" w:lineRule="auto"/>
              <w:jc w:val="center"/>
              <w:rPr>
                <w:rFonts w:cs="Arial"/>
                <w:sz w:val="16"/>
                <w:szCs w:val="16"/>
              </w:rPr>
            </w:pPr>
            <w:r w:rsidRPr="002F228B">
              <w:rPr>
                <w:rFonts w:cs="Arial"/>
                <w:sz w:val="16"/>
                <w:szCs w:val="16"/>
              </w:rPr>
              <w:t>15</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Een sterke internationale concurrentiepositie</w:t>
            </w:r>
          </w:p>
        </w:tc>
        <w:tc>
          <w:tcPr>
            <w:tcW w:w="1688" w:type="dxa"/>
            <w:tcBorders>
              <w:top w:val="nil"/>
              <w:left w:val="nil"/>
              <w:bottom w:val="nil"/>
              <w:right w:val="nil"/>
            </w:tcBorders>
            <w:shd w:val="clear" w:color="auto" w:fill="auto"/>
            <w:hideMark/>
          </w:tcPr>
          <w:p w:rsidRPr="002F228B" w:rsidR="002F228B" w:rsidP="002F228B" w:rsidRDefault="002F228B">
            <w:pPr>
              <w:spacing w:line="240" w:lineRule="auto"/>
              <w:jc w:val="center"/>
              <w:rPr>
                <w:rFonts w:cs="Arial"/>
                <w:sz w:val="16"/>
                <w:szCs w:val="16"/>
              </w:rPr>
            </w:pPr>
            <w:r w:rsidRPr="002F228B">
              <w:rPr>
                <w:rFonts w:cs="Arial"/>
                <w:sz w:val="16"/>
                <w:szCs w:val="16"/>
              </w:rPr>
              <w:t>17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-14,3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-1,8</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-14,3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-9,3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-5,2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-1,8</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-1,8</w:t>
            </w:r>
          </w:p>
        </w:tc>
      </w:tr>
      <w:tr w:rsidRPr="002F228B" w:rsidR="002F228B" w:rsidTr="002F228B">
        <w:trPr>
          <w:trHeight w:val="210"/>
        </w:trPr>
        <w:tc>
          <w:tcPr>
            <w:tcW w:w="7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r>
    </w:tbl>
    <w:p w:rsidR="002F228B" w:rsidRDefault="002F228B">
      <w:pPr>
        <w:spacing w:after="200" w:line="276" w:lineRule="auto"/>
      </w:pPr>
    </w:p>
    <w:p w:rsidR="002F228B" w:rsidRDefault="002F228B">
      <w:pPr>
        <w:spacing w:after="200" w:line="276" w:lineRule="auto"/>
      </w:pPr>
      <w:r>
        <w:br w:type="page"/>
      </w:r>
    </w:p>
    <w:tbl>
      <w:tblPr>
        <w:tblW w:w="12923" w:type="dxa"/>
        <w:tblInd w:w="55" w:type="dxa"/>
        <w:tblCellMar>
          <w:left w:w="70" w:type="dxa"/>
          <w:right w:w="70" w:type="dxa"/>
        </w:tblCellMar>
        <w:tblLook w:val="04A0"/>
      </w:tblPr>
      <w:tblGrid>
        <w:gridCol w:w="765"/>
        <w:gridCol w:w="4800"/>
        <w:gridCol w:w="1798"/>
        <w:gridCol w:w="920"/>
        <w:gridCol w:w="920"/>
        <w:gridCol w:w="920"/>
        <w:gridCol w:w="920"/>
        <w:gridCol w:w="920"/>
        <w:gridCol w:w="960"/>
      </w:tblGrid>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bedragen in miljoenen</w:t>
            </w:r>
            <w:r w:rsidR="005E5FAB">
              <w:rPr>
                <w:rFonts w:cs="Arial"/>
                <w:sz w:val="16"/>
                <w:szCs w:val="16"/>
              </w:rPr>
              <w:t xml:space="preserve"> euro</w:t>
            </w:r>
          </w:p>
        </w:tc>
        <w:tc>
          <w:tcPr>
            <w:tcW w:w="179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705"/>
        </w:trPr>
        <w:tc>
          <w:tcPr>
            <w:tcW w:w="765"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Artikel</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XV. Sociale Zaken &amp; Werkgelegenheid</w:t>
            </w:r>
          </w:p>
        </w:tc>
        <w:tc>
          <w:tcPr>
            <w:tcW w:w="1798" w:type="dxa"/>
            <w:tcBorders>
              <w:top w:val="nil"/>
              <w:left w:val="nil"/>
              <w:bottom w:val="single" w:color="auto" w:sz="4" w:space="0"/>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Corresponderende begroting</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2013</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2014</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2015</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2016</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2017</w:t>
            </w:r>
          </w:p>
        </w:tc>
        <w:tc>
          <w:tcPr>
            <w:tcW w:w="9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2018</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Uitgaven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hideMark/>
          </w:tcPr>
          <w:p w:rsidRPr="002F228B" w:rsidR="002F228B" w:rsidP="002F228B" w:rsidRDefault="002F228B">
            <w:pPr>
              <w:spacing w:line="240" w:lineRule="auto"/>
              <w:jc w:val="center"/>
              <w:rPr>
                <w:rFonts w:cs="Arial"/>
                <w:b/>
                <w:bCs/>
                <w:sz w:val="16"/>
                <w:szCs w:val="16"/>
              </w:rPr>
            </w:pPr>
            <w:r w:rsidRPr="002F228B">
              <w:rPr>
                <w:rFonts w:cs="Arial"/>
                <w:b/>
                <w:bCs/>
                <w:sz w:val="16"/>
                <w:szCs w:val="16"/>
              </w:rPr>
              <w:t>13</w:t>
            </w:r>
          </w:p>
        </w:tc>
        <w:tc>
          <w:tcPr>
            <w:tcW w:w="4800" w:type="dxa"/>
            <w:tcBorders>
              <w:top w:val="nil"/>
              <w:left w:val="nil"/>
              <w:bottom w:val="nil"/>
              <w:right w:val="nil"/>
            </w:tcBorders>
            <w:shd w:val="clear" w:color="auto" w:fill="auto"/>
            <w:hideMark/>
          </w:tcPr>
          <w:p w:rsidRPr="002F228B" w:rsidR="002F228B" w:rsidP="002F228B" w:rsidRDefault="002F228B">
            <w:pPr>
              <w:spacing w:line="240" w:lineRule="auto"/>
              <w:rPr>
                <w:rFonts w:cs="Arial"/>
                <w:b/>
                <w:bCs/>
                <w:sz w:val="16"/>
                <w:szCs w:val="16"/>
              </w:rPr>
            </w:pPr>
            <w:r w:rsidRPr="002F228B">
              <w:rPr>
                <w:rFonts w:cs="Arial"/>
                <w:b/>
                <w:bCs/>
                <w:sz w:val="16"/>
                <w:szCs w:val="16"/>
              </w:rPr>
              <w:t xml:space="preserve">Integratie en maatschappelijke samenhang </w:t>
            </w:r>
          </w:p>
        </w:tc>
        <w:tc>
          <w:tcPr>
            <w:tcW w:w="1798" w:type="dxa"/>
            <w:tcBorders>
              <w:top w:val="nil"/>
              <w:left w:val="nil"/>
              <w:bottom w:val="nil"/>
              <w:right w:val="nil"/>
            </w:tcBorders>
            <w:shd w:val="clear" w:color="auto" w:fill="auto"/>
            <w:noWrap/>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xml:space="preserve">Subsidies </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13.12.1</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Forum </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5,8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5,7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3,2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3,2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3,2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0,7</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xml:space="preserve">13.12.2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Landelijk Overleg Minderheden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0,8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 xml:space="preserve">0,0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 xml:space="preserve">0,0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xml:space="preserve">13.12.3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Vluchtelingenwerk Nederland e.a. </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1,0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Leningen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xml:space="preserve">PM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Dienst Uitvoering Onderwijs (DUO)</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15,1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30,1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30,1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30,1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30,1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30,1</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Opdrachten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xml:space="preserve">13.13.1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Programma inburgering </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7,6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10,1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15,5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15,5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16,5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16,4</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xml:space="preserve">13.13.2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Programma integratie </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12,0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5,4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xml:space="preserve">13.13.3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Remigratie </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1,7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1,7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1,7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1,7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1,7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1,7</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xml:space="preserve">Bijdrage aan </w:t>
            </w:r>
            <w:proofErr w:type="spellStart"/>
            <w:r w:rsidRPr="002F228B">
              <w:rPr>
                <w:rFonts w:cs="Arial"/>
                <w:i/>
                <w:iCs/>
                <w:sz w:val="16"/>
                <w:szCs w:val="16"/>
              </w:rPr>
              <w:t>mede-overheden</w:t>
            </w:r>
            <w:proofErr w:type="spellEnd"/>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xml:space="preserve">13.19.1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Uitvoering Wet Inburgering </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73,7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xml:space="preserve">Bijdrage aan </w:t>
            </w:r>
            <w:proofErr w:type="spellStart"/>
            <w:r w:rsidRPr="002F228B">
              <w:rPr>
                <w:rFonts w:cs="Arial"/>
                <w:i/>
                <w:iCs/>
                <w:sz w:val="16"/>
                <w:szCs w:val="16"/>
              </w:rPr>
              <w:t>ZBO's</w:t>
            </w:r>
            <w:proofErr w:type="spellEnd"/>
            <w:r w:rsidRPr="002F228B">
              <w:rPr>
                <w:rFonts w:cs="Arial"/>
                <w:i/>
                <w:iCs/>
                <w:sz w:val="16"/>
                <w:szCs w:val="16"/>
              </w:rPr>
              <w:t xml:space="preserve"> </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c>
          <w:tcPr>
            <w:tcW w:w="960" w:type="dxa"/>
            <w:tcBorders>
              <w:top w:val="nil"/>
              <w:left w:val="nil"/>
              <w:bottom w:val="nil"/>
              <w:right w:val="nil"/>
            </w:tcBorders>
            <w:shd w:val="clear" w:color="auto" w:fill="auto"/>
            <w:noWrap/>
            <w:hideMark/>
          </w:tcPr>
          <w:p w:rsidRPr="002F228B" w:rsidR="002F228B" w:rsidP="002F228B" w:rsidRDefault="002F228B">
            <w:pPr>
              <w:spacing w:line="240" w:lineRule="auto"/>
              <w:jc w:val="right"/>
              <w:rPr>
                <w:rFonts w:cs="Arial"/>
                <w:sz w:val="16"/>
                <w:szCs w:val="16"/>
              </w:rPr>
            </w:pPr>
            <w:r w:rsidRPr="002F228B">
              <w:rPr>
                <w:rFonts w:cs="Arial"/>
                <w:sz w:val="16"/>
                <w:szCs w:val="16"/>
              </w:rPr>
              <w:t>0,0</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xml:space="preserve">13.15.1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Centraal Orgaan opvang asielzoekers </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4,1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4,1</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xml:space="preserve">13.15.2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Sociale Verzekeringsbank</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36,4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36,1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35,3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35,0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36,5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36,5</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 xml:space="preserve">Bijdrage aan </w:t>
            </w:r>
            <w:proofErr w:type="spellStart"/>
            <w:r w:rsidRPr="002F228B">
              <w:rPr>
                <w:rFonts w:cs="Arial"/>
                <w:i/>
                <w:iCs/>
                <w:sz w:val="16"/>
                <w:szCs w:val="16"/>
              </w:rPr>
              <w:t>baten-lastendiensten</w:t>
            </w:r>
            <w:proofErr w:type="spellEnd"/>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13.18.1</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Dienst Uitvoering Onderwijs (DUO)</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18,6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17,3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15,8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16,3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16,3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16,3</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r w:rsidRPr="002F228B">
              <w:rPr>
                <w:rFonts w:cs="Arial"/>
                <w:b/>
                <w:bCs/>
                <w:sz w:val="16"/>
                <w:szCs w:val="16"/>
              </w:rPr>
              <w:t>96</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Apparaat</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sz w:val="16"/>
                <w:szCs w:val="16"/>
              </w:rPr>
            </w:pPr>
            <w:r w:rsidRPr="002F228B">
              <w:rPr>
                <w:rFonts w:cs="Arial"/>
                <w:i/>
                <w:iCs/>
                <w:sz w:val="16"/>
                <w:szCs w:val="16"/>
              </w:rPr>
              <w:t>apparaatuitgaven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xml:space="preserve">96.20.1 </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Eigen personeel</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7,9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7,5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7,4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7,3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7,3</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r w:rsidRPr="002F228B">
              <w:rPr>
                <w:rFonts w:cs="Arial"/>
                <w:b/>
                <w:bCs/>
                <w:sz w:val="16"/>
                <w:szCs w:val="16"/>
              </w:rPr>
              <w:t>99</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Nominaal en onvoorzien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i/>
                <w:iCs/>
                <w:color w:val="000000"/>
                <w:szCs w:val="18"/>
              </w:rPr>
            </w:pPr>
            <w:r w:rsidRPr="002F228B">
              <w:rPr>
                <w:rFonts w:cs="Arial"/>
                <w:i/>
                <w:iCs/>
                <w:color w:val="000000"/>
                <w:szCs w:val="18"/>
              </w:rPr>
              <w:t>overige beleidsuitgaven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color w:val="FF0000"/>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99.21.1</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Onvoorzien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0,0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0,1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-0,2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-0,8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-1,1</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uitgaven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180,9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129,0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120,7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119,5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121,4</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112,1</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Niet-belastingontvangsten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hideMark/>
          </w:tcPr>
          <w:p w:rsidRPr="002F228B" w:rsidR="002F228B" w:rsidP="002F228B" w:rsidRDefault="002F228B">
            <w:pPr>
              <w:spacing w:line="240" w:lineRule="auto"/>
              <w:rPr>
                <w:rFonts w:cs="Arial"/>
                <w:sz w:val="16"/>
                <w:szCs w:val="16"/>
              </w:rPr>
            </w:pPr>
          </w:p>
        </w:tc>
        <w:tc>
          <w:tcPr>
            <w:tcW w:w="1798" w:type="dxa"/>
            <w:tcBorders>
              <w:top w:val="nil"/>
              <w:left w:val="nil"/>
              <w:bottom w:val="nil"/>
              <w:right w:val="nil"/>
            </w:tcBorders>
            <w:shd w:val="clear" w:color="auto" w:fill="auto"/>
            <w:noWrap/>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Ontvangsten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27,6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4,4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5,9 </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xml:space="preserve">        8,9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11,9</w:t>
            </w:r>
          </w:p>
        </w:tc>
      </w:tr>
      <w:tr w:rsidRPr="002F228B" w:rsidR="002F228B" w:rsidTr="002F228B">
        <w:trPr>
          <w:trHeight w:val="210"/>
        </w:trPr>
        <w:tc>
          <w:tcPr>
            <w:tcW w:w="765"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ascii="Arial" w:hAnsi="Arial"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ascii="Arial" w:hAnsi="Arial" w:cs="Arial"/>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ascii="Arial" w:hAnsi="Arial" w:cs="Arial"/>
                <w:sz w:val="16"/>
                <w:szCs w:val="16"/>
              </w:rPr>
            </w:pPr>
          </w:p>
        </w:tc>
      </w:tr>
      <w:tr w:rsidRPr="002F228B" w:rsidR="002F228B" w:rsidTr="002F228B">
        <w:trPr>
          <w:trHeight w:val="210"/>
        </w:trPr>
        <w:tc>
          <w:tcPr>
            <w:tcW w:w="765"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ascii="Arial" w:hAnsi="Arial" w:cs="Arial"/>
                <w:sz w:val="16"/>
                <w:szCs w:val="16"/>
              </w:rPr>
            </w:pPr>
            <w:r w:rsidRPr="002F228B">
              <w:rPr>
                <w:rFonts w:ascii="Arial" w:hAnsi="Arial" w:cs="Arial"/>
                <w:sz w:val="16"/>
                <w:szCs w:val="16"/>
              </w:rPr>
              <w:t> </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niet-belastingontvangsten</w:t>
            </w:r>
          </w:p>
        </w:tc>
        <w:tc>
          <w:tcPr>
            <w:tcW w:w="179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r w:rsidRPr="002F228B">
              <w:rPr>
                <w:rFonts w:cs="Arial"/>
                <w:b/>
                <w:bCs/>
                <w:i/>
                <w:i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27,6</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4,4</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4,4</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5,9</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8,9</w:t>
            </w:r>
          </w:p>
        </w:tc>
        <w:tc>
          <w:tcPr>
            <w:tcW w:w="9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11,9</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bedragen in miljoenen</w:t>
            </w:r>
            <w:r w:rsidR="005E5FAB">
              <w:rPr>
                <w:rFonts w:cs="Arial"/>
                <w:sz w:val="16"/>
                <w:szCs w:val="16"/>
              </w:rPr>
              <w:t xml:space="preserve"> euro</w:t>
            </w:r>
          </w:p>
        </w:tc>
        <w:tc>
          <w:tcPr>
            <w:tcW w:w="179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705"/>
        </w:trPr>
        <w:tc>
          <w:tcPr>
            <w:tcW w:w="7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Artikel</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XVI. Volksgezondheid, Welzijn en Sport</w:t>
            </w:r>
          </w:p>
        </w:tc>
        <w:tc>
          <w:tcPr>
            <w:tcW w:w="1798" w:type="dxa"/>
            <w:tcBorders>
              <w:top w:val="nil"/>
              <w:left w:val="nil"/>
              <w:bottom w:val="single" w:color="auto" w:sz="4" w:space="0"/>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Corresponderende begroting</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2013</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2014</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2015</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2016</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2017</w:t>
            </w:r>
          </w:p>
        </w:tc>
        <w:tc>
          <w:tcPr>
            <w:tcW w:w="9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Uitgaven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w:t>
            </w: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r w:rsidRPr="002F228B">
              <w:rPr>
                <w:rFonts w:cs="Arial"/>
                <w:sz w:val="16"/>
                <w:szCs w:val="16"/>
              </w:rPr>
              <w:t>Volksgezondheid</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-1,5</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4</w:t>
            </w: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r w:rsidRPr="002F228B">
              <w:rPr>
                <w:rFonts w:cs="Arial"/>
                <w:sz w:val="16"/>
                <w:szCs w:val="16"/>
              </w:rPr>
              <w:t>Zorgbreed beleid</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-1,9</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-1,9</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10</w:t>
            </w: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proofErr w:type="spellStart"/>
            <w:r w:rsidRPr="002F228B">
              <w:rPr>
                <w:rFonts w:cs="Arial"/>
                <w:sz w:val="16"/>
                <w:szCs w:val="16"/>
              </w:rPr>
              <w:t>Apparaatsuitgaven</w:t>
            </w:r>
            <w:proofErr w:type="spellEnd"/>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uitgaven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-3,5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-2,0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-3,5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-3,5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-3,5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-3,5</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Niet-belastingontvangsten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niet-belastingontvangsten</w:t>
            </w:r>
          </w:p>
        </w:tc>
        <w:tc>
          <w:tcPr>
            <w:tcW w:w="179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0,0</w:t>
            </w:r>
          </w:p>
        </w:tc>
      </w:tr>
      <w:tr w:rsidRPr="002F228B" w:rsidR="002F228B" w:rsidTr="002F228B">
        <w:trPr>
          <w:trHeight w:val="210"/>
        </w:trPr>
        <w:tc>
          <w:tcPr>
            <w:tcW w:w="7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 </w:t>
            </w:r>
          </w:p>
        </w:tc>
        <w:tc>
          <w:tcPr>
            <w:tcW w:w="179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r w:rsidRPr="002F228B">
              <w:rPr>
                <w:rFonts w:cs="Arial"/>
                <w:b/>
                <w:b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r>
    </w:tbl>
    <w:p w:rsidR="002F228B" w:rsidRDefault="002F228B">
      <w:pPr>
        <w:spacing w:after="200" w:line="276" w:lineRule="auto"/>
      </w:pPr>
    </w:p>
    <w:p w:rsidR="002F228B" w:rsidRDefault="002F228B">
      <w:pPr>
        <w:spacing w:after="200" w:line="276" w:lineRule="auto"/>
      </w:pPr>
      <w:r>
        <w:br w:type="page"/>
      </w:r>
    </w:p>
    <w:tbl>
      <w:tblPr>
        <w:tblW w:w="12808" w:type="dxa"/>
        <w:tblInd w:w="55" w:type="dxa"/>
        <w:tblCellMar>
          <w:left w:w="70" w:type="dxa"/>
          <w:right w:w="70" w:type="dxa"/>
        </w:tblCellMar>
        <w:tblLook w:val="04A0"/>
      </w:tblPr>
      <w:tblGrid>
        <w:gridCol w:w="760"/>
        <w:gridCol w:w="4800"/>
        <w:gridCol w:w="1798"/>
        <w:gridCol w:w="920"/>
        <w:gridCol w:w="920"/>
        <w:gridCol w:w="920"/>
        <w:gridCol w:w="920"/>
        <w:gridCol w:w="920"/>
        <w:gridCol w:w="960"/>
      </w:tblGrid>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bedragen in miljoenen</w:t>
            </w:r>
            <w:r w:rsidR="005E5FAB">
              <w:rPr>
                <w:rFonts w:cs="Arial"/>
                <w:sz w:val="16"/>
                <w:szCs w:val="16"/>
              </w:rPr>
              <w:t xml:space="preserve"> euro</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705"/>
        </w:trPr>
        <w:tc>
          <w:tcPr>
            <w:tcW w:w="7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Artikel</w:t>
            </w:r>
          </w:p>
        </w:tc>
        <w:tc>
          <w:tcPr>
            <w:tcW w:w="4800" w:type="dxa"/>
            <w:tcBorders>
              <w:top w:val="nil"/>
              <w:left w:val="nil"/>
              <w:bottom w:val="single" w:color="auto" w:sz="4" w:space="0"/>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XVII. Buitenlandse Handel &amp; Ontwikkelingssamenwerking</w:t>
            </w:r>
          </w:p>
        </w:tc>
        <w:tc>
          <w:tcPr>
            <w:tcW w:w="1688" w:type="dxa"/>
            <w:tcBorders>
              <w:top w:val="nil"/>
              <w:left w:val="nil"/>
              <w:bottom w:val="single" w:color="auto" w:sz="4" w:space="0"/>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Corresponderende begroting</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2013</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2014</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2015</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2016</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2017</w:t>
            </w:r>
          </w:p>
        </w:tc>
        <w:tc>
          <w:tcPr>
            <w:tcW w:w="9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Een sterke internationale concurrentiepositie</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89,2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82,0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68,4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66,1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60,5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61,5</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89,2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82,0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68,4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66,1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60,5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61,5</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Een sterke internationale concurrentiepositie</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14,3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9,3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1,8</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14,3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9,3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5,2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1,8</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1,8</w:t>
            </w:r>
          </w:p>
        </w:tc>
      </w:tr>
      <w:tr w:rsidRPr="002F228B" w:rsidR="002F228B" w:rsidTr="002F228B">
        <w:trPr>
          <w:trHeight w:val="210"/>
        </w:trPr>
        <w:tc>
          <w:tcPr>
            <w:tcW w:w="7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w:t>
            </w:r>
          </w:p>
        </w:tc>
        <w:tc>
          <w:tcPr>
            <w:tcW w:w="4800" w:type="dxa"/>
            <w:tcBorders>
              <w:top w:val="nil"/>
              <w:left w:val="nil"/>
              <w:bottom w:val="single" w:color="auto" w:sz="4" w:space="0"/>
              <w:right w:val="nil"/>
            </w:tcBorders>
            <w:shd w:val="clear" w:color="auto" w:fill="auto"/>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 </w:t>
            </w:r>
          </w:p>
        </w:tc>
        <w:tc>
          <w:tcPr>
            <w:tcW w:w="9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 </w:t>
            </w:r>
          </w:p>
        </w:tc>
      </w:tr>
    </w:tbl>
    <w:p w:rsidR="002F228B" w:rsidRDefault="002F228B">
      <w:pPr>
        <w:spacing w:after="200" w:line="276" w:lineRule="auto"/>
      </w:pPr>
    </w:p>
    <w:p w:rsidR="002F228B" w:rsidRDefault="002F228B">
      <w:pPr>
        <w:spacing w:after="200" w:line="276" w:lineRule="auto"/>
      </w:pPr>
      <w:r>
        <w:br w:type="page"/>
      </w:r>
    </w:p>
    <w:tbl>
      <w:tblPr>
        <w:tblW w:w="12808" w:type="dxa"/>
        <w:tblInd w:w="55" w:type="dxa"/>
        <w:tblCellMar>
          <w:left w:w="70" w:type="dxa"/>
          <w:right w:w="70" w:type="dxa"/>
        </w:tblCellMar>
        <w:tblLook w:val="04A0"/>
      </w:tblPr>
      <w:tblGrid>
        <w:gridCol w:w="760"/>
        <w:gridCol w:w="4800"/>
        <w:gridCol w:w="1798"/>
        <w:gridCol w:w="920"/>
        <w:gridCol w:w="920"/>
        <w:gridCol w:w="920"/>
        <w:gridCol w:w="920"/>
        <w:gridCol w:w="920"/>
        <w:gridCol w:w="960"/>
      </w:tblGrid>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bedragen in miljoenen</w:t>
            </w:r>
            <w:r w:rsidR="005E5FAB">
              <w:rPr>
                <w:rFonts w:cs="Arial"/>
                <w:sz w:val="16"/>
                <w:szCs w:val="16"/>
              </w:rPr>
              <w:t xml:space="preserve"> euro</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705"/>
        </w:trPr>
        <w:tc>
          <w:tcPr>
            <w:tcW w:w="7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Artikel</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XVIII. Wonen &amp; Rijksdienst</w:t>
            </w:r>
          </w:p>
        </w:tc>
        <w:tc>
          <w:tcPr>
            <w:tcW w:w="1688" w:type="dxa"/>
            <w:tcBorders>
              <w:top w:val="nil"/>
              <w:left w:val="nil"/>
              <w:bottom w:val="single" w:color="auto" w:sz="4" w:space="0"/>
              <w:right w:val="nil"/>
            </w:tcBorders>
            <w:shd w:val="clear" w:color="auto" w:fill="auto"/>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Corresponderende begroting</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2013</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2014</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2015</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2016</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2017</w:t>
            </w:r>
          </w:p>
        </w:tc>
        <w:tc>
          <w:tcPr>
            <w:tcW w:w="960" w:type="dxa"/>
            <w:tcBorders>
              <w:top w:val="single" w:color="auto" w:sz="4" w:space="0"/>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right"/>
              <w:rPr>
                <w:rFonts w:cs="Arial"/>
                <w:b/>
                <w:bCs/>
                <w:sz w:val="16"/>
                <w:szCs w:val="16"/>
              </w:rPr>
            </w:pPr>
            <w:r w:rsidRPr="002F228B">
              <w:rPr>
                <w:rFonts w:cs="Arial"/>
                <w:b/>
                <w:bCs/>
                <w:sz w:val="16"/>
                <w:szCs w:val="16"/>
              </w:rPr>
              <w:t>2018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Woningmarkt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2.880,4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3.085,3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3.228,9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3.436,8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3.693,6</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3.854,4</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2</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Woonomgeving en bouw</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32,6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28,1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32,4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32,4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32,3</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32,2</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3</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Kwaliteit Rijksdienst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29,4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28,6</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28,1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27,9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27,9</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27,8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4</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Uitvoering Rijkshuisvesting</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59,2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58,5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58,8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58,7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57,5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57,7</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5</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Rijksvastgoed- en ontwikkelingsbedrijf</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84,3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82,9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82,2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82,2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82,1</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82,1</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uitgaven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3.085,9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3.283,5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3.430,4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3.638,0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3.893,5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4.054,1</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sz w:val="16"/>
                <w:szCs w:val="16"/>
              </w:rPr>
            </w:pPr>
            <w:r w:rsidRPr="002F228B">
              <w:rPr>
                <w:rFonts w:cs="Arial"/>
                <w:b/>
                <w:bCs/>
                <w:sz w:val="16"/>
                <w:szCs w:val="16"/>
              </w:rPr>
              <w:t>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ind w:firstLine="160" w:firstLineChars="100"/>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1</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Woningmarkt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578,4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585,1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580,5</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576,7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595,0</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580,3</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2</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Woonomgeving en bouw</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0,1</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3</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Kwaliteit Rijksdienst</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0,3</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0,3</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4</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Uitvoering Rijkshuisvesting</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7</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0,4</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0,4</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0,4</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5</w:t>
            </w: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Rijksvastgoed- en ontwikkelingsbedrijf</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9</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175,2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174,3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173,8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173,8</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173,8</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sz w:val="16"/>
                <w:szCs w:val="16"/>
              </w:rPr>
            </w:pPr>
            <w:r w:rsidRPr="002F228B">
              <w:rPr>
                <w:rFonts w:cs="Arial"/>
                <w:sz w:val="16"/>
                <w:szCs w:val="16"/>
              </w:rPr>
              <w:t>173,8</w:t>
            </w: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sz w:val="16"/>
                <w:szCs w:val="16"/>
              </w:rPr>
            </w:pPr>
          </w:p>
        </w:tc>
      </w:tr>
      <w:tr w:rsidRPr="002F228B" w:rsidR="002F228B" w:rsidTr="002F228B">
        <w:trPr>
          <w:trHeight w:val="210"/>
        </w:trPr>
        <w:tc>
          <w:tcPr>
            <w:tcW w:w="7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p>
        </w:tc>
        <w:tc>
          <w:tcPr>
            <w:tcW w:w="480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rPr>
                <w:rFonts w:cs="Arial"/>
                <w:b/>
                <w:bCs/>
                <w:i/>
                <w:iCs/>
                <w:sz w:val="16"/>
                <w:szCs w:val="16"/>
              </w:rPr>
            </w:pPr>
            <w:r w:rsidRPr="002F228B">
              <w:rPr>
                <w:rFonts w:cs="Arial"/>
                <w:b/>
                <w:bCs/>
                <w:i/>
                <w:iCs/>
                <w:sz w:val="16"/>
                <w:szCs w:val="16"/>
              </w:rPr>
              <w:t>Totaal mutaties niet-belastingontvangsten</w:t>
            </w:r>
          </w:p>
        </w:tc>
        <w:tc>
          <w:tcPr>
            <w:tcW w:w="1688"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center"/>
              <w:rPr>
                <w:rFonts w:cs="Arial"/>
                <w:b/>
                <w:bCs/>
                <w:i/>
                <w:iCs/>
                <w:sz w:val="16"/>
                <w:szCs w:val="16"/>
              </w:rPr>
            </w:pP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754,3</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760,1</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755,0</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751,2</w:t>
            </w:r>
          </w:p>
        </w:tc>
        <w:tc>
          <w:tcPr>
            <w:tcW w:w="92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769,5</w:t>
            </w:r>
          </w:p>
        </w:tc>
        <w:tc>
          <w:tcPr>
            <w:tcW w:w="960" w:type="dxa"/>
            <w:tcBorders>
              <w:top w:val="nil"/>
              <w:left w:val="nil"/>
              <w:bottom w:val="nil"/>
              <w:right w:val="nil"/>
            </w:tcBorders>
            <w:shd w:val="clear" w:color="auto" w:fill="auto"/>
            <w:noWrap/>
            <w:vAlign w:val="bottom"/>
            <w:hideMark/>
          </w:tcPr>
          <w:p w:rsidRPr="002F228B" w:rsidR="002F228B" w:rsidP="002F228B" w:rsidRDefault="002F228B">
            <w:pPr>
              <w:spacing w:line="240" w:lineRule="auto"/>
              <w:jc w:val="right"/>
              <w:rPr>
                <w:rFonts w:cs="Arial"/>
                <w:b/>
                <w:bCs/>
                <w:i/>
                <w:iCs/>
                <w:sz w:val="16"/>
                <w:szCs w:val="16"/>
              </w:rPr>
            </w:pPr>
            <w:r w:rsidRPr="002F228B">
              <w:rPr>
                <w:rFonts w:cs="Arial"/>
                <w:b/>
                <w:bCs/>
                <w:i/>
                <w:iCs/>
                <w:sz w:val="16"/>
                <w:szCs w:val="16"/>
              </w:rPr>
              <w:t>754,9</w:t>
            </w:r>
          </w:p>
        </w:tc>
      </w:tr>
      <w:tr w:rsidRPr="002F228B" w:rsidR="002F228B" w:rsidTr="002F228B">
        <w:trPr>
          <w:trHeight w:val="210"/>
        </w:trPr>
        <w:tc>
          <w:tcPr>
            <w:tcW w:w="7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w:t>
            </w:r>
          </w:p>
        </w:tc>
        <w:tc>
          <w:tcPr>
            <w:tcW w:w="480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1688"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jc w:val="center"/>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2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c>
          <w:tcPr>
            <w:tcW w:w="960" w:type="dxa"/>
            <w:tcBorders>
              <w:top w:val="nil"/>
              <w:left w:val="nil"/>
              <w:bottom w:val="single" w:color="auto" w:sz="4" w:space="0"/>
              <w:right w:val="nil"/>
            </w:tcBorders>
            <w:shd w:val="clear" w:color="auto" w:fill="auto"/>
            <w:noWrap/>
            <w:vAlign w:val="bottom"/>
            <w:hideMark/>
          </w:tcPr>
          <w:p w:rsidRPr="002F228B" w:rsidR="002F228B" w:rsidP="002F228B" w:rsidRDefault="002F228B">
            <w:pPr>
              <w:spacing w:line="240" w:lineRule="auto"/>
              <w:rPr>
                <w:rFonts w:cs="Arial"/>
                <w:sz w:val="16"/>
                <w:szCs w:val="16"/>
              </w:rPr>
            </w:pPr>
            <w:r w:rsidRPr="002F228B">
              <w:rPr>
                <w:rFonts w:cs="Arial"/>
                <w:sz w:val="16"/>
                <w:szCs w:val="16"/>
              </w:rPr>
              <w:t> </w:t>
            </w:r>
          </w:p>
        </w:tc>
      </w:tr>
    </w:tbl>
    <w:p w:rsidR="00493687" w:rsidP="002F228B" w:rsidRDefault="00493687">
      <w:pPr>
        <w:spacing w:after="200" w:line="276" w:lineRule="auto"/>
      </w:pPr>
    </w:p>
    <w:sectPr w:rsidR="00493687" w:rsidSect="00504C5D">
      <w:pgSz w:w="16838" w:h="11906" w:orient="landscape" w:code="9"/>
      <w:pgMar w:top="1418" w:right="1418" w:bottom="1418" w:left="1418"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28B" w:rsidRDefault="002F228B" w:rsidP="002F228B">
      <w:pPr>
        <w:spacing w:line="240" w:lineRule="auto"/>
      </w:pPr>
      <w:r>
        <w:separator/>
      </w:r>
    </w:p>
  </w:endnote>
  <w:endnote w:type="continuationSeparator" w:id="0">
    <w:p w:rsidR="002F228B" w:rsidRDefault="002F228B" w:rsidP="002F22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28B" w:rsidRDefault="002F228B" w:rsidP="002F228B">
      <w:pPr>
        <w:spacing w:line="240" w:lineRule="auto"/>
      </w:pPr>
      <w:r>
        <w:separator/>
      </w:r>
    </w:p>
  </w:footnote>
  <w:footnote w:type="continuationSeparator" w:id="0">
    <w:p w:rsidR="002F228B" w:rsidRDefault="002F228B" w:rsidP="002F228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90"/>
  <w:displayHorizontalDrawingGridEvery w:val="2"/>
  <w:characterSpacingControl w:val="doNotCompress"/>
  <w:footnotePr>
    <w:footnote w:id="-1"/>
    <w:footnote w:id="0"/>
  </w:footnotePr>
  <w:endnotePr>
    <w:endnote w:id="-1"/>
    <w:endnote w:id="0"/>
  </w:endnotePr>
  <w:compat/>
  <w:rsids>
    <w:rsidRoot w:val="00493687"/>
    <w:rsid w:val="00053E51"/>
    <w:rsid w:val="0006226C"/>
    <w:rsid w:val="001607E6"/>
    <w:rsid w:val="00167829"/>
    <w:rsid w:val="00177C20"/>
    <w:rsid w:val="001C1353"/>
    <w:rsid w:val="001C6F93"/>
    <w:rsid w:val="00220A9F"/>
    <w:rsid w:val="002A62AA"/>
    <w:rsid w:val="002D73F8"/>
    <w:rsid w:val="002E4C31"/>
    <w:rsid w:val="002F228B"/>
    <w:rsid w:val="003177E6"/>
    <w:rsid w:val="0033605B"/>
    <w:rsid w:val="00343E60"/>
    <w:rsid w:val="0038145B"/>
    <w:rsid w:val="003958E5"/>
    <w:rsid w:val="0039651C"/>
    <w:rsid w:val="003B4ED7"/>
    <w:rsid w:val="003E17CB"/>
    <w:rsid w:val="003F1D28"/>
    <w:rsid w:val="00493687"/>
    <w:rsid w:val="004E0927"/>
    <w:rsid w:val="00504C5D"/>
    <w:rsid w:val="0052678E"/>
    <w:rsid w:val="005A178E"/>
    <w:rsid w:val="005A3DE5"/>
    <w:rsid w:val="005A40D1"/>
    <w:rsid w:val="005E5FAB"/>
    <w:rsid w:val="006060D1"/>
    <w:rsid w:val="006B50F4"/>
    <w:rsid w:val="006D0502"/>
    <w:rsid w:val="006F6AE2"/>
    <w:rsid w:val="00725D86"/>
    <w:rsid w:val="007332AE"/>
    <w:rsid w:val="007438B3"/>
    <w:rsid w:val="007A228F"/>
    <w:rsid w:val="007C0735"/>
    <w:rsid w:val="00833B8B"/>
    <w:rsid w:val="008F3303"/>
    <w:rsid w:val="0090232E"/>
    <w:rsid w:val="00935087"/>
    <w:rsid w:val="009523E4"/>
    <w:rsid w:val="00983D01"/>
    <w:rsid w:val="00992817"/>
    <w:rsid w:val="009B4941"/>
    <w:rsid w:val="009D4FAD"/>
    <w:rsid w:val="00AC30A4"/>
    <w:rsid w:val="00B03AD6"/>
    <w:rsid w:val="00B12DFE"/>
    <w:rsid w:val="00B20BE9"/>
    <w:rsid w:val="00BE39C6"/>
    <w:rsid w:val="00CC610D"/>
    <w:rsid w:val="00CE1C0A"/>
    <w:rsid w:val="00D97472"/>
    <w:rsid w:val="00DA51D3"/>
    <w:rsid w:val="00DD0CBA"/>
    <w:rsid w:val="00DE14E1"/>
    <w:rsid w:val="00E13320"/>
    <w:rsid w:val="00E279D2"/>
    <w:rsid w:val="00E60A8F"/>
    <w:rsid w:val="00F26E0F"/>
    <w:rsid w:val="00F83DF0"/>
    <w:rsid w:val="00FF665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3687"/>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harChar">
    <w:name w:val="Char Char"/>
    <w:basedOn w:val="Standaard"/>
    <w:rsid w:val="00493687"/>
    <w:pPr>
      <w:spacing w:after="160" w:line="240" w:lineRule="exact"/>
    </w:pPr>
    <w:rPr>
      <w:rFonts w:ascii="Tahoma" w:hAnsi="Tahoma"/>
      <w:sz w:val="20"/>
      <w:szCs w:val="20"/>
      <w:lang w:val="en-US" w:eastAsia="en-US"/>
    </w:rPr>
  </w:style>
  <w:style w:type="table" w:styleId="Lichtelijst-accent3">
    <w:name w:val="Light List Accent 3"/>
    <w:basedOn w:val="Standaardtabel"/>
    <w:uiPriority w:val="61"/>
    <w:rsid w:val="00CE1C0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emiddeldearcering1-accent3">
    <w:name w:val="Medium Shading 1 Accent 3"/>
    <w:basedOn w:val="Standaardtabel"/>
    <w:uiPriority w:val="63"/>
    <w:rsid w:val="00DA51D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chtearcering">
    <w:name w:val="Light Shading"/>
    <w:basedOn w:val="Standaardtabel"/>
    <w:uiPriority w:val="60"/>
    <w:rsid w:val="00DA51D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ntekst">
    <w:name w:val="Balloon Text"/>
    <w:basedOn w:val="Standaard"/>
    <w:link w:val="BallontekstChar"/>
    <w:uiPriority w:val="99"/>
    <w:semiHidden/>
    <w:unhideWhenUsed/>
    <w:rsid w:val="0006226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226C"/>
    <w:rPr>
      <w:rFonts w:ascii="Tahoma" w:eastAsia="Times New Roman" w:hAnsi="Tahoma" w:cs="Tahoma"/>
      <w:sz w:val="16"/>
      <w:szCs w:val="16"/>
      <w:lang w:eastAsia="nl-NL"/>
    </w:rPr>
  </w:style>
  <w:style w:type="paragraph" w:styleId="Koptekst">
    <w:name w:val="header"/>
    <w:basedOn w:val="Standaard"/>
    <w:link w:val="KoptekstChar"/>
    <w:uiPriority w:val="99"/>
    <w:semiHidden/>
    <w:unhideWhenUsed/>
    <w:rsid w:val="002F228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2F228B"/>
    <w:rPr>
      <w:rFonts w:ascii="Verdana" w:eastAsia="Times New Roman" w:hAnsi="Verdana" w:cs="Times New Roman"/>
      <w:sz w:val="18"/>
      <w:szCs w:val="24"/>
      <w:lang w:eastAsia="nl-NL"/>
    </w:rPr>
  </w:style>
  <w:style w:type="paragraph" w:styleId="Voettekst">
    <w:name w:val="footer"/>
    <w:basedOn w:val="Standaard"/>
    <w:link w:val="VoettekstChar"/>
    <w:uiPriority w:val="99"/>
    <w:semiHidden/>
    <w:unhideWhenUsed/>
    <w:rsid w:val="002F228B"/>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2F228B"/>
    <w:rPr>
      <w:rFonts w:ascii="Verdana" w:eastAsia="Times New Roman" w:hAnsi="Verdana" w:cs="Times New Roman"/>
      <w:sz w:val="18"/>
      <w:szCs w:val="24"/>
      <w:lang w:eastAsia="nl-NL"/>
    </w:rPr>
  </w:style>
</w:styles>
</file>

<file path=word/webSettings.xml><?xml version="1.0" encoding="utf-8"?>
<w:webSettings xmlns:r="http://schemas.openxmlformats.org/officeDocument/2006/relationships" xmlns:w="http://schemas.openxmlformats.org/wordprocessingml/2006/main">
  <w:divs>
    <w:div w:id="145319927">
      <w:bodyDiv w:val="1"/>
      <w:marLeft w:val="0"/>
      <w:marRight w:val="0"/>
      <w:marTop w:val="0"/>
      <w:marBottom w:val="0"/>
      <w:divBdr>
        <w:top w:val="none" w:sz="0" w:space="0" w:color="auto"/>
        <w:left w:val="none" w:sz="0" w:space="0" w:color="auto"/>
        <w:bottom w:val="none" w:sz="0" w:space="0" w:color="auto"/>
        <w:right w:val="none" w:sz="0" w:space="0" w:color="auto"/>
      </w:divBdr>
    </w:div>
    <w:div w:id="278607534">
      <w:bodyDiv w:val="1"/>
      <w:marLeft w:val="0"/>
      <w:marRight w:val="0"/>
      <w:marTop w:val="0"/>
      <w:marBottom w:val="0"/>
      <w:divBdr>
        <w:top w:val="none" w:sz="0" w:space="0" w:color="auto"/>
        <w:left w:val="none" w:sz="0" w:space="0" w:color="auto"/>
        <w:bottom w:val="none" w:sz="0" w:space="0" w:color="auto"/>
        <w:right w:val="none" w:sz="0" w:space="0" w:color="auto"/>
      </w:divBdr>
    </w:div>
    <w:div w:id="378826529">
      <w:bodyDiv w:val="1"/>
      <w:marLeft w:val="0"/>
      <w:marRight w:val="0"/>
      <w:marTop w:val="0"/>
      <w:marBottom w:val="0"/>
      <w:divBdr>
        <w:top w:val="none" w:sz="0" w:space="0" w:color="auto"/>
        <w:left w:val="none" w:sz="0" w:space="0" w:color="auto"/>
        <w:bottom w:val="none" w:sz="0" w:space="0" w:color="auto"/>
        <w:right w:val="none" w:sz="0" w:space="0" w:color="auto"/>
      </w:divBdr>
    </w:div>
    <w:div w:id="772945645">
      <w:bodyDiv w:val="1"/>
      <w:marLeft w:val="0"/>
      <w:marRight w:val="0"/>
      <w:marTop w:val="0"/>
      <w:marBottom w:val="0"/>
      <w:divBdr>
        <w:top w:val="none" w:sz="0" w:space="0" w:color="auto"/>
        <w:left w:val="none" w:sz="0" w:space="0" w:color="auto"/>
        <w:bottom w:val="none" w:sz="0" w:space="0" w:color="auto"/>
        <w:right w:val="none" w:sz="0" w:space="0" w:color="auto"/>
      </w:divBdr>
    </w:div>
    <w:div w:id="778839633">
      <w:bodyDiv w:val="1"/>
      <w:marLeft w:val="0"/>
      <w:marRight w:val="0"/>
      <w:marTop w:val="0"/>
      <w:marBottom w:val="0"/>
      <w:divBdr>
        <w:top w:val="none" w:sz="0" w:space="0" w:color="auto"/>
        <w:left w:val="none" w:sz="0" w:space="0" w:color="auto"/>
        <w:bottom w:val="none" w:sz="0" w:space="0" w:color="auto"/>
        <w:right w:val="none" w:sz="0" w:space="0" w:color="auto"/>
      </w:divBdr>
    </w:div>
    <w:div w:id="831331491">
      <w:bodyDiv w:val="1"/>
      <w:marLeft w:val="0"/>
      <w:marRight w:val="0"/>
      <w:marTop w:val="0"/>
      <w:marBottom w:val="0"/>
      <w:divBdr>
        <w:top w:val="none" w:sz="0" w:space="0" w:color="auto"/>
        <w:left w:val="none" w:sz="0" w:space="0" w:color="auto"/>
        <w:bottom w:val="none" w:sz="0" w:space="0" w:color="auto"/>
        <w:right w:val="none" w:sz="0" w:space="0" w:color="auto"/>
      </w:divBdr>
    </w:div>
    <w:div w:id="854614606">
      <w:bodyDiv w:val="1"/>
      <w:marLeft w:val="0"/>
      <w:marRight w:val="0"/>
      <w:marTop w:val="0"/>
      <w:marBottom w:val="0"/>
      <w:divBdr>
        <w:top w:val="none" w:sz="0" w:space="0" w:color="auto"/>
        <w:left w:val="none" w:sz="0" w:space="0" w:color="auto"/>
        <w:bottom w:val="none" w:sz="0" w:space="0" w:color="auto"/>
        <w:right w:val="none" w:sz="0" w:space="0" w:color="auto"/>
      </w:divBdr>
    </w:div>
    <w:div w:id="879786867">
      <w:bodyDiv w:val="1"/>
      <w:marLeft w:val="0"/>
      <w:marRight w:val="0"/>
      <w:marTop w:val="0"/>
      <w:marBottom w:val="0"/>
      <w:divBdr>
        <w:top w:val="none" w:sz="0" w:space="0" w:color="auto"/>
        <w:left w:val="none" w:sz="0" w:space="0" w:color="auto"/>
        <w:bottom w:val="none" w:sz="0" w:space="0" w:color="auto"/>
        <w:right w:val="none" w:sz="0" w:space="0" w:color="auto"/>
      </w:divBdr>
    </w:div>
    <w:div w:id="986055721">
      <w:bodyDiv w:val="1"/>
      <w:marLeft w:val="0"/>
      <w:marRight w:val="0"/>
      <w:marTop w:val="0"/>
      <w:marBottom w:val="0"/>
      <w:divBdr>
        <w:top w:val="none" w:sz="0" w:space="0" w:color="auto"/>
        <w:left w:val="none" w:sz="0" w:space="0" w:color="auto"/>
        <w:bottom w:val="none" w:sz="0" w:space="0" w:color="auto"/>
        <w:right w:val="none" w:sz="0" w:space="0" w:color="auto"/>
      </w:divBdr>
    </w:div>
    <w:div w:id="988168674">
      <w:bodyDiv w:val="1"/>
      <w:marLeft w:val="0"/>
      <w:marRight w:val="0"/>
      <w:marTop w:val="0"/>
      <w:marBottom w:val="0"/>
      <w:divBdr>
        <w:top w:val="none" w:sz="0" w:space="0" w:color="auto"/>
        <w:left w:val="none" w:sz="0" w:space="0" w:color="auto"/>
        <w:bottom w:val="none" w:sz="0" w:space="0" w:color="auto"/>
        <w:right w:val="none" w:sz="0" w:space="0" w:color="auto"/>
      </w:divBdr>
    </w:div>
    <w:div w:id="1199660960">
      <w:bodyDiv w:val="1"/>
      <w:marLeft w:val="0"/>
      <w:marRight w:val="0"/>
      <w:marTop w:val="0"/>
      <w:marBottom w:val="0"/>
      <w:divBdr>
        <w:top w:val="none" w:sz="0" w:space="0" w:color="auto"/>
        <w:left w:val="none" w:sz="0" w:space="0" w:color="auto"/>
        <w:bottom w:val="none" w:sz="0" w:space="0" w:color="auto"/>
        <w:right w:val="none" w:sz="0" w:space="0" w:color="auto"/>
      </w:divBdr>
    </w:div>
    <w:div w:id="1626037169">
      <w:bodyDiv w:val="1"/>
      <w:marLeft w:val="0"/>
      <w:marRight w:val="0"/>
      <w:marTop w:val="0"/>
      <w:marBottom w:val="0"/>
      <w:divBdr>
        <w:top w:val="none" w:sz="0" w:space="0" w:color="auto"/>
        <w:left w:val="none" w:sz="0" w:space="0" w:color="auto"/>
        <w:bottom w:val="none" w:sz="0" w:space="0" w:color="auto"/>
        <w:right w:val="none" w:sz="0" w:space="0" w:color="auto"/>
      </w:divBdr>
    </w:div>
    <w:div w:id="1641184617">
      <w:bodyDiv w:val="1"/>
      <w:marLeft w:val="0"/>
      <w:marRight w:val="0"/>
      <w:marTop w:val="0"/>
      <w:marBottom w:val="0"/>
      <w:divBdr>
        <w:top w:val="none" w:sz="0" w:space="0" w:color="auto"/>
        <w:left w:val="none" w:sz="0" w:space="0" w:color="auto"/>
        <w:bottom w:val="none" w:sz="0" w:space="0" w:color="auto"/>
        <w:right w:val="none" w:sz="0" w:space="0" w:color="auto"/>
      </w:divBdr>
    </w:div>
    <w:div w:id="1693845883">
      <w:bodyDiv w:val="1"/>
      <w:marLeft w:val="0"/>
      <w:marRight w:val="0"/>
      <w:marTop w:val="0"/>
      <w:marBottom w:val="0"/>
      <w:divBdr>
        <w:top w:val="none" w:sz="0" w:space="0" w:color="auto"/>
        <w:left w:val="none" w:sz="0" w:space="0" w:color="auto"/>
        <w:bottom w:val="none" w:sz="0" w:space="0" w:color="auto"/>
        <w:right w:val="none" w:sz="0" w:space="0" w:color="auto"/>
      </w:divBdr>
    </w:div>
    <w:div w:id="2004358797">
      <w:bodyDiv w:val="1"/>
      <w:marLeft w:val="0"/>
      <w:marRight w:val="0"/>
      <w:marTop w:val="0"/>
      <w:marBottom w:val="0"/>
      <w:divBdr>
        <w:top w:val="none" w:sz="0" w:space="0" w:color="auto"/>
        <w:left w:val="none" w:sz="0" w:space="0" w:color="auto"/>
        <w:bottom w:val="none" w:sz="0" w:space="0" w:color="auto"/>
        <w:right w:val="none" w:sz="0" w:space="0" w:color="auto"/>
      </w:divBdr>
    </w:div>
    <w:div w:id="21170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1965</ap:Words>
  <ap:Characters>10813</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2012-12-04T13:02:00.0000000Z</dcterms:created>
  <dcterms:modified xsi:type="dcterms:W3CDTF">2012-12-07T12:46:00.0000000Z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0x010100F7FADF90B91B7646B3F94E8B98891E8E</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