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E447D" w:rsidR="00B35FDC" w:rsidP="00B35FDC" w:rsidRDefault="000B4367">
      <w:pPr>
        <w:pStyle w:val="Default"/>
        <w:spacing w:line="360" w:lineRule="auto"/>
        <w:rPr>
          <w:rFonts w:ascii="Verdana" w:hAnsi="Verdana"/>
          <w:b/>
          <w:szCs w:val="28"/>
        </w:rPr>
      </w:pPr>
      <w:r>
        <w:rPr>
          <w:rFonts w:ascii="Verdana" w:hAnsi="Verdana"/>
          <w:b/>
          <w:szCs w:val="28"/>
        </w:rPr>
        <w:t>Bijlage 1</w:t>
      </w:r>
      <w:r>
        <w:rPr>
          <w:rFonts w:ascii="Verdana" w:hAnsi="Verdana"/>
          <w:b/>
          <w:szCs w:val="28"/>
        </w:rPr>
        <w:tab/>
      </w:r>
      <w:r w:rsidRPr="006E447D" w:rsidR="00B35FDC">
        <w:rPr>
          <w:rFonts w:ascii="Verdana" w:hAnsi="Verdana"/>
          <w:b/>
          <w:szCs w:val="28"/>
        </w:rPr>
        <w:t>Begrotingsregels  2013 - 2017</w:t>
      </w:r>
    </w:p>
    <w:p w:rsidRPr="00274049" w:rsidR="00B35FDC" w:rsidP="00B35FDC" w:rsidRDefault="00B35FDC">
      <w:pPr>
        <w:pStyle w:val="Default"/>
        <w:spacing w:line="360" w:lineRule="auto"/>
        <w:rPr>
          <w:rFonts w:ascii="Verdana" w:hAnsi="Verdana" w:cs="Arial"/>
          <w:b/>
          <w:bCs/>
          <w:sz w:val="18"/>
          <w:szCs w:val="18"/>
        </w:rPr>
      </w:pPr>
    </w:p>
    <w:p w:rsidRPr="00274049" w:rsidR="00B35FDC" w:rsidP="00B35FDC" w:rsidRDefault="00B35FDC">
      <w:pPr>
        <w:pStyle w:val="Default"/>
        <w:spacing w:line="360" w:lineRule="auto"/>
        <w:rPr>
          <w:rFonts w:ascii="Verdana" w:hAnsi="Verdana" w:cs="Arial"/>
          <w:b/>
          <w:bCs/>
        </w:rPr>
      </w:pPr>
      <w:r w:rsidRPr="00274049">
        <w:rPr>
          <w:rFonts w:ascii="Verdana" w:hAnsi="Verdana" w:cs="Arial"/>
          <w:b/>
          <w:bCs/>
        </w:rPr>
        <w:t xml:space="preserve">Inleiding </w:t>
      </w:r>
    </w:p>
    <w:p w:rsidRPr="00274049" w:rsidR="002A50E3" w:rsidP="00B35FDC" w:rsidRDefault="002A50E3">
      <w:pPr>
        <w:pStyle w:val="Default"/>
        <w:spacing w:line="360" w:lineRule="auto"/>
        <w:rPr>
          <w:rFonts w:ascii="Verdana" w:hAnsi="Verdana"/>
          <w:color w:val="auto"/>
          <w:sz w:val="18"/>
          <w:szCs w:val="18"/>
        </w:rPr>
      </w:pPr>
    </w:p>
    <w:p w:rsidRPr="00274049" w:rsidR="00895A0F" w:rsidP="00895A0F" w:rsidRDefault="00B35FDC">
      <w:pPr>
        <w:pStyle w:val="Default"/>
        <w:spacing w:line="360" w:lineRule="auto"/>
        <w:rPr>
          <w:rFonts w:ascii="Verdana" w:hAnsi="Verdana"/>
          <w:color w:val="auto"/>
          <w:sz w:val="18"/>
          <w:szCs w:val="18"/>
        </w:rPr>
      </w:pPr>
      <w:r w:rsidRPr="00274049">
        <w:rPr>
          <w:rFonts w:ascii="Verdana" w:hAnsi="Verdana"/>
          <w:color w:val="auto"/>
          <w:sz w:val="18"/>
          <w:szCs w:val="18"/>
        </w:rPr>
        <w:t xml:space="preserve">De begrotingsregels zijn de budgettaire spelregels waaraan de coalitie zich aan het begin van een regeringsperiode committeert om een verantwoord financieel beleid te kunnen voeren. Het doel van de begrotingsregels is zowel een doelmatige allocatie van middelen, als een beheersing van de overheidsfinanciën. De begrotingsregels equiperen de coalitie tot het voorkomen van een ongewenste ontwikkeling van het EMU-saldo en de EMU-schuld, </w:t>
      </w:r>
      <w:proofErr w:type="spellStart"/>
      <w:r w:rsidRPr="00274049">
        <w:rPr>
          <w:rFonts w:ascii="Verdana" w:hAnsi="Verdana"/>
          <w:color w:val="auto"/>
          <w:sz w:val="18"/>
          <w:szCs w:val="18"/>
        </w:rPr>
        <w:t>d.w.z</w:t>
      </w:r>
      <w:proofErr w:type="spellEnd"/>
      <w:r w:rsidRPr="00274049">
        <w:rPr>
          <w:rFonts w:ascii="Verdana" w:hAnsi="Verdana"/>
          <w:color w:val="auto"/>
          <w:sz w:val="18"/>
          <w:szCs w:val="18"/>
        </w:rPr>
        <w:t xml:space="preserve"> het voorkomen (of terugdringen) van een overschrijding van de in het </w:t>
      </w:r>
      <w:proofErr w:type="spellStart"/>
      <w:r w:rsidRPr="00274049">
        <w:rPr>
          <w:rFonts w:ascii="Verdana" w:hAnsi="Verdana"/>
          <w:color w:val="auto"/>
          <w:sz w:val="18"/>
          <w:szCs w:val="18"/>
        </w:rPr>
        <w:t>Stabiliteits</w:t>
      </w:r>
      <w:proofErr w:type="spellEnd"/>
      <w:r w:rsidRPr="00274049">
        <w:rPr>
          <w:rFonts w:ascii="Verdana" w:hAnsi="Verdana"/>
          <w:color w:val="auto"/>
          <w:sz w:val="18"/>
          <w:szCs w:val="18"/>
        </w:rPr>
        <w:t xml:space="preserve">- en Groeipact opgenomen referentiewaarden (maximaal </w:t>
      </w:r>
      <w:r w:rsidRPr="00274049" w:rsidR="00597805">
        <w:rPr>
          <w:rFonts w:ascii="Verdana" w:hAnsi="Verdana"/>
          <w:color w:val="auto"/>
          <w:sz w:val="18"/>
          <w:szCs w:val="18"/>
        </w:rPr>
        <w:t xml:space="preserve">een </w:t>
      </w:r>
      <w:r w:rsidRPr="00274049" w:rsidR="000D7EE6">
        <w:rPr>
          <w:rFonts w:ascii="Verdana" w:hAnsi="Verdana"/>
          <w:color w:val="auto"/>
          <w:sz w:val="18"/>
          <w:szCs w:val="18"/>
        </w:rPr>
        <w:t>EMU-</w:t>
      </w:r>
      <w:r w:rsidRPr="00274049" w:rsidR="00597805">
        <w:rPr>
          <w:rFonts w:ascii="Verdana" w:hAnsi="Verdana"/>
          <w:color w:val="auto"/>
          <w:sz w:val="18"/>
          <w:szCs w:val="18"/>
        </w:rPr>
        <w:t xml:space="preserve">tekort van </w:t>
      </w:r>
      <w:r w:rsidRPr="00274049">
        <w:rPr>
          <w:rFonts w:ascii="Verdana" w:hAnsi="Verdana"/>
          <w:color w:val="auto"/>
          <w:sz w:val="18"/>
          <w:szCs w:val="18"/>
        </w:rPr>
        <w:t xml:space="preserve">3 procent </w:t>
      </w:r>
      <w:proofErr w:type="spellStart"/>
      <w:r w:rsidRPr="00274049">
        <w:rPr>
          <w:rFonts w:ascii="Verdana" w:hAnsi="Verdana"/>
          <w:color w:val="auto"/>
          <w:sz w:val="18"/>
          <w:szCs w:val="18"/>
        </w:rPr>
        <w:t>bbp</w:t>
      </w:r>
      <w:proofErr w:type="spellEnd"/>
      <w:r w:rsidRPr="00274049">
        <w:rPr>
          <w:rFonts w:ascii="Verdana" w:hAnsi="Verdana"/>
          <w:color w:val="auto"/>
          <w:sz w:val="18"/>
          <w:szCs w:val="18"/>
        </w:rPr>
        <w:t xml:space="preserve"> en maximaal 60 procent </w:t>
      </w:r>
      <w:proofErr w:type="spellStart"/>
      <w:r w:rsidRPr="00274049">
        <w:rPr>
          <w:rFonts w:ascii="Verdana" w:hAnsi="Verdana"/>
          <w:color w:val="auto"/>
          <w:sz w:val="18"/>
          <w:szCs w:val="18"/>
        </w:rPr>
        <w:t>bbp</w:t>
      </w:r>
      <w:proofErr w:type="spellEnd"/>
      <w:r w:rsidRPr="00274049">
        <w:rPr>
          <w:rFonts w:ascii="Verdana" w:hAnsi="Verdana"/>
          <w:color w:val="auto"/>
          <w:sz w:val="18"/>
          <w:szCs w:val="18"/>
        </w:rPr>
        <w:t xml:space="preserve"> voor de EMU-schuld) en het respecteren van de doelen rondom de </w:t>
      </w:r>
      <w:proofErr w:type="spellStart"/>
      <w:r w:rsidRPr="00274049">
        <w:rPr>
          <w:rFonts w:ascii="Verdana" w:hAnsi="Verdana"/>
          <w:color w:val="auto"/>
          <w:sz w:val="18"/>
          <w:szCs w:val="18"/>
        </w:rPr>
        <w:t>Medium-Term</w:t>
      </w:r>
      <w:proofErr w:type="spellEnd"/>
      <w:r w:rsidRPr="00274049">
        <w:rPr>
          <w:rFonts w:ascii="Verdana" w:hAnsi="Verdana"/>
          <w:color w:val="auto"/>
          <w:sz w:val="18"/>
          <w:szCs w:val="18"/>
        </w:rPr>
        <w:t xml:space="preserve"> </w:t>
      </w:r>
      <w:proofErr w:type="spellStart"/>
      <w:r w:rsidRPr="00274049">
        <w:rPr>
          <w:rFonts w:ascii="Verdana" w:hAnsi="Verdana"/>
          <w:color w:val="auto"/>
          <w:sz w:val="18"/>
          <w:szCs w:val="18"/>
        </w:rPr>
        <w:t>Objective</w:t>
      </w:r>
      <w:proofErr w:type="spellEnd"/>
      <w:r w:rsidRPr="00274049">
        <w:rPr>
          <w:rFonts w:ascii="Verdana" w:hAnsi="Verdana"/>
          <w:color w:val="auto"/>
          <w:sz w:val="18"/>
          <w:szCs w:val="18"/>
        </w:rPr>
        <w:t xml:space="preserve"> (MTO). </w:t>
      </w:r>
      <w:r w:rsidRPr="00274049" w:rsidR="00895A0F">
        <w:rPr>
          <w:rFonts w:ascii="Verdana" w:hAnsi="Verdana"/>
          <w:color w:val="auto"/>
          <w:sz w:val="18"/>
          <w:szCs w:val="18"/>
        </w:rPr>
        <w:t>Het bereiken van gezonde overheidsfinanciën is een gezamenlijk doel van Rijk en medeoverheden, waarin beiden een verantwoordelijkheid hebben.</w:t>
      </w:r>
    </w:p>
    <w:p w:rsidRPr="00274049" w:rsidR="006E1501" w:rsidP="006E1501" w:rsidRDefault="006E1501">
      <w:pPr>
        <w:pStyle w:val="Default"/>
        <w:spacing w:line="360" w:lineRule="auto"/>
        <w:rPr>
          <w:rFonts w:ascii="Verdana" w:hAnsi="Verdana" w:cs="Arial"/>
          <w:sz w:val="18"/>
          <w:szCs w:val="18"/>
        </w:rPr>
      </w:pPr>
    </w:p>
    <w:p w:rsidRPr="00274049" w:rsidR="007D58C6" w:rsidP="007D58C6" w:rsidRDefault="007D58C6">
      <w:pPr>
        <w:pStyle w:val="Default"/>
        <w:spacing w:line="360" w:lineRule="auto"/>
        <w:rPr>
          <w:rFonts w:ascii="Verdana" w:hAnsi="Verdana"/>
          <w:color w:val="auto"/>
          <w:sz w:val="18"/>
          <w:szCs w:val="18"/>
        </w:rPr>
      </w:pPr>
      <w:r w:rsidRPr="00274049">
        <w:rPr>
          <w:rFonts w:ascii="Verdana" w:hAnsi="Verdana" w:cs="Arial"/>
          <w:sz w:val="18"/>
          <w:szCs w:val="18"/>
        </w:rPr>
        <w:t xml:space="preserve">Het kabinet houdt zich aan Europese begrotingsafspraken van het </w:t>
      </w:r>
      <w:proofErr w:type="spellStart"/>
      <w:r w:rsidRPr="00274049">
        <w:rPr>
          <w:rFonts w:ascii="Verdana" w:hAnsi="Verdana" w:cs="Arial"/>
          <w:sz w:val="18"/>
          <w:szCs w:val="18"/>
        </w:rPr>
        <w:t>Stabiliteits</w:t>
      </w:r>
      <w:proofErr w:type="spellEnd"/>
      <w:r w:rsidRPr="00274049">
        <w:rPr>
          <w:rFonts w:ascii="Verdana" w:hAnsi="Verdana" w:cs="Arial"/>
          <w:sz w:val="18"/>
          <w:szCs w:val="18"/>
        </w:rPr>
        <w:t xml:space="preserve">- en Groeipact. Het bedrag van 16 miljard netto besparingen, conform de aanbeveling van de Studiegroep Begrotingsruimte, stelt het kabinet in staat deze afspraken na te komen en leidt – in combinatie met onderliggende structurele hervormingen – tot een houdbaarheidsoverschot, zodat toekomstige schokken kunnen worden opgevangen en de Nederlandse economie weerbaar wordt voor financiële schokken. </w:t>
      </w:r>
    </w:p>
    <w:p w:rsidRPr="00274049" w:rsidR="006E1501" w:rsidP="00B35FDC" w:rsidRDefault="006E1501">
      <w:pPr>
        <w:pStyle w:val="Default"/>
        <w:spacing w:line="360" w:lineRule="auto"/>
        <w:rPr>
          <w:rFonts w:ascii="Verdana" w:hAnsi="Verdana"/>
          <w:color w:val="auto"/>
          <w:sz w:val="18"/>
          <w:szCs w:val="18"/>
        </w:rPr>
      </w:pPr>
    </w:p>
    <w:p w:rsidRPr="00274049" w:rsidR="00B35FDC" w:rsidP="00B35FDC" w:rsidRDefault="00B35FDC">
      <w:pPr>
        <w:pStyle w:val="Kop1"/>
        <w:numPr>
          <w:ilvl w:val="0"/>
          <w:numId w:val="0"/>
        </w:numPr>
        <w:rPr>
          <w:b w:val="0"/>
          <w:bCs w:val="0"/>
        </w:rPr>
      </w:pPr>
      <w:r w:rsidRPr="00274049">
        <w:rPr>
          <w:b w:val="0"/>
          <w:bCs w:val="0"/>
        </w:rPr>
        <w:t>De belangrijkste uitgangspunten van het trendmatig begrotingsbeleid blijven ongewijzigd:</w:t>
      </w:r>
    </w:p>
    <w:p w:rsidRPr="00274049" w:rsidR="00B35FDC" w:rsidP="00B35FDC" w:rsidRDefault="00B35FDC">
      <w:pPr>
        <w:pStyle w:val="Default"/>
        <w:spacing w:line="360" w:lineRule="auto"/>
        <w:rPr>
          <w:rFonts w:ascii="Verdana" w:hAnsi="Verdana" w:cs="Arial"/>
          <w:sz w:val="18"/>
          <w:szCs w:val="18"/>
        </w:rPr>
      </w:pPr>
    </w:p>
    <w:p w:rsidRPr="00274049" w:rsidR="00B35FDC" w:rsidP="00B35FDC" w:rsidRDefault="00B35FDC">
      <w:pPr>
        <w:pStyle w:val="Kop1"/>
        <w:numPr>
          <w:ilvl w:val="0"/>
          <w:numId w:val="40"/>
        </w:numPr>
        <w:rPr>
          <w:b w:val="0"/>
          <w:bCs w:val="0"/>
        </w:rPr>
      </w:pPr>
      <w:r w:rsidRPr="00274049">
        <w:rPr>
          <w:b w:val="0"/>
          <w:bCs w:val="0"/>
        </w:rPr>
        <w:t xml:space="preserve">Er geldt een scheiding tussen inkomsten en uitgaven. </w:t>
      </w:r>
    </w:p>
    <w:p w:rsidRPr="00274049" w:rsidR="00B35FDC" w:rsidP="00B35FDC" w:rsidRDefault="00B35FDC">
      <w:pPr>
        <w:pStyle w:val="Kop1"/>
        <w:numPr>
          <w:ilvl w:val="0"/>
          <w:numId w:val="40"/>
        </w:numPr>
        <w:rPr>
          <w:b w:val="0"/>
          <w:bCs w:val="0"/>
        </w:rPr>
      </w:pPr>
      <w:r w:rsidRPr="00274049">
        <w:rPr>
          <w:b w:val="0"/>
          <w:bCs w:val="0"/>
        </w:rPr>
        <w:t xml:space="preserve">Voor de uitgaven geldt een onderscheid in drie sectoren (Rijksbegroting in enge zin (RBG-eng), Sociale Zekerheid en Arbeidsmarktbeleid (SZA) en het Budgettair Kader Zorg (BKZ)). </w:t>
      </w:r>
    </w:p>
    <w:p w:rsidRPr="00274049" w:rsidR="00B35FDC" w:rsidP="00B35FDC" w:rsidRDefault="00B35FDC">
      <w:pPr>
        <w:pStyle w:val="Kop1"/>
        <w:numPr>
          <w:ilvl w:val="0"/>
          <w:numId w:val="40"/>
        </w:numPr>
        <w:rPr>
          <w:b w:val="0"/>
          <w:bCs w:val="0"/>
        </w:rPr>
      </w:pPr>
      <w:r w:rsidRPr="00274049">
        <w:rPr>
          <w:b w:val="0"/>
          <w:bCs w:val="0"/>
        </w:rPr>
        <w:t xml:space="preserve">Voor elke sector wordt een reëel uitgavenkader vastgesteld. </w:t>
      </w:r>
    </w:p>
    <w:p w:rsidRPr="00274049" w:rsidR="00B35FDC" w:rsidP="00B35FDC" w:rsidRDefault="00B35FDC">
      <w:pPr>
        <w:pStyle w:val="Kop1"/>
        <w:numPr>
          <w:ilvl w:val="0"/>
          <w:numId w:val="40"/>
        </w:numPr>
        <w:rPr>
          <w:b w:val="0"/>
          <w:bCs w:val="0"/>
        </w:rPr>
      </w:pPr>
      <w:r w:rsidRPr="00274049">
        <w:rPr>
          <w:b w:val="0"/>
          <w:bCs w:val="0"/>
        </w:rPr>
        <w:t xml:space="preserve">Elke sector behoort eventuele overschrijdingen binnen het desbetreffende uitgavenkader te compenseren. </w:t>
      </w:r>
    </w:p>
    <w:p w:rsidRPr="00274049" w:rsidR="00B35FDC" w:rsidP="00B35FDC" w:rsidRDefault="00B35FDC">
      <w:pPr>
        <w:pStyle w:val="Kop1"/>
        <w:numPr>
          <w:ilvl w:val="0"/>
          <w:numId w:val="40"/>
        </w:numPr>
        <w:rPr>
          <w:b w:val="0"/>
          <w:bCs w:val="0"/>
        </w:rPr>
      </w:pPr>
      <w:r w:rsidRPr="00274049">
        <w:rPr>
          <w:b w:val="0"/>
          <w:bCs w:val="0"/>
        </w:rPr>
        <w:t xml:space="preserve">Voor de inkomsten wordt een reëel inkomstenkader vastgesteld en wordt uitgegaan van automatische stabilisatie. </w:t>
      </w:r>
      <w:r w:rsidRPr="00274049" w:rsidR="00367B2B">
        <w:rPr>
          <w:b w:val="0"/>
          <w:szCs w:val="18"/>
        </w:rPr>
        <w:t xml:space="preserve">Concreet betekent dit dat een meevaller bij de inkomsten niet wordt gebruikt voor extra uitgaven. Andersom hoeft er niet direct bezuinigd te worden op de uitgaven wanneer er sprake is van een tegenvaller aan de inkomstenkant. </w:t>
      </w:r>
    </w:p>
    <w:p w:rsidRPr="00274049" w:rsidR="00B35FDC" w:rsidP="00B35FDC" w:rsidRDefault="00B35FDC">
      <w:pPr>
        <w:pStyle w:val="Default"/>
        <w:spacing w:line="360" w:lineRule="auto"/>
        <w:rPr>
          <w:rFonts w:ascii="Verdana" w:hAnsi="Verdana"/>
          <w:color w:val="auto"/>
          <w:sz w:val="18"/>
          <w:szCs w:val="18"/>
        </w:rPr>
      </w:pPr>
    </w:p>
    <w:p w:rsidRPr="00274049" w:rsidR="00285D8A" w:rsidP="00285D8A" w:rsidRDefault="00B35FDC">
      <w:pPr>
        <w:pStyle w:val="Kop1"/>
        <w:numPr>
          <w:ilvl w:val="0"/>
          <w:numId w:val="0"/>
        </w:numPr>
        <w:rPr>
          <w:b w:val="0"/>
          <w:bCs w:val="0"/>
        </w:rPr>
      </w:pPr>
      <w:r w:rsidRPr="00274049">
        <w:rPr>
          <w:b w:val="0"/>
          <w:szCs w:val="18"/>
        </w:rPr>
        <w:lastRenderedPageBreak/>
        <w:t xml:space="preserve">In het Regeerakkoord is gekozen voor een </w:t>
      </w:r>
      <w:r w:rsidRPr="00274049" w:rsidR="00155AC7">
        <w:rPr>
          <w:b w:val="0"/>
          <w:szCs w:val="18"/>
        </w:rPr>
        <w:t xml:space="preserve">aanpassing </w:t>
      </w:r>
      <w:r w:rsidRPr="00274049">
        <w:rPr>
          <w:b w:val="0"/>
          <w:szCs w:val="18"/>
        </w:rPr>
        <w:t xml:space="preserve">van </w:t>
      </w:r>
      <w:r w:rsidRPr="00274049" w:rsidR="00F73C08">
        <w:rPr>
          <w:b w:val="0"/>
          <w:szCs w:val="18"/>
        </w:rPr>
        <w:t>de</w:t>
      </w:r>
      <w:r w:rsidRPr="00274049">
        <w:rPr>
          <w:b w:val="0"/>
          <w:szCs w:val="18"/>
        </w:rPr>
        <w:t xml:space="preserve"> budgettaire </w:t>
      </w:r>
      <w:r w:rsidRPr="00274049" w:rsidR="00F73C08">
        <w:rPr>
          <w:b w:val="0"/>
          <w:szCs w:val="18"/>
        </w:rPr>
        <w:t>spelregels mede op basis van</w:t>
      </w:r>
      <w:r w:rsidRPr="00274049">
        <w:rPr>
          <w:b w:val="0"/>
          <w:szCs w:val="18"/>
        </w:rPr>
        <w:t xml:space="preserve"> de adviezen uit het veertiende rapport van de Studiegroep Begrotingsruimte. In dit document worden de begrotingsregels voor de inkomsten- en uitgavenkant van de begroting beschreven. Deze set regels is gebaseerd op de gebruikelijke, in het verleden gehanteerde, regels over uitgaven en inkomsten en geven een technische uitwerking van de afspraken die zijn gemaakt in het Regeerakkoord. Dit betreft</w:t>
      </w:r>
      <w:r w:rsidRPr="00274049" w:rsidR="00D03851">
        <w:rPr>
          <w:b w:val="0"/>
          <w:szCs w:val="18"/>
        </w:rPr>
        <w:t xml:space="preserve"> onder andere</w:t>
      </w:r>
      <w:r w:rsidRPr="00274049" w:rsidR="00867702">
        <w:rPr>
          <w:rStyle w:val="Voetnootmarkering"/>
          <w:b w:val="0"/>
          <w:szCs w:val="18"/>
        </w:rPr>
        <w:footnoteReference w:id="1"/>
      </w:r>
      <w:r w:rsidRPr="00274049">
        <w:rPr>
          <w:b w:val="0"/>
          <w:szCs w:val="18"/>
        </w:rPr>
        <w:t>:</w:t>
      </w:r>
    </w:p>
    <w:p w:rsidRPr="00274049" w:rsidR="00D03851" w:rsidP="00D03851" w:rsidRDefault="00D03851">
      <w:pPr>
        <w:pStyle w:val="Kop1"/>
        <w:numPr>
          <w:ilvl w:val="0"/>
          <w:numId w:val="40"/>
        </w:numPr>
        <w:rPr>
          <w:b w:val="0"/>
          <w:bCs w:val="0"/>
        </w:rPr>
      </w:pPr>
      <w:r w:rsidRPr="00274049">
        <w:rPr>
          <w:b w:val="0"/>
          <w:bCs w:val="0"/>
        </w:rPr>
        <w:t xml:space="preserve">De Europese begrotingsregels </w:t>
      </w:r>
      <w:r w:rsidRPr="00274049" w:rsidR="00A738E9">
        <w:rPr>
          <w:b w:val="0"/>
          <w:bCs w:val="0"/>
        </w:rPr>
        <w:t>zijn leidend</w:t>
      </w:r>
      <w:r w:rsidRPr="00274049">
        <w:rPr>
          <w:b w:val="0"/>
          <w:bCs w:val="0"/>
        </w:rPr>
        <w:t>(zie regel 5);</w:t>
      </w:r>
    </w:p>
    <w:p w:rsidRPr="00274049" w:rsidR="00806F46" w:rsidP="00806F46" w:rsidRDefault="00806F46">
      <w:pPr>
        <w:pStyle w:val="Kop1"/>
        <w:numPr>
          <w:ilvl w:val="0"/>
          <w:numId w:val="40"/>
        </w:numPr>
        <w:rPr>
          <w:b w:val="0"/>
          <w:bCs w:val="0"/>
        </w:rPr>
      </w:pPr>
      <w:r w:rsidRPr="00274049">
        <w:rPr>
          <w:b w:val="0"/>
          <w:bCs w:val="0"/>
        </w:rPr>
        <w:t xml:space="preserve">Een meevallerformule indien Nederland voldoet aan de </w:t>
      </w:r>
      <w:proofErr w:type="spellStart"/>
      <w:r w:rsidRPr="00274049">
        <w:rPr>
          <w:b w:val="0"/>
          <w:bCs w:val="0"/>
        </w:rPr>
        <w:t>MTO-doelstelling</w:t>
      </w:r>
      <w:proofErr w:type="spellEnd"/>
      <w:r w:rsidRPr="00274049">
        <w:rPr>
          <w:b w:val="0"/>
          <w:bCs w:val="0"/>
        </w:rPr>
        <w:t xml:space="preserve"> van het </w:t>
      </w:r>
      <w:proofErr w:type="spellStart"/>
      <w:r w:rsidRPr="00274049">
        <w:rPr>
          <w:b w:val="0"/>
          <w:bCs w:val="0"/>
        </w:rPr>
        <w:t>Stabiliteits</w:t>
      </w:r>
      <w:proofErr w:type="spellEnd"/>
      <w:r w:rsidRPr="00274049">
        <w:rPr>
          <w:b w:val="0"/>
          <w:bCs w:val="0"/>
        </w:rPr>
        <w:t xml:space="preserve">- en Groeipact en het feitelijk EMU-saldo een meerjarig overschot laat zien. Van het overschot wordt 75 procent bestemd voor aflossing van de staatsschuld en zal 25 procent </w:t>
      </w:r>
      <w:r w:rsidRPr="00274049" w:rsidR="00E71FCE">
        <w:rPr>
          <w:b w:val="0"/>
          <w:bCs w:val="0"/>
        </w:rPr>
        <w:t xml:space="preserve">ingezet worden voor </w:t>
      </w:r>
      <w:r w:rsidRPr="00274049">
        <w:rPr>
          <w:b w:val="0"/>
          <w:bCs w:val="0"/>
        </w:rPr>
        <w:t>lastenverlichting (zie regel 6);</w:t>
      </w:r>
    </w:p>
    <w:p w:rsidRPr="00274049" w:rsidR="00806F46" w:rsidP="00806F46" w:rsidRDefault="00E71FCE">
      <w:pPr>
        <w:pStyle w:val="Kop1"/>
        <w:numPr>
          <w:ilvl w:val="0"/>
          <w:numId w:val="40"/>
        </w:numPr>
        <w:rPr>
          <w:b w:val="0"/>
          <w:bCs w:val="0"/>
        </w:rPr>
      </w:pPr>
      <w:r w:rsidRPr="00274049">
        <w:rPr>
          <w:b w:val="0"/>
          <w:bCs w:val="0"/>
        </w:rPr>
        <w:t>Het buiten het</w:t>
      </w:r>
      <w:r w:rsidRPr="00274049" w:rsidR="00806F46">
        <w:rPr>
          <w:b w:val="0"/>
          <w:bCs w:val="0"/>
        </w:rPr>
        <w:t xml:space="preserve"> kader </w:t>
      </w:r>
      <w:r w:rsidRPr="00274049">
        <w:rPr>
          <w:b w:val="0"/>
          <w:bCs w:val="0"/>
        </w:rPr>
        <w:t>plaatsen van</w:t>
      </w:r>
      <w:r w:rsidRPr="00274049" w:rsidR="00815539">
        <w:rPr>
          <w:b w:val="0"/>
          <w:bCs w:val="0"/>
        </w:rPr>
        <w:t xml:space="preserve"> de</w:t>
      </w:r>
      <w:r w:rsidRPr="00274049">
        <w:rPr>
          <w:b w:val="0"/>
          <w:bCs w:val="0"/>
        </w:rPr>
        <w:t xml:space="preserve"> </w:t>
      </w:r>
      <w:r w:rsidRPr="00274049" w:rsidR="000D7EE6">
        <w:rPr>
          <w:b w:val="0"/>
          <w:bCs w:val="0"/>
        </w:rPr>
        <w:t>rentelasten op de staatsschuld</w:t>
      </w:r>
      <w:r w:rsidRPr="00274049">
        <w:rPr>
          <w:b w:val="0"/>
          <w:bCs w:val="0"/>
        </w:rPr>
        <w:t>, en daarmee het vervallen van de</w:t>
      </w:r>
      <w:r w:rsidRPr="00274049" w:rsidR="00806F46">
        <w:rPr>
          <w:b w:val="0"/>
          <w:bCs w:val="0"/>
        </w:rPr>
        <w:t xml:space="preserve"> </w:t>
      </w:r>
      <w:proofErr w:type="spellStart"/>
      <w:r w:rsidRPr="00274049" w:rsidR="00806F46">
        <w:rPr>
          <w:b w:val="0"/>
          <w:bCs w:val="0"/>
        </w:rPr>
        <w:t>rentemeevallerformule</w:t>
      </w:r>
      <w:proofErr w:type="spellEnd"/>
      <w:r w:rsidRPr="00274049" w:rsidR="00570EC8">
        <w:rPr>
          <w:b w:val="0"/>
          <w:bCs w:val="0"/>
        </w:rPr>
        <w:t>. De Europese vereisten zijn ook leidend bij rentetegenvallers</w:t>
      </w:r>
      <w:r w:rsidRPr="00274049" w:rsidR="00806F46">
        <w:rPr>
          <w:b w:val="0"/>
          <w:bCs w:val="0"/>
        </w:rPr>
        <w:t xml:space="preserve"> (regel 22);</w:t>
      </w:r>
    </w:p>
    <w:p w:rsidRPr="00274049" w:rsidR="002E42D5" w:rsidP="00806F46" w:rsidRDefault="00E838E3">
      <w:pPr>
        <w:pStyle w:val="Kop1"/>
        <w:numPr>
          <w:ilvl w:val="0"/>
          <w:numId w:val="40"/>
        </w:numPr>
        <w:rPr>
          <w:b w:val="0"/>
          <w:bCs w:val="0"/>
        </w:rPr>
      </w:pPr>
      <w:r w:rsidRPr="00274049">
        <w:rPr>
          <w:b w:val="0"/>
          <w:bCs w:val="0"/>
        </w:rPr>
        <w:t>Aanscherping van de regels met betrekking tot garanties: g</w:t>
      </w:r>
      <w:r w:rsidRPr="00274049" w:rsidR="00F47B65">
        <w:rPr>
          <w:b w:val="0"/>
          <w:bCs w:val="0"/>
        </w:rPr>
        <w:t>aranties zijn in eerste aanleg de financiële verantwoordelijkheid van het verantwoordelijke departement</w:t>
      </w:r>
      <w:r w:rsidRPr="00274049" w:rsidR="005C2C2A">
        <w:rPr>
          <w:b w:val="0"/>
          <w:bCs w:val="0"/>
        </w:rPr>
        <w:t xml:space="preserve"> </w:t>
      </w:r>
      <w:r w:rsidRPr="00274049" w:rsidR="00806F46">
        <w:rPr>
          <w:b w:val="0"/>
          <w:bCs w:val="0"/>
        </w:rPr>
        <w:t>(regel 2</w:t>
      </w:r>
      <w:r w:rsidRPr="00274049" w:rsidR="00815539">
        <w:rPr>
          <w:b w:val="0"/>
          <w:bCs w:val="0"/>
        </w:rPr>
        <w:t>5</w:t>
      </w:r>
      <w:r w:rsidRPr="00274049" w:rsidR="00806F46">
        <w:rPr>
          <w:b w:val="0"/>
          <w:bCs w:val="0"/>
        </w:rPr>
        <w:t>)</w:t>
      </w:r>
      <w:r w:rsidRPr="00274049" w:rsidR="002E42D5">
        <w:rPr>
          <w:b w:val="0"/>
          <w:bCs w:val="0"/>
        </w:rPr>
        <w:t>.</w:t>
      </w:r>
    </w:p>
    <w:p w:rsidR="00784D60" w:rsidRDefault="005D6A7F">
      <w:pPr>
        <w:pStyle w:val="Kop1"/>
        <w:numPr>
          <w:ilvl w:val="0"/>
          <w:numId w:val="40"/>
        </w:numPr>
      </w:pPr>
      <w:r w:rsidRPr="005D6A7F">
        <w:rPr>
          <w:b w:val="0"/>
          <w:bCs w:val="0"/>
        </w:rPr>
        <w:t>Incidentele wijzigingen van de premies zorgverzekeringswet worden niet langer gecompenseerd via incidentele lastenverlichting dan wel lastenverzwaring, maar structurele wijzigingen wel (regel 34).</w:t>
      </w:r>
    </w:p>
    <w:p w:rsidRPr="00274049" w:rsidR="00274049" w:rsidP="00274049" w:rsidRDefault="00274049"/>
    <w:p w:rsidRPr="00274049" w:rsidR="002E42D5" w:rsidP="002E42D5" w:rsidRDefault="002E42D5">
      <w:pPr>
        <w:pStyle w:val="Kop1"/>
        <w:numPr>
          <w:ilvl w:val="0"/>
          <w:numId w:val="0"/>
        </w:numPr>
        <w:rPr>
          <w:b w:val="0"/>
          <w:bCs w:val="0"/>
        </w:rPr>
      </w:pPr>
    </w:p>
    <w:p w:rsidRPr="00274049" w:rsidR="00806F46" w:rsidP="002E42D5" w:rsidRDefault="00806F46">
      <w:pPr>
        <w:pStyle w:val="Kop1"/>
        <w:numPr>
          <w:ilvl w:val="0"/>
          <w:numId w:val="0"/>
        </w:numPr>
        <w:rPr>
          <w:rFonts w:cs="Times New Roman"/>
          <w:b w:val="0"/>
          <w:bCs w:val="0"/>
          <w:kern w:val="0"/>
          <w:szCs w:val="18"/>
        </w:rPr>
      </w:pPr>
    </w:p>
    <w:p w:rsidRPr="00274049" w:rsidR="002E42D5" w:rsidP="002E42D5" w:rsidRDefault="002E42D5">
      <w:pPr>
        <w:spacing w:line="360" w:lineRule="auto"/>
      </w:pPr>
    </w:p>
    <w:p w:rsidRPr="00274049" w:rsidR="002E42D5" w:rsidP="002E42D5" w:rsidRDefault="002E42D5">
      <w:pPr>
        <w:spacing w:line="360" w:lineRule="auto"/>
      </w:pPr>
    </w:p>
    <w:p w:rsidRPr="00274049" w:rsidR="002E42D5" w:rsidP="002E42D5" w:rsidRDefault="002E42D5">
      <w:pPr>
        <w:spacing w:line="360" w:lineRule="auto"/>
      </w:pPr>
    </w:p>
    <w:p w:rsidRPr="00274049" w:rsidR="00C17083" w:rsidP="00285D8A" w:rsidRDefault="00C17083">
      <w:pPr>
        <w:pStyle w:val="Kop1"/>
        <w:numPr>
          <w:ilvl w:val="0"/>
          <w:numId w:val="0"/>
        </w:numPr>
        <w:ind w:left="360"/>
        <w:rPr>
          <w:szCs w:val="18"/>
        </w:rPr>
      </w:pPr>
    </w:p>
    <w:p w:rsidRPr="00274049" w:rsidR="00B35FDC" w:rsidRDefault="00B35FDC">
      <w:pPr>
        <w:rPr>
          <w:rFonts w:ascii="Verdana" w:hAnsi="Verdana"/>
          <w:b/>
        </w:rPr>
      </w:pPr>
      <w:r w:rsidRPr="00274049">
        <w:rPr>
          <w:rFonts w:ascii="Verdana" w:hAnsi="Verdana"/>
          <w:b/>
        </w:rPr>
        <w:br w:type="page"/>
      </w:r>
    </w:p>
    <w:p w:rsidRPr="00274049" w:rsidR="001A71C2" w:rsidP="00B812E0" w:rsidRDefault="001A71C2">
      <w:pPr>
        <w:pStyle w:val="Default"/>
        <w:spacing w:line="360" w:lineRule="auto"/>
        <w:rPr>
          <w:rFonts w:ascii="Verdana" w:hAnsi="Verdana"/>
          <w:b/>
          <w:color w:val="auto"/>
        </w:rPr>
      </w:pPr>
      <w:r w:rsidRPr="00274049">
        <w:rPr>
          <w:rFonts w:ascii="Verdana" w:hAnsi="Verdana"/>
          <w:b/>
          <w:color w:val="auto"/>
        </w:rPr>
        <w:lastRenderedPageBreak/>
        <w:t>Algemene regels</w:t>
      </w:r>
    </w:p>
    <w:p w:rsidRPr="00274049" w:rsidR="008312D6" w:rsidP="008312D6" w:rsidRDefault="008312D6">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Bovengenoemde uitgangspunten worden hieronder verder uitgewerkt, waarbij een onderverdeling wordt gemaakt naar algemene regels, regels die specifiek gelden voor de uitgavenkant, en regels die specifiek gelden voor de inkomstenkant van de begroting. </w:t>
      </w:r>
      <w:r w:rsidRPr="00274049" w:rsidR="00683094">
        <w:rPr>
          <w:rFonts w:ascii="Verdana" w:hAnsi="Verdana" w:cs="Arial"/>
          <w:color w:val="auto"/>
          <w:sz w:val="18"/>
          <w:szCs w:val="18"/>
        </w:rPr>
        <w:t xml:space="preserve">De begrotingsregels omvatten zowel de uitgaven- als de inkomstenkant van de collectieve sector. </w:t>
      </w:r>
    </w:p>
    <w:p w:rsidRPr="00274049" w:rsidR="001A71C2" w:rsidP="00B812E0" w:rsidRDefault="001A71C2">
      <w:pPr>
        <w:pStyle w:val="Default"/>
        <w:spacing w:line="360" w:lineRule="auto"/>
        <w:rPr>
          <w:rFonts w:ascii="Verdana" w:hAnsi="Verdana"/>
          <w:b/>
          <w:color w:val="auto"/>
          <w:sz w:val="18"/>
          <w:szCs w:val="18"/>
        </w:rPr>
      </w:pPr>
    </w:p>
    <w:p w:rsidRPr="00274049" w:rsidR="00B812E0" w:rsidP="00683094" w:rsidRDefault="00B812E0">
      <w:pPr>
        <w:pStyle w:val="Kop1"/>
        <w:numPr>
          <w:ilvl w:val="0"/>
          <w:numId w:val="39"/>
        </w:numPr>
      </w:pPr>
      <w:r w:rsidRPr="00274049">
        <w:t xml:space="preserve">De begrotingsregels </w:t>
      </w:r>
      <w:r w:rsidRPr="00274049" w:rsidR="00683094">
        <w:t xml:space="preserve">gaan gedurende de kabinetsperiode uit van een scheiding </w:t>
      </w:r>
      <w:r w:rsidRPr="00274049" w:rsidR="004951F8">
        <w:t xml:space="preserve">tussen </w:t>
      </w:r>
      <w:r w:rsidRPr="00274049" w:rsidR="00683094">
        <w:t>de inkomsten en uitgaven</w:t>
      </w:r>
      <w:r w:rsidRPr="00274049" w:rsidR="00B42648">
        <w:t>.</w:t>
      </w:r>
      <w:r w:rsidRPr="00274049">
        <w:t xml:space="preserve"> </w:t>
      </w:r>
    </w:p>
    <w:p w:rsidRPr="00274049" w:rsidR="00852728" w:rsidP="00852728" w:rsidRDefault="00852728">
      <w:pPr>
        <w:pStyle w:val="Default"/>
        <w:spacing w:line="360" w:lineRule="auto"/>
        <w:rPr>
          <w:rFonts w:ascii="Verdana" w:hAnsi="Verdana" w:cs="Arial"/>
          <w:color w:val="auto"/>
          <w:sz w:val="18"/>
          <w:szCs w:val="18"/>
        </w:rPr>
      </w:pPr>
      <w:r w:rsidRPr="00274049">
        <w:rPr>
          <w:rFonts w:ascii="Verdana" w:hAnsi="Verdana" w:cs="Arial"/>
          <w:color w:val="auto"/>
          <w:sz w:val="18"/>
          <w:szCs w:val="18"/>
        </w:rPr>
        <w:t>Voor de uitgavenkant betekent dit dat wordt uitgegaan van een vast reëel uitgavenkader. De relevante uitgaven dienen gedurende de kabinetsperiode binnen dit kader te blijven. Tijdens een kabinetsperiode moeten uitgavenintensiveringen voor alle jaren van de meerjarencijfers gedekt worden door extensiveringen. Voor de inkomstenkant geldt een reëel inkomstenkader en wordt uitgegaan van automatische stabilisatie. Inkomstenmeevallers komen ten gunste van het EMU-saldo, inkomstentegenvallers belasten het EMU-saldo.</w:t>
      </w:r>
      <w:r w:rsidRPr="00274049" w:rsidR="002B65C6">
        <w:rPr>
          <w:rFonts w:ascii="Verdana" w:hAnsi="Verdana" w:cs="Arial"/>
          <w:color w:val="auto"/>
          <w:sz w:val="18"/>
          <w:szCs w:val="18"/>
        </w:rPr>
        <w:t xml:space="preserve"> </w:t>
      </w:r>
      <w:r w:rsidRPr="00274049" w:rsidR="00745FFE">
        <w:rPr>
          <w:rFonts w:ascii="Verdana" w:hAnsi="Verdana" w:cs="Arial"/>
          <w:color w:val="auto"/>
          <w:sz w:val="18"/>
          <w:szCs w:val="18"/>
        </w:rPr>
        <w:t>U</w:t>
      </w:r>
      <w:r w:rsidRPr="00274049" w:rsidR="002B65C6">
        <w:rPr>
          <w:rFonts w:ascii="Verdana" w:hAnsi="Verdana" w:cs="Arial"/>
          <w:color w:val="auto"/>
          <w:sz w:val="18"/>
          <w:szCs w:val="18"/>
        </w:rPr>
        <w:t xml:space="preserve">itzondering hierop </w:t>
      </w:r>
      <w:r w:rsidRPr="00274049" w:rsidR="00745FFE">
        <w:rPr>
          <w:rFonts w:ascii="Verdana" w:hAnsi="Verdana" w:cs="Arial"/>
          <w:color w:val="auto"/>
          <w:sz w:val="18"/>
          <w:szCs w:val="18"/>
        </w:rPr>
        <w:t>zijn</w:t>
      </w:r>
      <w:r w:rsidRPr="00274049" w:rsidR="002B65C6">
        <w:rPr>
          <w:rFonts w:ascii="Verdana" w:hAnsi="Verdana" w:cs="Arial"/>
          <w:color w:val="auto"/>
          <w:sz w:val="18"/>
          <w:szCs w:val="18"/>
        </w:rPr>
        <w:t xml:space="preserve"> opgenomen in regel </w:t>
      </w:r>
      <w:r w:rsidRPr="00274049" w:rsidR="00745FFE">
        <w:rPr>
          <w:rFonts w:ascii="Verdana" w:hAnsi="Verdana" w:cs="Arial"/>
          <w:color w:val="auto"/>
          <w:sz w:val="18"/>
          <w:szCs w:val="18"/>
        </w:rPr>
        <w:t>8</w:t>
      </w:r>
      <w:r w:rsidRPr="00274049" w:rsidR="002B65C6">
        <w:rPr>
          <w:rFonts w:ascii="Verdana" w:hAnsi="Verdana" w:cs="Arial"/>
          <w:color w:val="auto"/>
          <w:sz w:val="18"/>
          <w:szCs w:val="18"/>
        </w:rPr>
        <w:t>.</w:t>
      </w:r>
    </w:p>
    <w:p w:rsidRPr="00274049" w:rsidR="00B812E0" w:rsidP="00B812E0" w:rsidRDefault="00B812E0">
      <w:pPr>
        <w:pStyle w:val="Default"/>
        <w:spacing w:line="360" w:lineRule="auto"/>
        <w:rPr>
          <w:rFonts w:ascii="Verdana" w:hAnsi="Verdana" w:cs="Arial"/>
          <w:color w:val="auto"/>
          <w:sz w:val="18"/>
          <w:szCs w:val="18"/>
        </w:rPr>
      </w:pPr>
    </w:p>
    <w:p w:rsidRPr="00274049" w:rsidR="00B812E0" w:rsidP="00B65C1C" w:rsidRDefault="00B812E0">
      <w:pPr>
        <w:pStyle w:val="Kop1"/>
      </w:pPr>
      <w:r w:rsidRPr="00274049">
        <w:t>Tot de inkomstenkant van de begroting worden de inkomsten gerekend die vallen onder de definitie van een collectieve last</w:t>
      </w:r>
      <w:r w:rsidRPr="00274049" w:rsidR="00B42648">
        <w:t>.</w:t>
      </w:r>
    </w:p>
    <w:p w:rsidRPr="00274049" w:rsidR="00B812E0" w:rsidP="00B812E0" w:rsidRDefault="00B812E0">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Een collectieve last is een in Nederland door de overheid opgelegde verplichte betaling aan een overheid waar geen concrete, individuele en met de betaling samenhangende tegenprestatie tegenover staat of waarbij het gaat om een eigen bijdrage voor een voorziening waarvan het gebruik verplicht is. </w:t>
      </w:r>
    </w:p>
    <w:p w:rsidRPr="00274049" w:rsidR="00B812E0" w:rsidP="00B812E0" w:rsidRDefault="00B812E0">
      <w:pPr>
        <w:pStyle w:val="Default"/>
        <w:spacing w:line="360" w:lineRule="auto"/>
        <w:rPr>
          <w:rFonts w:ascii="Verdana" w:hAnsi="Verdana" w:cs="Arial"/>
          <w:color w:val="auto"/>
          <w:sz w:val="18"/>
          <w:szCs w:val="18"/>
        </w:rPr>
      </w:pPr>
    </w:p>
    <w:p w:rsidRPr="00274049" w:rsidR="00B812E0" w:rsidP="00B65C1C" w:rsidRDefault="00B812E0">
      <w:pPr>
        <w:pStyle w:val="Kop1"/>
      </w:pPr>
      <w:r w:rsidRPr="00274049">
        <w:t>Tot de uitgavenkant van de begroting worden zowel de uitgaven als de niet-belastingontvangsten gerekend</w:t>
      </w:r>
      <w:r w:rsidRPr="00274049" w:rsidR="00B42648">
        <w:t>.</w:t>
      </w:r>
    </w:p>
    <w:p w:rsidRPr="00274049" w:rsidR="00B812E0" w:rsidP="00B812E0" w:rsidRDefault="00BC3DDB">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Het uitgavenkader bevat alle </w:t>
      </w:r>
      <w:r w:rsidRPr="00274049" w:rsidR="001646A6">
        <w:rPr>
          <w:rFonts w:ascii="Verdana" w:hAnsi="Verdana" w:cs="Arial"/>
          <w:color w:val="auto"/>
          <w:sz w:val="18"/>
          <w:szCs w:val="18"/>
        </w:rPr>
        <w:t xml:space="preserve">voor het </w:t>
      </w:r>
      <w:r w:rsidRPr="00274049">
        <w:rPr>
          <w:rFonts w:ascii="Verdana" w:hAnsi="Verdana" w:cs="Arial"/>
          <w:color w:val="auto"/>
          <w:sz w:val="18"/>
          <w:szCs w:val="18"/>
        </w:rPr>
        <w:t>EMU-</w:t>
      </w:r>
      <w:r w:rsidRPr="00274049" w:rsidR="001646A6">
        <w:rPr>
          <w:rFonts w:ascii="Verdana" w:hAnsi="Verdana" w:cs="Arial"/>
          <w:color w:val="auto"/>
          <w:sz w:val="18"/>
          <w:szCs w:val="18"/>
        </w:rPr>
        <w:t xml:space="preserve">saldo </w:t>
      </w:r>
      <w:r w:rsidRPr="00274049">
        <w:rPr>
          <w:rFonts w:ascii="Verdana" w:hAnsi="Verdana" w:cs="Arial"/>
          <w:color w:val="auto"/>
          <w:sz w:val="18"/>
          <w:szCs w:val="18"/>
        </w:rPr>
        <w:t>relevante uitgaven</w:t>
      </w:r>
      <w:r w:rsidRPr="00274049" w:rsidR="00B812E0">
        <w:rPr>
          <w:rFonts w:ascii="Verdana" w:hAnsi="Verdana" w:cs="Arial"/>
          <w:color w:val="auto"/>
          <w:sz w:val="18"/>
          <w:szCs w:val="18"/>
        </w:rPr>
        <w:t xml:space="preserve"> </w:t>
      </w:r>
      <w:r w:rsidRPr="00274049" w:rsidR="00A63E50">
        <w:rPr>
          <w:rFonts w:ascii="Verdana" w:hAnsi="Verdana" w:cs="Arial"/>
          <w:color w:val="auto"/>
          <w:sz w:val="18"/>
          <w:szCs w:val="18"/>
        </w:rPr>
        <w:t>en niet-belastingontvangsten, behalve de uitgaven en niet-belastingontvangsten die expliciet uitgezonderd worden</w:t>
      </w:r>
      <w:r w:rsidRPr="00274049" w:rsidR="00174E5A">
        <w:rPr>
          <w:rFonts w:ascii="Verdana" w:hAnsi="Verdana" w:cs="Arial"/>
          <w:color w:val="auto"/>
          <w:sz w:val="18"/>
          <w:szCs w:val="18"/>
        </w:rPr>
        <w:t xml:space="preserve"> in begrotingsregel </w:t>
      </w:r>
      <w:r w:rsidRPr="00274049" w:rsidR="00BF4353">
        <w:rPr>
          <w:rFonts w:ascii="Verdana" w:hAnsi="Verdana" w:cs="Arial"/>
          <w:color w:val="auto"/>
          <w:sz w:val="18"/>
          <w:szCs w:val="18"/>
        </w:rPr>
        <w:t>13</w:t>
      </w:r>
      <w:r w:rsidRPr="00274049" w:rsidR="00A63E50">
        <w:rPr>
          <w:rFonts w:ascii="Verdana" w:hAnsi="Verdana" w:cs="Arial"/>
          <w:color w:val="auto"/>
          <w:sz w:val="18"/>
          <w:szCs w:val="18"/>
        </w:rPr>
        <w:t xml:space="preserve">. </w:t>
      </w:r>
    </w:p>
    <w:p w:rsidRPr="00274049" w:rsidR="00B812E0" w:rsidP="00B812E0" w:rsidRDefault="00B812E0">
      <w:pPr>
        <w:pStyle w:val="Default"/>
        <w:spacing w:line="360" w:lineRule="auto"/>
        <w:rPr>
          <w:rFonts w:ascii="Verdana" w:hAnsi="Verdana" w:cs="Arial"/>
          <w:color w:val="auto"/>
          <w:sz w:val="18"/>
          <w:szCs w:val="18"/>
        </w:rPr>
      </w:pPr>
    </w:p>
    <w:p w:rsidRPr="00274049" w:rsidR="00B812E0" w:rsidP="00C35A45" w:rsidRDefault="00B812E0">
      <w:pPr>
        <w:pStyle w:val="Kop1"/>
      </w:pPr>
      <w:r w:rsidRPr="00274049">
        <w:t xml:space="preserve">Besluitvorming over de hoofdlijnen van de uitgaven- en inkomstenkant van de begroting vindt plaats in het voorjaar bij het </w:t>
      </w:r>
      <w:proofErr w:type="spellStart"/>
      <w:r w:rsidRPr="00274049">
        <w:t>hoofdbesluitvormingsmoment</w:t>
      </w:r>
      <w:proofErr w:type="spellEnd"/>
      <w:r w:rsidRPr="00274049" w:rsidR="00B42648">
        <w:t>.</w:t>
      </w:r>
      <w:r w:rsidRPr="00274049">
        <w:t xml:space="preserve"> </w:t>
      </w:r>
    </w:p>
    <w:p w:rsidRPr="00274049" w:rsidR="00B812E0" w:rsidP="00C35A45" w:rsidRDefault="00B812E0">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Op één moment in het jaar wordt door het kabinet integraal besloten over de hoofdlijnen van de uitgaven- en inkomstenkant van de begroting voor zowel het uitvoeringsjaar als het begrotingsjaar. </w:t>
      </w:r>
      <w:r w:rsidRPr="00274049" w:rsidR="00B6766E">
        <w:rPr>
          <w:rFonts w:ascii="Verdana" w:hAnsi="Verdana" w:cs="Arial"/>
          <w:color w:val="auto"/>
          <w:sz w:val="18"/>
          <w:szCs w:val="18"/>
        </w:rPr>
        <w:t xml:space="preserve">Dit </w:t>
      </w:r>
      <w:proofErr w:type="spellStart"/>
      <w:r w:rsidRPr="00274049" w:rsidR="00B6766E">
        <w:rPr>
          <w:rFonts w:ascii="Verdana" w:hAnsi="Verdana" w:cs="Arial"/>
          <w:color w:val="auto"/>
          <w:sz w:val="18"/>
          <w:szCs w:val="18"/>
        </w:rPr>
        <w:t>hoofdbesluitvormingsmoment</w:t>
      </w:r>
      <w:proofErr w:type="spellEnd"/>
      <w:r w:rsidRPr="00274049" w:rsidR="00B6766E">
        <w:rPr>
          <w:rFonts w:ascii="Verdana" w:hAnsi="Verdana" w:cs="Arial"/>
          <w:color w:val="auto"/>
          <w:sz w:val="18"/>
          <w:szCs w:val="18"/>
        </w:rPr>
        <w:t xml:space="preserve"> is in het voorjaar. In augustus vindt er nog besluitvorming plaats over de koopkracht</w:t>
      </w:r>
      <w:r w:rsidRPr="00274049" w:rsidR="00FD3710">
        <w:rPr>
          <w:rFonts w:ascii="Verdana" w:hAnsi="Verdana" w:cs="Arial"/>
          <w:color w:val="auto"/>
          <w:sz w:val="18"/>
          <w:szCs w:val="18"/>
        </w:rPr>
        <w:t xml:space="preserve"> en de inkomstenkant van de begroting</w:t>
      </w:r>
      <w:r w:rsidRPr="00274049" w:rsidR="00B6766E">
        <w:rPr>
          <w:rFonts w:ascii="Verdana" w:hAnsi="Verdana" w:cs="Arial"/>
          <w:color w:val="auto"/>
          <w:sz w:val="18"/>
          <w:szCs w:val="18"/>
        </w:rPr>
        <w:t>.</w:t>
      </w:r>
    </w:p>
    <w:p w:rsidRPr="00274049" w:rsidR="00973AF8" w:rsidP="00C35A45" w:rsidRDefault="00973AF8">
      <w:pPr>
        <w:spacing w:line="360" w:lineRule="auto"/>
        <w:rPr>
          <w:rFonts w:ascii="Verdana" w:hAnsi="Verdana"/>
          <w:sz w:val="18"/>
          <w:szCs w:val="18"/>
        </w:rPr>
      </w:pPr>
    </w:p>
    <w:p w:rsidRPr="00274049" w:rsidR="00D97F44" w:rsidP="003B2EF9" w:rsidRDefault="00FF194A">
      <w:pPr>
        <w:pStyle w:val="Kop1"/>
      </w:pPr>
      <w:r w:rsidRPr="00274049">
        <w:t xml:space="preserve">Europese begrotingsafspraken </w:t>
      </w:r>
      <w:r w:rsidRPr="00274049" w:rsidR="00A738E9">
        <w:t>zijn leidend.</w:t>
      </w:r>
      <w:r w:rsidRPr="00274049" w:rsidDel="008D1293">
        <w:t xml:space="preserve"> </w:t>
      </w:r>
    </w:p>
    <w:p w:rsidRPr="00274049" w:rsidR="00B812E0" w:rsidP="00B812E0" w:rsidRDefault="006C3EBE">
      <w:pPr>
        <w:pStyle w:val="Default"/>
        <w:spacing w:line="360" w:lineRule="auto"/>
        <w:rPr>
          <w:rFonts w:ascii="Verdana" w:hAnsi="Verdana" w:cs="Arial"/>
          <w:b/>
          <w:bCs/>
          <w:color w:val="auto"/>
          <w:sz w:val="18"/>
          <w:szCs w:val="18"/>
        </w:rPr>
      </w:pPr>
      <w:r w:rsidRPr="00274049">
        <w:rPr>
          <w:rFonts w:ascii="Verdana" w:hAnsi="Verdana" w:cs="Arial"/>
          <w:sz w:val="18"/>
          <w:szCs w:val="18"/>
        </w:rPr>
        <w:t>Het kabinet houdt zich aan d</w:t>
      </w:r>
      <w:r w:rsidRPr="00274049" w:rsidR="002322F7">
        <w:rPr>
          <w:rFonts w:ascii="Verdana" w:hAnsi="Verdana" w:cs="Arial"/>
          <w:sz w:val="18"/>
          <w:szCs w:val="18"/>
        </w:rPr>
        <w:t xml:space="preserve">e </w:t>
      </w:r>
      <w:r w:rsidRPr="00274049" w:rsidR="00965029">
        <w:rPr>
          <w:rFonts w:ascii="Verdana" w:hAnsi="Verdana" w:cs="Arial"/>
          <w:sz w:val="18"/>
          <w:szCs w:val="18"/>
        </w:rPr>
        <w:t xml:space="preserve">Europese begrotingsafspraken van het </w:t>
      </w:r>
      <w:proofErr w:type="spellStart"/>
      <w:r w:rsidRPr="00274049" w:rsidR="00965029">
        <w:rPr>
          <w:rFonts w:ascii="Verdana" w:hAnsi="Verdana" w:cs="Arial"/>
          <w:sz w:val="18"/>
          <w:szCs w:val="18"/>
        </w:rPr>
        <w:t>S</w:t>
      </w:r>
      <w:r w:rsidRPr="00274049" w:rsidR="008C2080">
        <w:rPr>
          <w:rFonts w:ascii="Verdana" w:hAnsi="Verdana" w:cs="Arial"/>
          <w:sz w:val="18"/>
          <w:szCs w:val="18"/>
        </w:rPr>
        <w:t>tabiliteits</w:t>
      </w:r>
      <w:proofErr w:type="spellEnd"/>
      <w:r w:rsidRPr="00274049" w:rsidR="008C2080">
        <w:rPr>
          <w:rFonts w:ascii="Verdana" w:hAnsi="Verdana" w:cs="Arial"/>
          <w:sz w:val="18"/>
          <w:szCs w:val="18"/>
        </w:rPr>
        <w:t>- en Groeipact</w:t>
      </w:r>
      <w:r w:rsidRPr="00274049" w:rsidR="00965029">
        <w:rPr>
          <w:rFonts w:ascii="Verdana" w:hAnsi="Verdana" w:cs="Arial"/>
          <w:sz w:val="18"/>
          <w:szCs w:val="18"/>
        </w:rPr>
        <w:t xml:space="preserve">. De belangrijkste daarvan zijn dat </w:t>
      </w:r>
      <w:r w:rsidRPr="00274049" w:rsidR="002322F7">
        <w:rPr>
          <w:rFonts w:ascii="Verdana" w:hAnsi="Verdana" w:cs="Arial"/>
          <w:sz w:val="18"/>
          <w:szCs w:val="18"/>
        </w:rPr>
        <w:t>het tekort</w:t>
      </w:r>
      <w:r w:rsidRPr="00274049" w:rsidR="00965029">
        <w:rPr>
          <w:rFonts w:ascii="Verdana" w:hAnsi="Verdana" w:cs="Arial"/>
          <w:sz w:val="18"/>
          <w:szCs w:val="18"/>
        </w:rPr>
        <w:t xml:space="preserve"> maximaal 3%</w:t>
      </w:r>
      <w:r w:rsidRPr="00274049" w:rsidR="007F3B52">
        <w:rPr>
          <w:rFonts w:ascii="Verdana" w:hAnsi="Verdana" w:cs="Arial"/>
          <w:sz w:val="18"/>
          <w:szCs w:val="18"/>
        </w:rPr>
        <w:t xml:space="preserve"> </w:t>
      </w:r>
      <w:proofErr w:type="spellStart"/>
      <w:r w:rsidRPr="00274049" w:rsidR="007F3B52">
        <w:rPr>
          <w:rFonts w:ascii="Verdana" w:hAnsi="Verdana" w:cs="Arial"/>
          <w:sz w:val="18"/>
          <w:szCs w:val="18"/>
        </w:rPr>
        <w:t>bbp</w:t>
      </w:r>
      <w:proofErr w:type="spellEnd"/>
      <w:r w:rsidRPr="00274049" w:rsidR="002322F7">
        <w:rPr>
          <w:rFonts w:ascii="Verdana" w:hAnsi="Verdana" w:cs="Arial"/>
          <w:sz w:val="18"/>
          <w:szCs w:val="18"/>
        </w:rPr>
        <w:t xml:space="preserve"> bedraagt</w:t>
      </w:r>
      <w:r w:rsidRPr="00274049" w:rsidR="007F3B52">
        <w:rPr>
          <w:rFonts w:ascii="Verdana" w:hAnsi="Verdana" w:cs="Arial"/>
          <w:sz w:val="18"/>
          <w:szCs w:val="18"/>
        </w:rPr>
        <w:t>,</w:t>
      </w:r>
      <w:r w:rsidRPr="00274049" w:rsidR="00965029">
        <w:rPr>
          <w:rFonts w:ascii="Verdana" w:hAnsi="Verdana" w:cs="Arial"/>
          <w:sz w:val="18"/>
          <w:szCs w:val="18"/>
        </w:rPr>
        <w:t xml:space="preserve"> </w:t>
      </w:r>
      <w:r w:rsidRPr="00274049" w:rsidR="002322F7">
        <w:rPr>
          <w:rFonts w:ascii="Verdana" w:hAnsi="Verdana" w:cs="Arial"/>
          <w:sz w:val="18"/>
          <w:szCs w:val="18"/>
        </w:rPr>
        <w:t xml:space="preserve">dat </w:t>
      </w:r>
      <w:r w:rsidRPr="00274049" w:rsidR="00965029">
        <w:rPr>
          <w:rFonts w:ascii="Verdana" w:hAnsi="Verdana" w:cs="Arial"/>
          <w:sz w:val="18"/>
          <w:szCs w:val="18"/>
        </w:rPr>
        <w:t xml:space="preserve">een verbetering van het structurele saldo </w:t>
      </w:r>
      <w:r w:rsidRPr="00274049" w:rsidR="002322F7">
        <w:rPr>
          <w:rFonts w:ascii="Verdana" w:hAnsi="Verdana" w:cs="Arial"/>
          <w:sz w:val="18"/>
          <w:szCs w:val="18"/>
        </w:rPr>
        <w:t>wordt gerealiseerd</w:t>
      </w:r>
      <w:r w:rsidRPr="00274049" w:rsidR="000D7EE6">
        <w:rPr>
          <w:rFonts w:ascii="Verdana" w:hAnsi="Verdana" w:cs="Arial"/>
          <w:sz w:val="18"/>
          <w:szCs w:val="18"/>
        </w:rPr>
        <w:t xml:space="preserve"> totdat de MTO wordt bereikt</w:t>
      </w:r>
      <w:r w:rsidRPr="00274049" w:rsidR="007F3B52">
        <w:rPr>
          <w:rFonts w:ascii="Verdana" w:hAnsi="Verdana" w:cs="Arial"/>
          <w:sz w:val="18"/>
          <w:szCs w:val="18"/>
        </w:rPr>
        <w:t>,</w:t>
      </w:r>
      <w:r w:rsidRPr="00274049" w:rsidR="00965029">
        <w:rPr>
          <w:rFonts w:ascii="Verdana" w:hAnsi="Verdana" w:cs="Arial"/>
          <w:sz w:val="18"/>
          <w:szCs w:val="18"/>
        </w:rPr>
        <w:t xml:space="preserve"> </w:t>
      </w:r>
      <w:r w:rsidRPr="00274049" w:rsidR="007F3B52">
        <w:rPr>
          <w:rFonts w:ascii="Verdana" w:hAnsi="Verdana" w:cs="Arial"/>
          <w:sz w:val="18"/>
          <w:szCs w:val="18"/>
        </w:rPr>
        <w:t xml:space="preserve">en dat </w:t>
      </w:r>
      <w:r w:rsidRPr="00274049" w:rsidR="00965029">
        <w:rPr>
          <w:rFonts w:ascii="Verdana" w:hAnsi="Verdana" w:cs="Arial"/>
          <w:sz w:val="18"/>
          <w:szCs w:val="18"/>
        </w:rPr>
        <w:t>de schuld z</w:t>
      </w:r>
      <w:r w:rsidRPr="00274049" w:rsidR="007F3B52">
        <w:rPr>
          <w:rFonts w:ascii="Verdana" w:hAnsi="Verdana" w:cs="Arial"/>
          <w:sz w:val="18"/>
          <w:szCs w:val="18"/>
        </w:rPr>
        <w:t>ich conform de gestelde eisen</w:t>
      </w:r>
      <w:r w:rsidRPr="00274049" w:rsidR="00965029">
        <w:rPr>
          <w:rFonts w:ascii="Verdana" w:hAnsi="Verdana" w:cs="Arial"/>
          <w:sz w:val="18"/>
          <w:szCs w:val="18"/>
        </w:rPr>
        <w:t xml:space="preserve"> ontwikkel</w:t>
      </w:r>
      <w:r w:rsidRPr="00274049" w:rsidR="007F3B52">
        <w:rPr>
          <w:rFonts w:ascii="Verdana" w:hAnsi="Verdana" w:cs="Arial"/>
          <w:sz w:val="18"/>
          <w:szCs w:val="18"/>
        </w:rPr>
        <w:t>t</w:t>
      </w:r>
      <w:r w:rsidRPr="00274049" w:rsidR="00285D8A">
        <w:rPr>
          <w:rFonts w:ascii="Verdana" w:hAnsi="Verdana" w:cs="Arial"/>
          <w:sz w:val="18"/>
          <w:szCs w:val="18"/>
        </w:rPr>
        <w:t>.</w:t>
      </w:r>
      <w:r w:rsidRPr="00274049" w:rsidR="00910AC1">
        <w:rPr>
          <w:rFonts w:ascii="Verdana" w:hAnsi="Verdana" w:cs="Arial"/>
          <w:sz w:val="18"/>
          <w:szCs w:val="18"/>
        </w:rPr>
        <w:t xml:space="preserve"> </w:t>
      </w:r>
      <w:r w:rsidRPr="00274049" w:rsidR="008D1293">
        <w:rPr>
          <w:rFonts w:ascii="Verdana" w:hAnsi="Verdana" w:cs="Arial"/>
          <w:sz w:val="18"/>
          <w:szCs w:val="18"/>
        </w:rPr>
        <w:t xml:space="preserve"> </w:t>
      </w:r>
    </w:p>
    <w:p w:rsidRPr="00274049" w:rsidR="00986947" w:rsidP="00986947" w:rsidRDefault="00986947">
      <w:pPr>
        <w:pStyle w:val="Kop1"/>
      </w:pPr>
      <w:r w:rsidRPr="00274049">
        <w:lastRenderedPageBreak/>
        <w:t>Meevallerformule</w:t>
      </w:r>
    </w:p>
    <w:p w:rsidRPr="00274049" w:rsidR="00986947" w:rsidP="00B812E0" w:rsidRDefault="00986947">
      <w:pPr>
        <w:pStyle w:val="Default"/>
        <w:spacing w:line="360" w:lineRule="auto"/>
        <w:rPr>
          <w:rFonts w:ascii="Verdana" w:hAnsi="Verdana" w:cs="Arial"/>
          <w:bCs/>
          <w:color w:val="auto"/>
          <w:sz w:val="18"/>
          <w:szCs w:val="18"/>
        </w:rPr>
      </w:pPr>
      <w:r w:rsidRPr="00274049">
        <w:rPr>
          <w:rFonts w:ascii="Verdana" w:hAnsi="Verdana" w:cs="Arial"/>
          <w:bCs/>
          <w:color w:val="auto"/>
          <w:sz w:val="18"/>
          <w:szCs w:val="18"/>
        </w:rPr>
        <w:t xml:space="preserve">Indien Nederland voldoet aan de </w:t>
      </w:r>
      <w:proofErr w:type="spellStart"/>
      <w:r w:rsidRPr="00274049">
        <w:rPr>
          <w:rFonts w:ascii="Verdana" w:hAnsi="Verdana" w:cs="Arial"/>
          <w:bCs/>
          <w:color w:val="auto"/>
          <w:sz w:val="18"/>
          <w:szCs w:val="18"/>
        </w:rPr>
        <w:t>MTO-doelstelling</w:t>
      </w:r>
      <w:proofErr w:type="spellEnd"/>
      <w:r w:rsidRPr="00274049">
        <w:rPr>
          <w:rFonts w:ascii="Verdana" w:hAnsi="Verdana" w:cs="Arial"/>
          <w:bCs/>
          <w:color w:val="auto"/>
          <w:sz w:val="18"/>
          <w:szCs w:val="18"/>
        </w:rPr>
        <w:t xml:space="preserve"> van het </w:t>
      </w:r>
      <w:proofErr w:type="spellStart"/>
      <w:r w:rsidRPr="00274049" w:rsidR="008C2080">
        <w:rPr>
          <w:rFonts w:ascii="Verdana" w:hAnsi="Verdana" w:cs="Arial"/>
          <w:bCs/>
          <w:color w:val="auto"/>
          <w:sz w:val="18"/>
          <w:szCs w:val="18"/>
        </w:rPr>
        <w:t>S</w:t>
      </w:r>
      <w:r w:rsidRPr="00274049">
        <w:rPr>
          <w:rFonts w:ascii="Verdana" w:hAnsi="Verdana" w:cs="Arial"/>
          <w:bCs/>
          <w:color w:val="auto"/>
          <w:sz w:val="18"/>
          <w:szCs w:val="18"/>
        </w:rPr>
        <w:t>tabiliteits</w:t>
      </w:r>
      <w:proofErr w:type="spellEnd"/>
      <w:r w:rsidRPr="00274049">
        <w:rPr>
          <w:rFonts w:ascii="Verdana" w:hAnsi="Verdana" w:cs="Arial"/>
          <w:bCs/>
          <w:color w:val="auto"/>
          <w:sz w:val="18"/>
          <w:szCs w:val="18"/>
        </w:rPr>
        <w:t xml:space="preserve">- en </w:t>
      </w:r>
      <w:r w:rsidRPr="00274049" w:rsidR="008C2080">
        <w:rPr>
          <w:rFonts w:ascii="Verdana" w:hAnsi="Verdana" w:cs="Arial"/>
          <w:bCs/>
          <w:color w:val="auto"/>
          <w:sz w:val="18"/>
          <w:szCs w:val="18"/>
        </w:rPr>
        <w:t>G</w:t>
      </w:r>
      <w:r w:rsidRPr="00274049">
        <w:rPr>
          <w:rFonts w:ascii="Verdana" w:hAnsi="Verdana" w:cs="Arial"/>
          <w:bCs/>
          <w:color w:val="auto"/>
          <w:sz w:val="18"/>
          <w:szCs w:val="18"/>
        </w:rPr>
        <w:t xml:space="preserve">roeipact en het feitelijk EMU-saldo </w:t>
      </w:r>
      <w:r w:rsidRPr="00274049" w:rsidR="00965029">
        <w:rPr>
          <w:rFonts w:ascii="Verdana" w:hAnsi="Verdana" w:cs="Arial"/>
          <w:bCs/>
          <w:color w:val="auto"/>
          <w:sz w:val="18"/>
          <w:szCs w:val="18"/>
        </w:rPr>
        <w:t xml:space="preserve">na </w:t>
      </w:r>
      <w:r w:rsidRPr="00274049">
        <w:rPr>
          <w:rFonts w:ascii="Verdana" w:hAnsi="Verdana" w:cs="Arial"/>
          <w:bCs/>
          <w:color w:val="auto"/>
          <w:sz w:val="18"/>
          <w:szCs w:val="18"/>
        </w:rPr>
        <w:t xml:space="preserve">de besluitvorming over de lastenkant in augustus een meerjarig overschot laat zien, dan wordt </w:t>
      </w:r>
      <w:r w:rsidRPr="00274049" w:rsidR="008D1293">
        <w:rPr>
          <w:rFonts w:ascii="Verdana" w:hAnsi="Verdana" w:cs="Arial"/>
          <w:bCs/>
          <w:color w:val="auto"/>
          <w:sz w:val="18"/>
          <w:szCs w:val="18"/>
        </w:rPr>
        <w:t>75</w:t>
      </w:r>
      <w:r w:rsidRPr="00274049">
        <w:rPr>
          <w:rFonts w:ascii="Verdana" w:hAnsi="Verdana" w:cs="Arial"/>
          <w:bCs/>
          <w:color w:val="auto"/>
          <w:sz w:val="18"/>
          <w:szCs w:val="18"/>
        </w:rPr>
        <w:t xml:space="preserve"> procent van het overschot bestemd voor aflossing van de staatsschuld en zal een lastenverlichting van </w:t>
      </w:r>
      <w:r w:rsidRPr="00274049" w:rsidR="008D1293">
        <w:rPr>
          <w:rFonts w:ascii="Verdana" w:hAnsi="Verdana" w:cs="Arial"/>
          <w:bCs/>
          <w:color w:val="auto"/>
          <w:sz w:val="18"/>
          <w:szCs w:val="18"/>
        </w:rPr>
        <w:t>25</w:t>
      </w:r>
      <w:r w:rsidRPr="00274049">
        <w:rPr>
          <w:rFonts w:ascii="Verdana" w:hAnsi="Verdana" w:cs="Arial"/>
          <w:bCs/>
          <w:color w:val="auto"/>
          <w:sz w:val="18"/>
          <w:szCs w:val="18"/>
        </w:rPr>
        <w:t xml:space="preserve"> procent van het overschot boven de 0 procent </w:t>
      </w:r>
      <w:proofErr w:type="spellStart"/>
      <w:r w:rsidRPr="00274049">
        <w:rPr>
          <w:rFonts w:ascii="Verdana" w:hAnsi="Verdana" w:cs="Arial"/>
          <w:bCs/>
          <w:color w:val="auto"/>
          <w:sz w:val="18"/>
          <w:szCs w:val="18"/>
        </w:rPr>
        <w:t>bbp</w:t>
      </w:r>
      <w:proofErr w:type="spellEnd"/>
      <w:r w:rsidRPr="00274049">
        <w:rPr>
          <w:rFonts w:ascii="Verdana" w:hAnsi="Verdana" w:cs="Arial"/>
          <w:bCs/>
          <w:color w:val="auto"/>
          <w:sz w:val="18"/>
          <w:szCs w:val="18"/>
        </w:rPr>
        <w:t xml:space="preserve"> worden gegeven. </w:t>
      </w:r>
    </w:p>
    <w:p w:rsidRPr="00274049" w:rsidR="00F3486B" w:rsidP="00B35FDC" w:rsidRDefault="00F3486B">
      <w:pPr>
        <w:pStyle w:val="Kop1"/>
        <w:numPr>
          <w:ilvl w:val="0"/>
          <w:numId w:val="0"/>
        </w:numPr>
      </w:pPr>
    </w:p>
    <w:p w:rsidRPr="00274049" w:rsidR="006D31B1" w:rsidP="00DE04BB" w:rsidRDefault="006D31B1">
      <w:pPr>
        <w:pStyle w:val="Kop1"/>
      </w:pPr>
      <w:r w:rsidRPr="00274049">
        <w:t>Sanctie ter beheers</w:t>
      </w:r>
      <w:r w:rsidRPr="00274049" w:rsidR="00DE04BB">
        <w:t>ing van</w:t>
      </w:r>
      <w:r w:rsidRPr="00274049">
        <w:t xml:space="preserve"> EMU-saldo OPL</w:t>
      </w:r>
    </w:p>
    <w:p w:rsidRPr="00274049" w:rsidR="00BD7137" w:rsidP="00BD7137" w:rsidRDefault="00BD7137">
      <w:pPr>
        <w:pStyle w:val="Default"/>
        <w:spacing w:line="360" w:lineRule="auto"/>
        <w:rPr>
          <w:rFonts w:ascii="Verdana" w:hAnsi="Verdana" w:cs="Arial"/>
          <w:color w:val="auto"/>
          <w:sz w:val="18"/>
          <w:szCs w:val="18"/>
        </w:rPr>
      </w:pPr>
      <w:r w:rsidRPr="00274049">
        <w:rPr>
          <w:rFonts w:ascii="Verdana" w:hAnsi="Verdana" w:cs="Arial"/>
          <w:color w:val="auto"/>
          <w:sz w:val="18"/>
          <w:szCs w:val="18"/>
        </w:rPr>
        <w:t>Wanneer het EMU-tekort van de lokale overheden bijdraagt aan een (dreigende) overschrijding van de Europese grenzen voor het totale EMU-saldo</w:t>
      </w:r>
      <w:r w:rsidRPr="00274049">
        <w:rPr>
          <w:rStyle w:val="Voetnootmarkering"/>
          <w:rFonts w:ascii="Verdana" w:hAnsi="Verdana" w:cs="Arial"/>
          <w:color w:val="auto"/>
          <w:sz w:val="18"/>
          <w:szCs w:val="18"/>
        </w:rPr>
        <w:footnoteReference w:id="2"/>
      </w:r>
      <w:r w:rsidRPr="00274049">
        <w:rPr>
          <w:rFonts w:ascii="Verdana" w:hAnsi="Verdana" w:cs="Arial"/>
          <w:color w:val="auto"/>
          <w:sz w:val="18"/>
          <w:szCs w:val="18"/>
        </w:rPr>
        <w:t xml:space="preserve"> kan de minister van Financiën ingrijpen, wanneer het bestuurlijk overleg financiële verhoudingen tussen Rijk, VNG, IPO en </w:t>
      </w:r>
      <w:proofErr w:type="spellStart"/>
      <w:r w:rsidRPr="00274049">
        <w:rPr>
          <w:rFonts w:ascii="Verdana" w:hAnsi="Verdana" w:cs="Arial"/>
          <w:color w:val="auto"/>
          <w:sz w:val="18"/>
          <w:szCs w:val="18"/>
        </w:rPr>
        <w:t>UvW</w:t>
      </w:r>
      <w:proofErr w:type="spellEnd"/>
      <w:r w:rsidRPr="00274049">
        <w:rPr>
          <w:rFonts w:ascii="Verdana" w:hAnsi="Verdana" w:cs="Arial"/>
          <w:color w:val="auto"/>
          <w:sz w:val="18"/>
          <w:szCs w:val="18"/>
        </w:rPr>
        <w:t xml:space="preserve"> niet het gewenste resultaat oplevert. </w:t>
      </w:r>
      <w:r w:rsidRPr="00274049" w:rsidR="00B23C4B">
        <w:rPr>
          <w:rFonts w:ascii="Verdana" w:hAnsi="Verdana" w:cs="Arial"/>
          <w:color w:val="auto"/>
          <w:sz w:val="18"/>
          <w:szCs w:val="18"/>
        </w:rPr>
        <w:t xml:space="preserve">De minister van Financiën kan als </w:t>
      </w:r>
      <w:proofErr w:type="spellStart"/>
      <w:r w:rsidRPr="00274049" w:rsidR="00B23C4B">
        <w:rPr>
          <w:rFonts w:ascii="Verdana" w:hAnsi="Verdana" w:cs="Arial"/>
          <w:color w:val="auto"/>
          <w:sz w:val="18"/>
          <w:szCs w:val="18"/>
        </w:rPr>
        <w:t>u</w:t>
      </w:r>
      <w:r w:rsidRPr="00274049" w:rsidR="00D079B5">
        <w:rPr>
          <w:rFonts w:ascii="Verdana" w:hAnsi="Verdana" w:cs="Arial"/>
          <w:color w:val="auto"/>
          <w:sz w:val="18"/>
          <w:szCs w:val="18"/>
        </w:rPr>
        <w:t>l</w:t>
      </w:r>
      <w:r w:rsidRPr="00274049" w:rsidR="00B23C4B">
        <w:rPr>
          <w:rFonts w:ascii="Verdana" w:hAnsi="Verdana" w:cs="Arial"/>
          <w:color w:val="auto"/>
          <w:sz w:val="18"/>
          <w:szCs w:val="18"/>
        </w:rPr>
        <w:t>timum</w:t>
      </w:r>
      <w:proofErr w:type="spellEnd"/>
      <w:r w:rsidRPr="00274049" w:rsidR="00B23C4B">
        <w:rPr>
          <w:rFonts w:ascii="Verdana" w:hAnsi="Verdana" w:cs="Arial"/>
          <w:color w:val="auto"/>
          <w:sz w:val="18"/>
          <w:szCs w:val="18"/>
        </w:rPr>
        <w:t xml:space="preserve"> </w:t>
      </w:r>
      <w:proofErr w:type="spellStart"/>
      <w:r w:rsidRPr="00274049" w:rsidR="00B23C4B">
        <w:rPr>
          <w:rFonts w:ascii="Verdana" w:hAnsi="Verdana" w:cs="Arial"/>
          <w:color w:val="auto"/>
          <w:sz w:val="18"/>
          <w:szCs w:val="18"/>
        </w:rPr>
        <w:t>remedium</w:t>
      </w:r>
      <w:proofErr w:type="spellEnd"/>
      <w:r w:rsidRPr="00274049" w:rsidR="00B23C4B">
        <w:rPr>
          <w:rFonts w:ascii="Verdana" w:hAnsi="Verdana" w:cs="Arial"/>
          <w:color w:val="auto"/>
          <w:sz w:val="18"/>
          <w:szCs w:val="18"/>
        </w:rPr>
        <w:t xml:space="preserve"> een korting opleggen op het gemeente- en/of provinciefonds.</w:t>
      </w:r>
      <w:r w:rsidRPr="00274049" w:rsidR="00B92311">
        <w:rPr>
          <w:rFonts w:ascii="Verdana" w:hAnsi="Verdana" w:cs="Arial"/>
          <w:color w:val="auto"/>
          <w:sz w:val="18"/>
          <w:szCs w:val="18"/>
        </w:rPr>
        <w:t xml:space="preserve"> Deze sanctiebepaling zal worden vervangen door de sanctiebepalingen van de Wet Hof, zodra deze van kracht is geworden.</w:t>
      </w:r>
    </w:p>
    <w:p w:rsidRPr="00274049" w:rsidR="00700C0A" w:rsidP="00B812E0" w:rsidRDefault="00700C0A">
      <w:pPr>
        <w:pStyle w:val="Default"/>
        <w:spacing w:line="360" w:lineRule="auto"/>
        <w:rPr>
          <w:rFonts w:ascii="Verdana" w:hAnsi="Verdana" w:cs="Arial"/>
          <w:b/>
          <w:bCs/>
          <w:color w:val="auto"/>
          <w:sz w:val="18"/>
          <w:szCs w:val="18"/>
        </w:rPr>
      </w:pPr>
    </w:p>
    <w:p w:rsidRPr="00274049" w:rsidR="00700C0A" w:rsidP="00700C0A" w:rsidRDefault="00700C0A">
      <w:pPr>
        <w:pStyle w:val="Kop1"/>
      </w:pPr>
      <w:r w:rsidRPr="00274049">
        <w:t xml:space="preserve">Statistische correcties </w:t>
      </w:r>
    </w:p>
    <w:p w:rsidRPr="00274049" w:rsidR="008D1293" w:rsidP="008D1293" w:rsidRDefault="008D1293">
      <w:pPr>
        <w:pStyle w:val="Default"/>
        <w:spacing w:line="360" w:lineRule="auto"/>
        <w:rPr>
          <w:rFonts w:ascii="Verdana" w:hAnsi="Verdana" w:cs="Verdana"/>
          <w:color w:val="auto"/>
          <w:sz w:val="18"/>
          <w:szCs w:val="18"/>
        </w:rPr>
      </w:pPr>
      <w:r w:rsidRPr="00274049">
        <w:rPr>
          <w:rFonts w:ascii="Verdana" w:hAnsi="Verdana" w:cs="Verdana"/>
          <w:iCs/>
          <w:sz w:val="18"/>
          <w:szCs w:val="18"/>
        </w:rPr>
        <w:t xml:space="preserve">Statistische correcties blijven bij de toetsing van de desbetreffende kaders buiten beschouwing (zowel bij het inkomsten- als het uitgavenkader). De desbetreffende kaders worden in dat geval opgehoogd of verlaagd, zodat de mutatie geen invloed heeft op de budgettaire ruimte (onder het desbetreffende kader). Er zijn verschillende statistische correcties te onderscheiden. Voor alle statistische correcties geldt dat de mutaties per saldo (ten minste) </w:t>
      </w:r>
      <w:proofErr w:type="spellStart"/>
      <w:r w:rsidRPr="00274049">
        <w:rPr>
          <w:rFonts w:ascii="Verdana" w:hAnsi="Verdana" w:cs="Verdana"/>
          <w:iCs/>
          <w:sz w:val="18"/>
          <w:szCs w:val="18"/>
        </w:rPr>
        <w:t>EMU-saldoneutraal</w:t>
      </w:r>
      <w:proofErr w:type="spellEnd"/>
      <w:r w:rsidRPr="00274049">
        <w:rPr>
          <w:rFonts w:ascii="Verdana" w:hAnsi="Verdana" w:cs="Verdana"/>
          <w:iCs/>
          <w:sz w:val="18"/>
          <w:szCs w:val="18"/>
        </w:rPr>
        <w:t xml:space="preserve"> dienen te zijn.</w:t>
      </w:r>
    </w:p>
    <w:p w:rsidRPr="00274049" w:rsidR="008D1293" w:rsidP="008D1293" w:rsidRDefault="008D1293">
      <w:pPr>
        <w:pStyle w:val="Default"/>
        <w:numPr>
          <w:ilvl w:val="0"/>
          <w:numId w:val="44"/>
        </w:numPr>
        <w:spacing w:line="360" w:lineRule="auto"/>
        <w:ind w:left="360"/>
        <w:rPr>
          <w:rFonts w:ascii="Verdana" w:hAnsi="Verdana" w:cs="Verdana"/>
          <w:i/>
          <w:iCs/>
          <w:color w:val="auto"/>
          <w:sz w:val="18"/>
          <w:szCs w:val="18"/>
        </w:rPr>
      </w:pPr>
      <w:r w:rsidRPr="00274049">
        <w:rPr>
          <w:rFonts w:ascii="Verdana" w:hAnsi="Verdana" w:cs="Verdana"/>
          <w:i/>
          <w:iCs/>
          <w:sz w:val="18"/>
          <w:szCs w:val="18"/>
        </w:rPr>
        <w:t>Statistische correctie tussen inkomsten en uitgaven</w:t>
      </w:r>
    </w:p>
    <w:p w:rsidRPr="00274049" w:rsidR="008D1293" w:rsidP="008D1293" w:rsidRDefault="008D1293">
      <w:pPr>
        <w:pStyle w:val="Default"/>
        <w:spacing w:line="360" w:lineRule="auto"/>
        <w:ind w:left="360"/>
        <w:rPr>
          <w:rFonts w:ascii="Verdana" w:hAnsi="Verdana" w:cs="Verdana"/>
          <w:iCs/>
          <w:color w:val="auto"/>
          <w:sz w:val="18"/>
          <w:szCs w:val="18"/>
        </w:rPr>
      </w:pPr>
      <w:r w:rsidRPr="00274049">
        <w:rPr>
          <w:rFonts w:ascii="Verdana" w:hAnsi="Verdana" w:cs="Verdana"/>
          <w:iCs/>
          <w:sz w:val="18"/>
          <w:szCs w:val="18"/>
        </w:rPr>
        <w:t xml:space="preserve">Bij de wijziging in financiële vormgeving van beleid (van inkomsten naar uitgaven en v.v.) moeten het voorzieningenniveau en de doelgroep nagenoeg gelijk blijven. </w:t>
      </w:r>
    </w:p>
    <w:p w:rsidRPr="00274049" w:rsidR="008D1293" w:rsidP="008D1293" w:rsidRDefault="008D1293">
      <w:pPr>
        <w:pStyle w:val="Default"/>
        <w:numPr>
          <w:ilvl w:val="0"/>
          <w:numId w:val="44"/>
        </w:numPr>
        <w:spacing w:line="360" w:lineRule="auto"/>
        <w:ind w:left="360"/>
        <w:rPr>
          <w:rFonts w:ascii="Verdana" w:hAnsi="Verdana" w:cs="Verdana"/>
          <w:i/>
          <w:iCs/>
          <w:color w:val="auto"/>
          <w:sz w:val="18"/>
          <w:szCs w:val="18"/>
        </w:rPr>
      </w:pPr>
      <w:r w:rsidRPr="00274049">
        <w:rPr>
          <w:rFonts w:ascii="Verdana" w:hAnsi="Verdana" w:cs="Verdana"/>
          <w:i/>
          <w:iCs/>
          <w:sz w:val="18"/>
          <w:szCs w:val="18"/>
        </w:rPr>
        <w:t xml:space="preserve">Statische correctie bij </w:t>
      </w:r>
      <w:proofErr w:type="spellStart"/>
      <w:r w:rsidRPr="00274049">
        <w:rPr>
          <w:rFonts w:ascii="Verdana" w:hAnsi="Verdana" w:cs="Verdana"/>
          <w:i/>
          <w:iCs/>
          <w:sz w:val="18"/>
          <w:szCs w:val="18"/>
        </w:rPr>
        <w:t>enveloppe-middelen</w:t>
      </w:r>
      <w:proofErr w:type="spellEnd"/>
      <w:r w:rsidRPr="00274049">
        <w:rPr>
          <w:rFonts w:ascii="Verdana" w:hAnsi="Verdana" w:cs="Verdana"/>
          <w:i/>
          <w:iCs/>
          <w:sz w:val="18"/>
          <w:szCs w:val="18"/>
        </w:rPr>
        <w:t xml:space="preserve"> </w:t>
      </w:r>
    </w:p>
    <w:p w:rsidRPr="00274049" w:rsidR="008D1293" w:rsidP="008D1293" w:rsidRDefault="008D1293">
      <w:pPr>
        <w:pStyle w:val="Default"/>
        <w:spacing w:line="360" w:lineRule="auto"/>
        <w:ind w:left="360"/>
        <w:rPr>
          <w:rFonts w:ascii="Verdana" w:hAnsi="Verdana" w:cs="Verdana"/>
          <w:iCs/>
          <w:color w:val="auto"/>
          <w:sz w:val="18"/>
          <w:szCs w:val="18"/>
        </w:rPr>
      </w:pPr>
      <w:r w:rsidRPr="00274049">
        <w:rPr>
          <w:rFonts w:ascii="Verdana" w:hAnsi="Verdana" w:cs="Verdana"/>
          <w:iCs/>
          <w:sz w:val="18"/>
          <w:szCs w:val="18"/>
        </w:rPr>
        <w:t xml:space="preserve">Met </w:t>
      </w:r>
      <w:proofErr w:type="spellStart"/>
      <w:r w:rsidRPr="00274049">
        <w:rPr>
          <w:rFonts w:ascii="Verdana" w:hAnsi="Verdana" w:cs="Verdana"/>
          <w:iCs/>
          <w:sz w:val="18"/>
          <w:szCs w:val="18"/>
        </w:rPr>
        <w:t>enveloppe-middelen</w:t>
      </w:r>
      <w:proofErr w:type="spellEnd"/>
      <w:r w:rsidRPr="00274049">
        <w:rPr>
          <w:rFonts w:ascii="Verdana" w:hAnsi="Verdana" w:cs="Verdana"/>
          <w:iCs/>
          <w:sz w:val="18"/>
          <w:szCs w:val="18"/>
        </w:rPr>
        <w:t xml:space="preserve"> die gecreëerd zijn in een Regeerakkoord mag tussen de uitgaven- en inkomstenkant geschoven worden bij de specifieke uitwerking van het beoogde beleid. </w:t>
      </w:r>
    </w:p>
    <w:p w:rsidRPr="00274049" w:rsidR="00285D8A" w:rsidP="00285D8A" w:rsidRDefault="008D1293">
      <w:pPr>
        <w:pStyle w:val="Default"/>
        <w:numPr>
          <w:ilvl w:val="0"/>
          <w:numId w:val="44"/>
        </w:numPr>
        <w:spacing w:line="360" w:lineRule="auto"/>
        <w:ind w:left="360"/>
        <w:rPr>
          <w:rFonts w:ascii="Verdana" w:hAnsi="Verdana" w:cs="Arial"/>
          <w:b/>
          <w:bCs/>
          <w:color w:val="auto"/>
          <w:sz w:val="18"/>
          <w:szCs w:val="18"/>
        </w:rPr>
      </w:pPr>
      <w:r w:rsidRPr="00274049">
        <w:rPr>
          <w:rFonts w:ascii="Verdana" w:hAnsi="Verdana" w:cs="Verdana"/>
          <w:i/>
          <w:iCs/>
          <w:sz w:val="18"/>
          <w:szCs w:val="18"/>
        </w:rPr>
        <w:t>Statistische correctie bij systeemwijzigingen</w:t>
      </w:r>
    </w:p>
    <w:p w:rsidRPr="00274049" w:rsidR="00C92B17" w:rsidP="00285D8A" w:rsidRDefault="008D1293">
      <w:pPr>
        <w:pStyle w:val="Default"/>
        <w:spacing w:line="360" w:lineRule="auto"/>
        <w:ind w:left="360"/>
        <w:rPr>
          <w:rFonts w:ascii="Verdana" w:hAnsi="Verdana" w:cs="Arial"/>
          <w:b/>
          <w:bCs/>
          <w:color w:val="auto"/>
          <w:sz w:val="18"/>
          <w:szCs w:val="18"/>
        </w:rPr>
      </w:pPr>
      <w:r w:rsidRPr="00274049">
        <w:rPr>
          <w:rFonts w:ascii="Verdana" w:hAnsi="Verdana" w:cs="Verdana"/>
          <w:iCs/>
          <w:sz w:val="18"/>
          <w:szCs w:val="18"/>
        </w:rPr>
        <w:t xml:space="preserve">Hierbij gaat het om </w:t>
      </w:r>
      <w:proofErr w:type="spellStart"/>
      <w:r w:rsidRPr="00274049">
        <w:rPr>
          <w:rFonts w:ascii="Verdana" w:hAnsi="Verdana" w:cs="Verdana"/>
          <w:iCs/>
          <w:sz w:val="18"/>
          <w:szCs w:val="18"/>
        </w:rPr>
        <w:t>majeure</w:t>
      </w:r>
      <w:proofErr w:type="spellEnd"/>
      <w:r w:rsidRPr="00274049">
        <w:rPr>
          <w:rFonts w:ascii="Verdana" w:hAnsi="Verdana" w:cs="Verdana"/>
          <w:iCs/>
          <w:sz w:val="18"/>
          <w:szCs w:val="18"/>
        </w:rPr>
        <w:t xml:space="preserve"> hervormingen waarbij een collectief arrangement ander</w:t>
      </w:r>
      <w:r w:rsidRPr="00274049" w:rsidR="00285D8A">
        <w:rPr>
          <w:rFonts w:ascii="Verdana" w:hAnsi="Verdana" w:cs="Verdana"/>
          <w:iCs/>
          <w:sz w:val="18"/>
          <w:szCs w:val="18"/>
        </w:rPr>
        <w:t xml:space="preserve">s wordt </w:t>
      </w:r>
      <w:r w:rsidRPr="00274049">
        <w:rPr>
          <w:rFonts w:ascii="Verdana" w:hAnsi="Verdana" w:cs="Verdana"/>
          <w:iCs/>
          <w:sz w:val="18"/>
          <w:szCs w:val="18"/>
        </w:rPr>
        <w:t>vormgegeven met zowel aan de uitgaven- als aan de inkomstenzijde mutaties.</w:t>
      </w:r>
      <w:r w:rsidRPr="00274049" w:rsidR="00C92B17">
        <w:rPr>
          <w:rFonts w:ascii="Verdana" w:hAnsi="Verdana" w:cs="Arial"/>
          <w:bCs/>
          <w:sz w:val="18"/>
          <w:szCs w:val="18"/>
        </w:rPr>
        <w:t xml:space="preserve"> </w:t>
      </w:r>
    </w:p>
    <w:p w:rsidRPr="00274049" w:rsidR="00CE5D62" w:rsidP="00DF5D16" w:rsidRDefault="00CE5D62">
      <w:pPr>
        <w:pStyle w:val="Default"/>
        <w:spacing w:line="360" w:lineRule="auto"/>
        <w:rPr>
          <w:rFonts w:ascii="Verdana" w:hAnsi="Verdana" w:cs="Arial"/>
          <w:b/>
          <w:bCs/>
          <w:color w:val="auto"/>
          <w:sz w:val="18"/>
          <w:szCs w:val="18"/>
        </w:rPr>
      </w:pPr>
    </w:p>
    <w:p w:rsidRPr="00274049" w:rsidR="00313FC5" w:rsidP="00313FC5" w:rsidRDefault="00313FC5">
      <w:pPr>
        <w:pStyle w:val="Kop1"/>
      </w:pPr>
      <w:r w:rsidRPr="00274049">
        <w:t>De budgettaire kaders worden aangepast voor mutaties in de prijs Nationale Bestedingen (</w:t>
      </w:r>
      <w:proofErr w:type="spellStart"/>
      <w:r w:rsidRPr="00274049">
        <w:t>pNB</w:t>
      </w:r>
      <w:proofErr w:type="spellEnd"/>
      <w:r w:rsidRPr="00274049">
        <w:t>)</w:t>
      </w:r>
      <w:r w:rsidRPr="00274049" w:rsidR="00C6397D">
        <w:t>.</w:t>
      </w:r>
      <w:r w:rsidRPr="00274049">
        <w:t xml:space="preserve"> </w:t>
      </w:r>
    </w:p>
    <w:p w:rsidRPr="00274049" w:rsidR="001D5CDD" w:rsidP="00B812E0" w:rsidRDefault="001D5CDD">
      <w:pPr>
        <w:pStyle w:val="Default"/>
        <w:spacing w:line="360" w:lineRule="auto"/>
        <w:rPr>
          <w:rFonts w:ascii="Verdana" w:hAnsi="Verdana" w:cs="Arial"/>
          <w:b/>
          <w:bCs/>
          <w:color w:val="auto"/>
          <w:sz w:val="18"/>
          <w:szCs w:val="18"/>
        </w:rPr>
      </w:pPr>
      <w:r w:rsidRPr="00274049">
        <w:rPr>
          <w:rFonts w:ascii="Verdana" w:hAnsi="Verdana" w:cs="Arial"/>
          <w:sz w:val="18"/>
          <w:szCs w:val="18"/>
        </w:rPr>
        <w:t xml:space="preserve">Voor toetsing van de feitelijke </w:t>
      </w:r>
      <w:r w:rsidRPr="00274049">
        <w:rPr>
          <w:rFonts w:ascii="Verdana" w:hAnsi="Verdana" w:cs="Arial"/>
          <w:color w:val="auto"/>
          <w:sz w:val="18"/>
          <w:szCs w:val="18"/>
        </w:rPr>
        <w:t>uitgavenontwikkeling en het inkomstenkader worden de</w:t>
      </w:r>
      <w:r w:rsidRPr="00274049">
        <w:rPr>
          <w:rFonts w:ascii="Verdana" w:hAnsi="Verdana" w:cs="Arial"/>
          <w:sz w:val="18"/>
          <w:szCs w:val="18"/>
        </w:rPr>
        <w:t xml:space="preserve"> in reële termen gedefinieerde budgettaire kaders aangepast aan de nominale ontwikkeling. Als maatstaf voor de nominale ontwikkeling wordt de prijscomponent van de Nationale Bestedingen (</w:t>
      </w:r>
      <w:proofErr w:type="spellStart"/>
      <w:r w:rsidRPr="00274049">
        <w:rPr>
          <w:rFonts w:ascii="Verdana" w:hAnsi="Verdana" w:cs="Arial"/>
          <w:sz w:val="18"/>
          <w:szCs w:val="18"/>
        </w:rPr>
        <w:t>pNB</w:t>
      </w:r>
      <w:proofErr w:type="spellEnd"/>
      <w:r w:rsidRPr="00274049">
        <w:rPr>
          <w:rFonts w:ascii="Verdana" w:hAnsi="Verdana" w:cs="Arial"/>
          <w:sz w:val="18"/>
          <w:szCs w:val="18"/>
        </w:rPr>
        <w:t xml:space="preserve">) </w:t>
      </w:r>
      <w:r w:rsidRPr="00274049">
        <w:rPr>
          <w:rFonts w:ascii="Verdana" w:hAnsi="Verdana" w:cs="Arial"/>
          <w:color w:val="auto"/>
          <w:sz w:val="18"/>
          <w:szCs w:val="18"/>
        </w:rPr>
        <w:t>gebruikt. Het inkomstenkader en de budgetdisciplinekaders</w:t>
      </w:r>
      <w:r w:rsidRPr="00274049">
        <w:rPr>
          <w:rFonts w:ascii="Verdana" w:hAnsi="Verdana" w:cs="Arial"/>
          <w:sz w:val="18"/>
          <w:szCs w:val="18"/>
        </w:rPr>
        <w:t xml:space="preserve"> voor het </w:t>
      </w:r>
      <w:proofErr w:type="spellStart"/>
      <w:r w:rsidRPr="00274049">
        <w:rPr>
          <w:rFonts w:ascii="Verdana" w:hAnsi="Verdana" w:cs="Arial"/>
          <w:sz w:val="18"/>
          <w:szCs w:val="18"/>
        </w:rPr>
        <w:t>begrotingsvoorbereidingsjaar</w:t>
      </w:r>
      <w:proofErr w:type="spellEnd"/>
      <w:r w:rsidRPr="00274049">
        <w:rPr>
          <w:rFonts w:ascii="Verdana" w:hAnsi="Verdana" w:cs="Arial"/>
          <w:sz w:val="18"/>
          <w:szCs w:val="18"/>
        </w:rPr>
        <w:t xml:space="preserve"> worden vastgesteld bij het </w:t>
      </w:r>
      <w:proofErr w:type="spellStart"/>
      <w:r w:rsidRPr="00274049">
        <w:rPr>
          <w:rFonts w:ascii="Verdana" w:hAnsi="Verdana" w:cs="Arial"/>
          <w:sz w:val="18"/>
          <w:szCs w:val="18"/>
        </w:rPr>
        <w:t>hoofdbesluitvormingsmoment</w:t>
      </w:r>
      <w:proofErr w:type="spellEnd"/>
      <w:r w:rsidRPr="00274049">
        <w:rPr>
          <w:rFonts w:ascii="Verdana" w:hAnsi="Verdana" w:cs="Arial"/>
          <w:sz w:val="18"/>
          <w:szCs w:val="18"/>
        </w:rPr>
        <w:t xml:space="preserve"> in het voorjaar op basis van het C</w:t>
      </w:r>
      <w:r w:rsidRPr="00274049" w:rsidR="0055611B">
        <w:rPr>
          <w:rFonts w:ascii="Verdana" w:hAnsi="Verdana" w:cs="Arial"/>
          <w:sz w:val="18"/>
          <w:szCs w:val="18"/>
        </w:rPr>
        <w:t>entraal Economisch Plan (C</w:t>
      </w:r>
      <w:r w:rsidRPr="00274049">
        <w:rPr>
          <w:rFonts w:ascii="Verdana" w:hAnsi="Verdana" w:cs="Arial"/>
          <w:sz w:val="18"/>
          <w:szCs w:val="18"/>
        </w:rPr>
        <w:t>EP</w:t>
      </w:r>
      <w:r w:rsidRPr="00274049" w:rsidR="0055611B">
        <w:rPr>
          <w:rFonts w:ascii="Verdana" w:hAnsi="Verdana" w:cs="Arial"/>
          <w:sz w:val="18"/>
          <w:szCs w:val="18"/>
        </w:rPr>
        <w:t>)</w:t>
      </w:r>
      <w:r w:rsidRPr="00274049">
        <w:rPr>
          <w:rFonts w:ascii="Verdana" w:hAnsi="Verdana" w:cs="Arial"/>
          <w:sz w:val="18"/>
          <w:szCs w:val="18"/>
        </w:rPr>
        <w:t xml:space="preserve"> en worden in augustus bijgesteld op basis van de M</w:t>
      </w:r>
      <w:r w:rsidRPr="00274049" w:rsidR="0055611B">
        <w:rPr>
          <w:rFonts w:ascii="Verdana" w:hAnsi="Verdana" w:cs="Arial"/>
          <w:sz w:val="18"/>
          <w:szCs w:val="18"/>
        </w:rPr>
        <w:t>acro Economische Verkenning (M</w:t>
      </w:r>
      <w:r w:rsidRPr="00274049">
        <w:rPr>
          <w:rFonts w:ascii="Verdana" w:hAnsi="Verdana" w:cs="Arial"/>
          <w:sz w:val="18"/>
          <w:szCs w:val="18"/>
        </w:rPr>
        <w:t>EV</w:t>
      </w:r>
      <w:r w:rsidRPr="00274049" w:rsidR="00EE4BFB">
        <w:rPr>
          <w:rFonts w:ascii="Verdana" w:hAnsi="Verdana" w:cs="Arial"/>
          <w:sz w:val="18"/>
          <w:szCs w:val="18"/>
        </w:rPr>
        <w:t>)</w:t>
      </w:r>
      <w:r w:rsidRPr="00274049">
        <w:rPr>
          <w:rFonts w:ascii="Verdana" w:hAnsi="Verdana" w:cs="Arial"/>
          <w:sz w:val="18"/>
          <w:szCs w:val="18"/>
        </w:rPr>
        <w:t xml:space="preserve">. Het kader voor het lopende jaar wordt definitief vastgesteld bij Voorjaarsnota. </w:t>
      </w:r>
      <w:r w:rsidRPr="00274049">
        <w:rPr>
          <w:rFonts w:ascii="Verdana" w:hAnsi="Verdana" w:cs="Arial"/>
          <w:sz w:val="18"/>
          <w:szCs w:val="18"/>
        </w:rPr>
        <w:lastRenderedPageBreak/>
        <w:t xml:space="preserve">Wijzigingen nadien in de </w:t>
      </w:r>
      <w:proofErr w:type="spellStart"/>
      <w:r w:rsidRPr="00274049">
        <w:rPr>
          <w:rFonts w:ascii="Verdana" w:hAnsi="Verdana" w:cs="Arial"/>
          <w:sz w:val="18"/>
          <w:szCs w:val="18"/>
        </w:rPr>
        <w:t>pNB</w:t>
      </w:r>
      <w:proofErr w:type="spellEnd"/>
      <w:r w:rsidRPr="00274049">
        <w:rPr>
          <w:rFonts w:ascii="Verdana" w:hAnsi="Verdana" w:cs="Arial"/>
          <w:sz w:val="18"/>
          <w:szCs w:val="18"/>
        </w:rPr>
        <w:t xml:space="preserve"> worden niet meegenomen in de bijstelling van het kader voor het lopende jaar</w:t>
      </w:r>
      <w:r w:rsidRPr="00274049" w:rsidR="00CD2D9D">
        <w:rPr>
          <w:rFonts w:ascii="Verdana" w:hAnsi="Verdana" w:cs="Arial"/>
          <w:sz w:val="18"/>
          <w:szCs w:val="18"/>
        </w:rPr>
        <w:t>.</w:t>
      </w:r>
    </w:p>
    <w:p w:rsidRPr="00274049" w:rsidR="001D5CDD" w:rsidP="00B812E0" w:rsidRDefault="001D5CDD">
      <w:pPr>
        <w:pStyle w:val="Default"/>
        <w:spacing w:line="360" w:lineRule="auto"/>
        <w:rPr>
          <w:rFonts w:ascii="Verdana" w:hAnsi="Verdana" w:cs="Arial"/>
          <w:b/>
          <w:bCs/>
          <w:color w:val="auto"/>
          <w:sz w:val="18"/>
          <w:szCs w:val="18"/>
        </w:rPr>
      </w:pPr>
    </w:p>
    <w:p w:rsidRPr="00274049" w:rsidR="00B812E0" w:rsidP="00B812E0" w:rsidRDefault="00B812E0">
      <w:pPr>
        <w:pStyle w:val="Default"/>
        <w:spacing w:line="360" w:lineRule="auto"/>
        <w:rPr>
          <w:rFonts w:ascii="Verdana" w:hAnsi="Verdana" w:cs="Arial"/>
          <w:color w:val="auto"/>
        </w:rPr>
      </w:pPr>
      <w:r w:rsidRPr="00274049">
        <w:rPr>
          <w:rFonts w:ascii="Verdana" w:hAnsi="Verdana" w:cs="Arial"/>
          <w:b/>
          <w:bCs/>
          <w:color w:val="auto"/>
        </w:rPr>
        <w:t xml:space="preserve">Regels die betrekking hebben op de uitgaven </w:t>
      </w:r>
      <w:r w:rsidRPr="00274049" w:rsidR="005C2F36">
        <w:rPr>
          <w:rFonts w:ascii="Verdana" w:hAnsi="Verdana" w:cs="Arial"/>
          <w:b/>
          <w:bCs/>
          <w:color w:val="auto"/>
        </w:rPr>
        <w:t>en de niet-belastingontvangsten</w:t>
      </w:r>
    </w:p>
    <w:p w:rsidRPr="00274049" w:rsidR="006D31B1" w:rsidP="00B812E0" w:rsidRDefault="006D31B1">
      <w:pPr>
        <w:pStyle w:val="Default"/>
        <w:spacing w:line="360" w:lineRule="auto"/>
        <w:rPr>
          <w:rFonts w:ascii="Verdana" w:hAnsi="Verdana" w:cs="Arial"/>
          <w:color w:val="auto"/>
          <w:sz w:val="18"/>
          <w:szCs w:val="18"/>
        </w:rPr>
      </w:pPr>
    </w:p>
    <w:p w:rsidRPr="00274049" w:rsidR="00B812E0" w:rsidP="00752C7A" w:rsidRDefault="00B812E0">
      <w:pPr>
        <w:pStyle w:val="Kop1"/>
      </w:pPr>
      <w:r w:rsidRPr="00274049">
        <w:t>De begrotingsregels voor de uitgaven</w:t>
      </w:r>
      <w:r w:rsidRPr="00274049" w:rsidR="00752C7A">
        <w:t xml:space="preserve"> hebben</w:t>
      </w:r>
      <w:r w:rsidRPr="00274049">
        <w:t xml:space="preserve"> betrekking op de drie sectoren: de Rijksbegroting in enge zin, </w:t>
      </w:r>
      <w:r w:rsidRPr="00274049" w:rsidR="00176276">
        <w:t xml:space="preserve">de sector </w:t>
      </w:r>
      <w:r w:rsidRPr="00274049">
        <w:t>Sociale Zekerheid en Arbeidsmarktbeleid en de Zorgsector</w:t>
      </w:r>
      <w:r w:rsidRPr="00274049" w:rsidR="00C6397D">
        <w:t>.</w:t>
      </w:r>
      <w:r w:rsidRPr="00274049">
        <w:t xml:space="preserve"> </w:t>
      </w:r>
    </w:p>
    <w:p w:rsidRPr="00274049" w:rsidR="009E4017" w:rsidP="00B812E0" w:rsidRDefault="00B812E0">
      <w:pPr>
        <w:pStyle w:val="Default"/>
        <w:spacing w:line="360" w:lineRule="auto"/>
        <w:rPr>
          <w:rFonts w:ascii="Verdana" w:hAnsi="Verdana" w:cs="Arial"/>
          <w:color w:val="auto"/>
          <w:sz w:val="18"/>
          <w:szCs w:val="18"/>
        </w:rPr>
      </w:pPr>
      <w:r w:rsidRPr="00274049">
        <w:rPr>
          <w:rFonts w:ascii="Verdana" w:hAnsi="Verdana" w:cs="Arial"/>
          <w:color w:val="auto"/>
          <w:sz w:val="18"/>
          <w:szCs w:val="18"/>
        </w:rPr>
        <w:t>Compensatie tussen de afzonderlijke budgetdisciplinesectoren kan alleen in uitzonderlijke omstandigheden indien de Ministerraad daartoe besluit. Voor de Rijksbegroting in enge zin worden deze regels ook toegepast op de afzonderlijke begrotingen met de daarbij behorende meerjarencijfers.</w:t>
      </w:r>
    </w:p>
    <w:p w:rsidRPr="00274049" w:rsidR="009E4017" w:rsidP="00B812E0" w:rsidRDefault="009E4017">
      <w:pPr>
        <w:pStyle w:val="Default"/>
        <w:spacing w:line="360" w:lineRule="auto"/>
        <w:rPr>
          <w:rFonts w:ascii="Verdana" w:hAnsi="Verdana" w:cs="Arial"/>
          <w:color w:val="auto"/>
          <w:sz w:val="18"/>
          <w:szCs w:val="18"/>
        </w:rPr>
      </w:pPr>
    </w:p>
    <w:p w:rsidRPr="00274049" w:rsidR="009E4017" w:rsidP="009E4017" w:rsidRDefault="009E4017">
      <w:pPr>
        <w:pStyle w:val="Kop1"/>
      </w:pPr>
      <w:r w:rsidRPr="00274049">
        <w:t xml:space="preserve">Afbakening budgetdisciplinesectoren </w:t>
      </w:r>
    </w:p>
    <w:p w:rsidRPr="00274049" w:rsidR="009E4017" w:rsidP="009E4017" w:rsidRDefault="009E4017">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Uitgangspunt bij het vaststellen van het uitgavenkader is dat uitgaven die meetellen voor het EMU-saldo ook meetellen bij de uitgaven onder het uitgavenkader. Balansverkortingen die relevant zijn voor het EMU-saldo zijn </w:t>
      </w:r>
      <w:r w:rsidRPr="00274049" w:rsidR="008D1293">
        <w:rPr>
          <w:rFonts w:ascii="Verdana" w:hAnsi="Verdana" w:cs="Arial"/>
          <w:color w:val="auto"/>
          <w:sz w:val="18"/>
          <w:szCs w:val="18"/>
        </w:rPr>
        <w:t xml:space="preserve">daardoor </w:t>
      </w:r>
      <w:r w:rsidRPr="00274049">
        <w:rPr>
          <w:rFonts w:ascii="Verdana" w:hAnsi="Verdana" w:cs="Arial"/>
          <w:color w:val="auto"/>
          <w:sz w:val="18"/>
          <w:szCs w:val="18"/>
        </w:rPr>
        <w:t>eveneens relevant</w:t>
      </w:r>
      <w:r w:rsidRPr="00274049" w:rsidR="008D1293">
        <w:rPr>
          <w:rFonts w:ascii="Verdana" w:hAnsi="Verdana" w:cs="Arial"/>
          <w:color w:val="auto"/>
          <w:sz w:val="18"/>
          <w:szCs w:val="18"/>
        </w:rPr>
        <w:t xml:space="preserve"> voor het uitgavenkader</w:t>
      </w:r>
      <w:r w:rsidRPr="00274049">
        <w:rPr>
          <w:rFonts w:ascii="Verdana" w:hAnsi="Verdana" w:cs="Arial"/>
          <w:color w:val="auto"/>
          <w:sz w:val="18"/>
          <w:szCs w:val="18"/>
        </w:rPr>
        <w:t xml:space="preserve">. Uitgangspunt voor de drie budgetdisciplinesectoren zijn de relevante uitgaven minus de relevante niet-belastingontvangsten (NBO). Eigen betalingen in de Zorgsector worden gezien als niet-belastingontvangsten en worden behandeld aan de uitgavenkant van de begroting. </w:t>
      </w:r>
    </w:p>
    <w:p w:rsidRPr="00274049" w:rsidR="009E4017" w:rsidP="009E4017" w:rsidRDefault="009E4017">
      <w:pPr>
        <w:pStyle w:val="Default"/>
        <w:spacing w:line="360" w:lineRule="auto"/>
        <w:rPr>
          <w:rFonts w:ascii="Verdana" w:hAnsi="Verdana" w:cs="Arial"/>
          <w:color w:val="auto"/>
          <w:sz w:val="18"/>
          <w:szCs w:val="18"/>
        </w:rPr>
      </w:pPr>
    </w:p>
    <w:p w:rsidRPr="00274049" w:rsidR="009E4017" w:rsidP="009E4017" w:rsidRDefault="009E4017">
      <w:pPr>
        <w:pStyle w:val="Kop1"/>
      </w:pPr>
      <w:bookmarkStart w:name="OLE_LINK5" w:id="0"/>
      <w:r w:rsidRPr="00274049">
        <w:t xml:space="preserve">Niet-belastingontvangsten </w:t>
      </w:r>
    </w:p>
    <w:p w:rsidRPr="00274049" w:rsidR="005F058E" w:rsidP="005F058E" w:rsidRDefault="005F058E">
      <w:pPr>
        <w:pStyle w:val="default0"/>
        <w:spacing w:before="0" w:beforeAutospacing="0" w:after="0" w:afterAutospacing="0" w:line="360" w:lineRule="auto"/>
        <w:rPr>
          <w:rFonts w:ascii="Verdana" w:hAnsi="Verdana" w:cs="Arial"/>
          <w:sz w:val="18"/>
          <w:szCs w:val="18"/>
        </w:rPr>
      </w:pPr>
      <w:r w:rsidRPr="00274049">
        <w:rPr>
          <w:rFonts w:ascii="Verdana" w:hAnsi="Verdana" w:cs="Arial"/>
          <w:sz w:val="18"/>
          <w:szCs w:val="18"/>
        </w:rPr>
        <w:t>Op grond van begrotingsregel 3 worden de niet-belastingontvangsten als negatieve uitgav</w:t>
      </w:r>
      <w:r w:rsidRPr="00274049" w:rsidR="00EE7CBD">
        <w:rPr>
          <w:rFonts w:ascii="Verdana" w:hAnsi="Verdana" w:cs="Arial"/>
          <w:sz w:val="18"/>
          <w:szCs w:val="18"/>
        </w:rPr>
        <w:t>en beschouwd. Niet</w:t>
      </w:r>
      <w:r w:rsidRPr="00274049">
        <w:rPr>
          <w:rFonts w:ascii="Verdana" w:hAnsi="Verdana" w:cs="Arial"/>
          <w:sz w:val="18"/>
          <w:szCs w:val="18"/>
        </w:rPr>
        <w:t>-belastingontvangsten d</w:t>
      </w:r>
      <w:r w:rsidRPr="00274049" w:rsidR="00EE7CBD">
        <w:rPr>
          <w:rFonts w:ascii="Verdana" w:hAnsi="Verdana" w:cs="Arial"/>
          <w:sz w:val="18"/>
          <w:szCs w:val="18"/>
        </w:rPr>
        <w:t>ie meetellen voor het EMU-saldo worden betrokken bij de toetsing aan het uitgavenkader, met uitzondering van hetgeen vermeld in</w:t>
      </w:r>
      <w:r w:rsidRPr="00274049">
        <w:rPr>
          <w:rFonts w:ascii="Verdana" w:hAnsi="Verdana" w:cs="Arial"/>
          <w:sz w:val="18"/>
          <w:szCs w:val="18"/>
        </w:rPr>
        <w:t xml:space="preserve"> begrotingsregel 13.</w:t>
      </w:r>
      <w:r w:rsidRPr="00274049" w:rsidR="00EE7CBD">
        <w:rPr>
          <w:rFonts w:ascii="Verdana" w:hAnsi="Verdana" w:cs="Arial"/>
          <w:sz w:val="18"/>
          <w:szCs w:val="18"/>
        </w:rPr>
        <w:t xml:space="preserve"> </w:t>
      </w:r>
      <w:r w:rsidRPr="00274049">
        <w:rPr>
          <w:rFonts w:ascii="Verdana" w:hAnsi="Verdana" w:cs="Arial"/>
          <w:sz w:val="18"/>
          <w:szCs w:val="18"/>
        </w:rPr>
        <w:t xml:space="preserve">Heffingen van de centrale overheid die vallen onder de definitie van collectieve lasten (zie begrotingsregel 2) worden verantwoord aan de inkomstenkant van de begroting. </w:t>
      </w:r>
    </w:p>
    <w:bookmarkEnd w:id="0"/>
    <w:p w:rsidRPr="00274049" w:rsidR="009E4017" w:rsidP="009E4017" w:rsidRDefault="009E4017">
      <w:pPr>
        <w:pStyle w:val="Default"/>
        <w:spacing w:line="360" w:lineRule="auto"/>
        <w:rPr>
          <w:rFonts w:ascii="Verdana" w:hAnsi="Verdana" w:cs="Arial"/>
          <w:color w:val="auto"/>
          <w:sz w:val="18"/>
          <w:szCs w:val="18"/>
        </w:rPr>
      </w:pPr>
    </w:p>
    <w:p w:rsidRPr="00274049" w:rsidR="009E4017" w:rsidP="009E4017" w:rsidRDefault="009E4017">
      <w:pPr>
        <w:pStyle w:val="Kop1"/>
      </w:pPr>
      <w:proofErr w:type="spellStart"/>
      <w:r w:rsidRPr="00274049">
        <w:t>Niet-kaderrelevante</w:t>
      </w:r>
      <w:proofErr w:type="spellEnd"/>
      <w:r w:rsidRPr="00274049">
        <w:t xml:space="preserve"> uitgaven en </w:t>
      </w:r>
      <w:r w:rsidRPr="00274049" w:rsidR="005C2F36">
        <w:t>niet-belasting</w:t>
      </w:r>
      <w:r w:rsidRPr="00274049">
        <w:t>ontvangsten</w:t>
      </w:r>
    </w:p>
    <w:p w:rsidRPr="00274049" w:rsidR="00B812E0" w:rsidP="00B812E0" w:rsidRDefault="009E4017">
      <w:pPr>
        <w:pStyle w:val="Default"/>
        <w:spacing w:line="360" w:lineRule="auto"/>
        <w:rPr>
          <w:rFonts w:ascii="Verdana" w:hAnsi="Verdana" w:cs="Arial"/>
          <w:color w:val="auto"/>
          <w:sz w:val="18"/>
          <w:szCs w:val="18"/>
        </w:rPr>
      </w:pPr>
      <w:r w:rsidRPr="00274049">
        <w:rPr>
          <w:rFonts w:ascii="Verdana" w:hAnsi="Verdana" w:cs="Arial"/>
          <w:color w:val="auto"/>
          <w:sz w:val="18"/>
          <w:szCs w:val="18"/>
        </w:rPr>
        <w:t>In uitzondering op begrotingsregel</w:t>
      </w:r>
      <w:r w:rsidRPr="00274049" w:rsidR="0055611B">
        <w:rPr>
          <w:rFonts w:ascii="Verdana" w:hAnsi="Verdana" w:cs="Arial"/>
          <w:color w:val="auto"/>
          <w:sz w:val="18"/>
          <w:szCs w:val="18"/>
        </w:rPr>
        <w:t>s</w:t>
      </w:r>
      <w:r w:rsidRPr="00274049">
        <w:rPr>
          <w:rFonts w:ascii="Verdana" w:hAnsi="Verdana" w:cs="Arial"/>
          <w:color w:val="auto"/>
          <w:sz w:val="18"/>
          <w:szCs w:val="18"/>
        </w:rPr>
        <w:t xml:space="preserve"> </w:t>
      </w:r>
      <w:r w:rsidRPr="00274049" w:rsidR="0055611B">
        <w:rPr>
          <w:rFonts w:ascii="Verdana" w:hAnsi="Verdana" w:cs="Arial"/>
          <w:color w:val="auto"/>
          <w:sz w:val="18"/>
          <w:szCs w:val="18"/>
        </w:rPr>
        <w:t>3 en 1</w:t>
      </w:r>
      <w:r w:rsidRPr="00274049" w:rsidR="00581D42">
        <w:rPr>
          <w:rFonts w:ascii="Verdana" w:hAnsi="Verdana" w:cs="Arial"/>
          <w:color w:val="auto"/>
          <w:sz w:val="18"/>
          <w:szCs w:val="18"/>
        </w:rPr>
        <w:t>2</w:t>
      </w:r>
      <w:r w:rsidRPr="00274049">
        <w:rPr>
          <w:rFonts w:ascii="Verdana" w:hAnsi="Verdana" w:cs="Arial"/>
          <w:color w:val="auto"/>
          <w:sz w:val="18"/>
          <w:szCs w:val="18"/>
        </w:rPr>
        <w:t xml:space="preserve"> zijn niet relevant voor het uitgavenkader</w:t>
      </w:r>
      <w:r w:rsidRPr="00274049" w:rsidR="00176276">
        <w:rPr>
          <w:rFonts w:ascii="Verdana" w:hAnsi="Verdana" w:cs="Arial"/>
          <w:color w:val="auto"/>
          <w:sz w:val="18"/>
          <w:szCs w:val="18"/>
        </w:rPr>
        <w:t>:</w:t>
      </w:r>
      <w:r w:rsidRPr="00274049">
        <w:rPr>
          <w:rFonts w:ascii="Verdana" w:hAnsi="Verdana" w:cs="Arial"/>
          <w:color w:val="auto"/>
          <w:sz w:val="18"/>
          <w:szCs w:val="18"/>
        </w:rPr>
        <w:t xml:space="preserve"> de uitgaven en ontvangsten van het FES, het saldo van het </w:t>
      </w:r>
      <w:proofErr w:type="spellStart"/>
      <w:r w:rsidRPr="00274049">
        <w:rPr>
          <w:rFonts w:ascii="Verdana" w:hAnsi="Verdana" w:cs="Arial"/>
          <w:color w:val="auto"/>
          <w:sz w:val="18"/>
          <w:szCs w:val="18"/>
        </w:rPr>
        <w:t>Diergezondheidsfonds</w:t>
      </w:r>
      <w:proofErr w:type="spellEnd"/>
      <w:r w:rsidRPr="00274049">
        <w:rPr>
          <w:rFonts w:ascii="Verdana" w:hAnsi="Verdana" w:cs="Arial"/>
          <w:color w:val="auto"/>
          <w:sz w:val="18"/>
          <w:szCs w:val="18"/>
        </w:rPr>
        <w:t xml:space="preserve">, en het </w:t>
      </w:r>
      <w:proofErr w:type="spellStart"/>
      <w:r w:rsidRPr="00274049">
        <w:rPr>
          <w:rFonts w:ascii="Verdana" w:hAnsi="Verdana" w:cs="Arial"/>
          <w:color w:val="auto"/>
          <w:sz w:val="18"/>
          <w:szCs w:val="18"/>
        </w:rPr>
        <w:t>BTW-compensatiefonds</w:t>
      </w:r>
      <w:proofErr w:type="spellEnd"/>
      <w:r w:rsidRPr="00274049">
        <w:rPr>
          <w:rFonts w:ascii="Verdana" w:hAnsi="Verdana" w:cs="Arial"/>
          <w:color w:val="auto"/>
          <w:sz w:val="18"/>
          <w:szCs w:val="18"/>
        </w:rPr>
        <w:t xml:space="preserve">, de </w:t>
      </w:r>
      <w:r w:rsidRPr="00274049" w:rsidR="00454769">
        <w:rPr>
          <w:rFonts w:ascii="Verdana" w:hAnsi="Verdana" w:cs="Arial"/>
          <w:color w:val="auto"/>
          <w:sz w:val="18"/>
          <w:szCs w:val="18"/>
        </w:rPr>
        <w:t>delfstof</w:t>
      </w:r>
      <w:r w:rsidRPr="00274049">
        <w:rPr>
          <w:rFonts w:ascii="Verdana" w:hAnsi="Verdana" w:cs="Arial"/>
          <w:color w:val="auto"/>
          <w:sz w:val="18"/>
          <w:szCs w:val="18"/>
        </w:rPr>
        <w:t>baten en veilingopbrengsten. De rijksbijdragen aan de sociale fondsen, de rentebetalingen aan de sociale fondsen en de premiebijdragen zijn om boekhoudkundige dubbeltellingen te voorkomen niet relevant. De zorgtoeslag</w:t>
      </w:r>
      <w:r w:rsidRPr="00274049" w:rsidR="00CB0ADE">
        <w:rPr>
          <w:rFonts w:ascii="Verdana" w:hAnsi="Verdana" w:cs="Arial"/>
          <w:color w:val="auto"/>
          <w:sz w:val="18"/>
          <w:szCs w:val="18"/>
        </w:rPr>
        <w:t xml:space="preserve">, </w:t>
      </w:r>
      <w:proofErr w:type="spellStart"/>
      <w:r w:rsidRPr="00274049" w:rsidR="00CB0ADE">
        <w:rPr>
          <w:rFonts w:ascii="Verdana" w:hAnsi="Verdana" w:cs="Arial"/>
          <w:color w:val="auto"/>
          <w:sz w:val="18"/>
          <w:szCs w:val="18"/>
        </w:rPr>
        <w:t>ETS-opbrengsten</w:t>
      </w:r>
      <w:proofErr w:type="spellEnd"/>
      <w:r w:rsidRPr="00274049" w:rsidR="00CB0ADE">
        <w:rPr>
          <w:rFonts w:ascii="Verdana" w:hAnsi="Verdana" w:cs="Arial"/>
          <w:color w:val="auto"/>
          <w:sz w:val="18"/>
          <w:szCs w:val="18"/>
        </w:rPr>
        <w:t xml:space="preserve"> en SDE+-heffing</w:t>
      </w:r>
      <w:r w:rsidRPr="00274049" w:rsidR="000D7EE6">
        <w:rPr>
          <w:rFonts w:ascii="Verdana" w:hAnsi="Verdana" w:cs="Arial"/>
          <w:color w:val="auto"/>
          <w:sz w:val="18"/>
          <w:szCs w:val="18"/>
        </w:rPr>
        <w:t xml:space="preserve"> zijn</w:t>
      </w:r>
      <w:r w:rsidRPr="00274049">
        <w:rPr>
          <w:rFonts w:ascii="Verdana" w:hAnsi="Verdana" w:cs="Arial"/>
          <w:color w:val="auto"/>
          <w:sz w:val="18"/>
          <w:szCs w:val="18"/>
        </w:rPr>
        <w:t xml:space="preserve"> niet relevant voor het uitg</w:t>
      </w:r>
      <w:r w:rsidRPr="00274049" w:rsidR="00503181">
        <w:rPr>
          <w:rFonts w:ascii="Verdana" w:hAnsi="Verdana" w:cs="Arial"/>
          <w:color w:val="auto"/>
          <w:sz w:val="18"/>
          <w:szCs w:val="18"/>
        </w:rPr>
        <w:t>avenkader</w:t>
      </w:r>
      <w:r w:rsidRPr="00274049" w:rsidR="00752C7A">
        <w:rPr>
          <w:rFonts w:ascii="Verdana" w:hAnsi="Verdana" w:cs="Arial"/>
          <w:color w:val="auto"/>
          <w:sz w:val="18"/>
          <w:szCs w:val="18"/>
        </w:rPr>
        <w:t>, wel voor het inkomstenkader.</w:t>
      </w:r>
    </w:p>
    <w:p w:rsidRPr="00274049" w:rsidR="00B812E0" w:rsidP="00B812E0" w:rsidRDefault="00B812E0">
      <w:pPr>
        <w:pStyle w:val="Default"/>
        <w:spacing w:line="360" w:lineRule="auto"/>
        <w:rPr>
          <w:rFonts w:ascii="Verdana" w:hAnsi="Verdana" w:cs="Arial"/>
          <w:color w:val="auto"/>
          <w:sz w:val="18"/>
          <w:szCs w:val="18"/>
        </w:rPr>
      </w:pPr>
    </w:p>
    <w:p w:rsidRPr="00274049" w:rsidR="00B812E0" w:rsidP="00B65C1C" w:rsidRDefault="00B812E0">
      <w:pPr>
        <w:pStyle w:val="Kop1"/>
      </w:pPr>
      <w:r w:rsidRPr="00274049">
        <w:t>Voor elk van de drie budgetdisciplinesectoren geld</w:t>
      </w:r>
      <w:r w:rsidRPr="00274049" w:rsidR="007C4284">
        <w:t xml:space="preserve">en </w:t>
      </w:r>
      <w:r w:rsidRPr="00274049">
        <w:t xml:space="preserve">de budgettaire kaders als maatstaf voor de bepaling van over- en </w:t>
      </w:r>
      <w:proofErr w:type="spellStart"/>
      <w:r w:rsidRPr="00274049">
        <w:t>onderschrijdingen</w:t>
      </w:r>
      <w:proofErr w:type="spellEnd"/>
      <w:r w:rsidRPr="00274049">
        <w:t xml:space="preserve"> in de desbetreffende sector. </w:t>
      </w:r>
    </w:p>
    <w:p w:rsidRPr="00274049" w:rsidR="00FA6E70" w:rsidP="00B812E0" w:rsidRDefault="00FA6E70">
      <w:pPr>
        <w:pStyle w:val="Default"/>
        <w:spacing w:line="360" w:lineRule="auto"/>
        <w:rPr>
          <w:rFonts w:ascii="Verdana" w:hAnsi="Verdana" w:cs="Arial"/>
          <w:color w:val="auto"/>
          <w:sz w:val="18"/>
          <w:szCs w:val="18"/>
        </w:rPr>
      </w:pPr>
    </w:p>
    <w:p w:rsidRPr="00274049" w:rsidR="00B812E0" w:rsidP="00B65C1C" w:rsidRDefault="00B812E0">
      <w:pPr>
        <w:pStyle w:val="Kop1"/>
      </w:pPr>
      <w:r w:rsidRPr="00274049">
        <w:t xml:space="preserve">Een overschrijding van de vastgelegde verplichtingenbedragen is slechts toegestaan indien en voor zover de kaseffecten daarvan passen binnen, respectievelijk opgevangen </w:t>
      </w:r>
      <w:r w:rsidRPr="00274049">
        <w:lastRenderedPageBreak/>
        <w:t>kunnen worden binnen de voor het begrotingsjaar afgesproken (kas)ramingen en de bijbehorende meerjarencijfers</w:t>
      </w:r>
      <w:r w:rsidRPr="00274049" w:rsidR="00C6397D">
        <w:t>.</w:t>
      </w:r>
      <w:r w:rsidRPr="00274049">
        <w:t xml:space="preserve"> </w:t>
      </w:r>
    </w:p>
    <w:p w:rsidRPr="00274049" w:rsidR="00B812E0" w:rsidP="00B812E0" w:rsidRDefault="00B812E0">
      <w:pPr>
        <w:pStyle w:val="Default"/>
        <w:spacing w:line="360" w:lineRule="auto"/>
        <w:rPr>
          <w:rFonts w:ascii="Verdana" w:hAnsi="Verdana" w:cs="Arial"/>
          <w:color w:val="auto"/>
          <w:sz w:val="18"/>
          <w:szCs w:val="18"/>
        </w:rPr>
      </w:pPr>
    </w:p>
    <w:p w:rsidRPr="00274049" w:rsidR="0006664A" w:rsidP="00EB4B94" w:rsidRDefault="00B812E0">
      <w:pPr>
        <w:pStyle w:val="Kop1"/>
      </w:pPr>
      <w:r w:rsidRPr="00274049">
        <w:t>Dreigende overschrijdingen dienen door passende en tijdige maatregelen zoveel mogelijk te worden voorkomen</w:t>
      </w:r>
      <w:r w:rsidRPr="00274049" w:rsidR="00C6397D">
        <w:t>.</w:t>
      </w:r>
      <w:r w:rsidRPr="00274049">
        <w:t xml:space="preserve"> </w:t>
      </w:r>
    </w:p>
    <w:p w:rsidRPr="00274049" w:rsidR="00BD2990" w:rsidP="00B812E0" w:rsidRDefault="00BD2990">
      <w:pPr>
        <w:pStyle w:val="Default"/>
        <w:spacing w:line="360" w:lineRule="auto"/>
        <w:rPr>
          <w:rFonts w:ascii="Verdana" w:hAnsi="Verdana" w:cs="Arial"/>
          <w:color w:val="auto"/>
          <w:sz w:val="18"/>
          <w:szCs w:val="18"/>
        </w:rPr>
      </w:pPr>
    </w:p>
    <w:p w:rsidRPr="00274049" w:rsidR="00B812E0" w:rsidP="00B65C1C" w:rsidRDefault="00B812E0">
      <w:pPr>
        <w:pStyle w:val="Kop1"/>
      </w:pPr>
      <w:r w:rsidRPr="00274049">
        <w:t>Iedere overschrijding dient te worden gecompenseerd, met inachtneming van gemaakte afspraken over eindejaarsmarges en compensatie over de jaren heen</w:t>
      </w:r>
      <w:r w:rsidRPr="00274049" w:rsidR="00C6397D">
        <w:t>.</w:t>
      </w:r>
      <w:r w:rsidRPr="00274049">
        <w:t xml:space="preserve"> </w:t>
      </w:r>
    </w:p>
    <w:p w:rsidRPr="00274049" w:rsidR="00B812E0" w:rsidP="00B812E0" w:rsidRDefault="00B812E0">
      <w:pPr>
        <w:pStyle w:val="Default"/>
        <w:spacing w:line="360" w:lineRule="auto"/>
        <w:rPr>
          <w:rFonts w:ascii="Verdana" w:hAnsi="Verdana" w:cs="Arial"/>
          <w:color w:val="auto"/>
          <w:sz w:val="18"/>
          <w:szCs w:val="18"/>
        </w:rPr>
      </w:pPr>
      <w:r w:rsidRPr="00274049">
        <w:rPr>
          <w:rFonts w:ascii="Verdana" w:hAnsi="Verdana" w:cs="Arial"/>
          <w:color w:val="auto"/>
          <w:sz w:val="18"/>
          <w:szCs w:val="18"/>
        </w:rPr>
        <w:t>In het kader van de eindejaarsproblematiek kunnen binnen een begroting tot een bepaalde omvang gelden van het ene naar het andere begrotingsjaar worden geschoven. Deze zogeheten eindejaarsmarge bedraagt</w:t>
      </w:r>
      <w:r w:rsidRPr="00274049" w:rsidR="00DA3453">
        <w:rPr>
          <w:rFonts w:ascii="Verdana" w:hAnsi="Verdana" w:cs="Arial"/>
          <w:color w:val="auto"/>
          <w:sz w:val="18"/>
          <w:szCs w:val="18"/>
        </w:rPr>
        <w:t xml:space="preserve"> maximaal</w:t>
      </w:r>
      <w:r w:rsidRPr="00274049">
        <w:rPr>
          <w:rFonts w:ascii="Verdana" w:hAnsi="Verdana" w:cs="Arial"/>
          <w:color w:val="auto"/>
          <w:sz w:val="18"/>
          <w:szCs w:val="18"/>
        </w:rPr>
        <w:t xml:space="preserve"> 1,0</w:t>
      </w:r>
      <w:r w:rsidRPr="00274049" w:rsidR="003B2EF9">
        <w:rPr>
          <w:rFonts w:ascii="Verdana" w:hAnsi="Verdana" w:cs="Arial"/>
          <w:color w:val="auto"/>
          <w:sz w:val="18"/>
          <w:szCs w:val="18"/>
        </w:rPr>
        <w:t xml:space="preserve"> procent</w:t>
      </w:r>
      <w:r w:rsidRPr="00274049">
        <w:rPr>
          <w:rFonts w:ascii="Verdana" w:hAnsi="Verdana" w:cs="Arial"/>
          <w:color w:val="auto"/>
          <w:sz w:val="18"/>
          <w:szCs w:val="18"/>
        </w:rPr>
        <w:t xml:space="preserve"> van de (gecorrigeerde) </w:t>
      </w:r>
      <w:proofErr w:type="spellStart"/>
      <w:r w:rsidRPr="00274049">
        <w:rPr>
          <w:rFonts w:ascii="Verdana" w:hAnsi="Verdana" w:cs="Arial"/>
          <w:color w:val="auto"/>
          <w:sz w:val="18"/>
          <w:szCs w:val="18"/>
        </w:rPr>
        <w:t>bruto-uitgaven</w:t>
      </w:r>
      <w:proofErr w:type="spellEnd"/>
      <w:r w:rsidRPr="00274049" w:rsidR="00BD7137">
        <w:rPr>
          <w:rStyle w:val="Voetnootmarkering"/>
          <w:rFonts w:ascii="Verdana" w:hAnsi="Verdana" w:cs="Arial"/>
          <w:color w:val="auto"/>
          <w:sz w:val="18"/>
          <w:szCs w:val="18"/>
        </w:rPr>
        <w:footnoteReference w:id="3"/>
      </w:r>
      <w:r w:rsidRPr="00274049">
        <w:rPr>
          <w:rFonts w:ascii="Verdana" w:hAnsi="Verdana" w:cs="Arial"/>
          <w:color w:val="auto"/>
          <w:sz w:val="18"/>
          <w:szCs w:val="18"/>
        </w:rPr>
        <w:t xml:space="preserve">. </w:t>
      </w:r>
    </w:p>
    <w:p w:rsidRPr="00274049" w:rsidR="00B812E0" w:rsidP="00B812E0" w:rsidRDefault="00B812E0">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De fasering van compensatiemaatregelen kan voorlopen op de fasering van de problematiek. Het is ook mogelijk dat de compensatie in de tijd achterloopt, namelijk indien een parallelle fasering van compensatiemaatregelen en problematiek redelijkerwijs niet mogelijk is en alle mogelijkheden voor een regulier en doelmatig kasbeheer zijn uitgeput. Hiervoor wordt een </w:t>
      </w:r>
      <w:r w:rsidRPr="00274049" w:rsidR="00CA5C12">
        <w:rPr>
          <w:rFonts w:ascii="Verdana" w:hAnsi="Verdana" w:cs="Arial"/>
          <w:color w:val="auto"/>
          <w:sz w:val="18"/>
          <w:szCs w:val="18"/>
        </w:rPr>
        <w:t>maximale</w:t>
      </w:r>
      <w:r w:rsidRPr="00274049">
        <w:rPr>
          <w:rFonts w:ascii="Verdana" w:hAnsi="Verdana" w:cs="Arial"/>
          <w:color w:val="auto"/>
          <w:sz w:val="18"/>
          <w:szCs w:val="18"/>
        </w:rPr>
        <w:t xml:space="preserve"> termijn gehanteerd: de duur van de </w:t>
      </w:r>
      <w:r w:rsidRPr="00274049" w:rsidR="00351130">
        <w:rPr>
          <w:rFonts w:ascii="Verdana" w:hAnsi="Verdana" w:cs="Arial"/>
          <w:color w:val="auto"/>
          <w:sz w:val="18"/>
          <w:szCs w:val="18"/>
        </w:rPr>
        <w:t>meerjarenramingen (zie begrotingsregel 3</w:t>
      </w:r>
      <w:r w:rsidRPr="00274049" w:rsidR="001E528F">
        <w:rPr>
          <w:rFonts w:ascii="Verdana" w:hAnsi="Verdana" w:cs="Arial"/>
          <w:color w:val="auto"/>
          <w:sz w:val="18"/>
          <w:szCs w:val="18"/>
        </w:rPr>
        <w:t>2</w:t>
      </w:r>
      <w:r w:rsidRPr="00274049" w:rsidR="00351130">
        <w:rPr>
          <w:rFonts w:ascii="Verdana" w:hAnsi="Verdana" w:cs="Arial"/>
          <w:color w:val="auto"/>
          <w:sz w:val="18"/>
          <w:szCs w:val="18"/>
        </w:rPr>
        <w:t>)</w:t>
      </w:r>
      <w:r w:rsidRPr="00274049">
        <w:rPr>
          <w:rFonts w:ascii="Verdana" w:hAnsi="Verdana" w:cs="Arial"/>
          <w:color w:val="auto"/>
          <w:sz w:val="18"/>
          <w:szCs w:val="18"/>
        </w:rPr>
        <w:t xml:space="preserve">. Voorstellen tot intertemporele compensatie lopen mee in de besluitvorming op het </w:t>
      </w:r>
      <w:proofErr w:type="spellStart"/>
      <w:r w:rsidRPr="00274049">
        <w:rPr>
          <w:rFonts w:ascii="Verdana" w:hAnsi="Verdana" w:cs="Arial"/>
          <w:color w:val="auto"/>
          <w:sz w:val="18"/>
          <w:szCs w:val="18"/>
        </w:rPr>
        <w:t>hoofdbesluitvormingsmoment</w:t>
      </w:r>
      <w:proofErr w:type="spellEnd"/>
      <w:r w:rsidRPr="00274049">
        <w:rPr>
          <w:rFonts w:ascii="Verdana" w:hAnsi="Verdana" w:cs="Arial"/>
          <w:color w:val="auto"/>
          <w:sz w:val="18"/>
          <w:szCs w:val="18"/>
        </w:rPr>
        <w:t xml:space="preserve">. Mutaties van louter statistische aard (zie </w:t>
      </w:r>
      <w:r w:rsidRPr="00274049" w:rsidR="00BD7137">
        <w:rPr>
          <w:rFonts w:ascii="Verdana" w:hAnsi="Verdana" w:cs="Arial"/>
          <w:color w:val="auto"/>
          <w:sz w:val="18"/>
          <w:szCs w:val="18"/>
        </w:rPr>
        <w:t xml:space="preserve">begrotingsregel </w:t>
      </w:r>
      <w:r w:rsidRPr="00274049" w:rsidR="0055611B">
        <w:rPr>
          <w:rFonts w:ascii="Verdana" w:hAnsi="Verdana" w:cs="Arial"/>
          <w:color w:val="auto"/>
          <w:sz w:val="18"/>
          <w:szCs w:val="18"/>
        </w:rPr>
        <w:t>8</w:t>
      </w:r>
      <w:r w:rsidRPr="00274049">
        <w:rPr>
          <w:rFonts w:ascii="Verdana" w:hAnsi="Verdana" w:cs="Arial"/>
          <w:color w:val="auto"/>
          <w:sz w:val="18"/>
          <w:szCs w:val="18"/>
        </w:rPr>
        <w:t xml:space="preserve">) blijven bij de toetsing van de feitelijke uitgavenontwikkeling aan de budgettaire kaders buiten beschouwing. </w:t>
      </w:r>
    </w:p>
    <w:p w:rsidRPr="00274049" w:rsidR="00B812E0" w:rsidP="00B812E0" w:rsidRDefault="00B812E0">
      <w:pPr>
        <w:pStyle w:val="Default"/>
        <w:spacing w:line="360" w:lineRule="auto"/>
        <w:rPr>
          <w:rFonts w:ascii="Verdana" w:hAnsi="Verdana" w:cs="Arial"/>
          <w:color w:val="auto"/>
          <w:sz w:val="18"/>
          <w:szCs w:val="18"/>
        </w:rPr>
      </w:pPr>
    </w:p>
    <w:p w:rsidRPr="00274049" w:rsidR="001555D0" w:rsidP="001555D0" w:rsidRDefault="001555D0">
      <w:pPr>
        <w:pStyle w:val="Kop1"/>
      </w:pPr>
      <w:r w:rsidRPr="00274049">
        <w:t>Overschrijdingen worden specifiek gecompenseerd</w:t>
      </w:r>
      <w:r w:rsidRPr="00274049" w:rsidR="00C6397D">
        <w:t>.</w:t>
      </w:r>
    </w:p>
    <w:p w:rsidRPr="00274049" w:rsidR="00131CC8" w:rsidP="00131CC8" w:rsidRDefault="001555D0">
      <w:pPr>
        <w:pStyle w:val="Default"/>
        <w:spacing w:line="360" w:lineRule="auto"/>
        <w:rPr>
          <w:rFonts w:ascii="Verdana" w:hAnsi="Verdana" w:cs="Arial"/>
          <w:color w:val="auto"/>
          <w:sz w:val="18"/>
          <w:szCs w:val="18"/>
        </w:rPr>
      </w:pPr>
      <w:r w:rsidRPr="00274049">
        <w:rPr>
          <w:rFonts w:ascii="Verdana" w:hAnsi="Verdana" w:cs="Arial"/>
          <w:sz w:val="18"/>
          <w:szCs w:val="18"/>
        </w:rPr>
        <w:t xml:space="preserve">Specifieke compensatie betekent dat compensatie in de betrokken regeling of elders op de betrokken begroting </w:t>
      </w:r>
      <w:r w:rsidRPr="00274049" w:rsidR="005C2F36">
        <w:rPr>
          <w:rFonts w:ascii="Verdana" w:hAnsi="Verdana" w:cs="Arial"/>
          <w:sz w:val="18"/>
          <w:szCs w:val="18"/>
        </w:rPr>
        <w:t xml:space="preserve">binnen de </w:t>
      </w:r>
      <w:r w:rsidRPr="00274049">
        <w:rPr>
          <w:rFonts w:ascii="Verdana" w:hAnsi="Verdana" w:cs="Arial"/>
          <w:sz w:val="18"/>
          <w:szCs w:val="18"/>
        </w:rPr>
        <w:t xml:space="preserve">sector RBG-eng of </w:t>
      </w:r>
      <w:r w:rsidRPr="00274049" w:rsidR="005C2F36">
        <w:rPr>
          <w:rFonts w:ascii="Verdana" w:hAnsi="Verdana" w:cs="Arial"/>
          <w:sz w:val="18"/>
          <w:szCs w:val="18"/>
        </w:rPr>
        <w:t xml:space="preserve">binnen elk van de twee andere </w:t>
      </w:r>
      <w:r w:rsidRPr="00274049">
        <w:rPr>
          <w:rFonts w:ascii="Verdana" w:hAnsi="Verdana" w:cs="Arial"/>
          <w:sz w:val="18"/>
          <w:szCs w:val="18"/>
        </w:rPr>
        <w:t>sector</w:t>
      </w:r>
      <w:r w:rsidRPr="00274049" w:rsidR="005C2F36">
        <w:rPr>
          <w:rFonts w:ascii="Verdana" w:hAnsi="Verdana" w:cs="Arial"/>
          <w:sz w:val="18"/>
          <w:szCs w:val="18"/>
        </w:rPr>
        <w:t>en</w:t>
      </w:r>
      <w:r w:rsidRPr="00274049">
        <w:rPr>
          <w:rFonts w:ascii="Verdana" w:hAnsi="Verdana" w:cs="Arial"/>
          <w:sz w:val="18"/>
          <w:szCs w:val="18"/>
        </w:rPr>
        <w:t xml:space="preserve"> (BKZ en SZA) gevonden moet worden. </w:t>
      </w:r>
      <w:r w:rsidRPr="00274049" w:rsidR="00CE0DD2">
        <w:rPr>
          <w:rFonts w:ascii="Verdana" w:hAnsi="Verdana" w:cs="Arial"/>
          <w:sz w:val="18"/>
          <w:szCs w:val="18"/>
        </w:rPr>
        <w:t>Voor compensatie in de premiegefinancierde zorg waarvoor vrije tarieven gelden, staat de overheid</w:t>
      </w:r>
      <w:r w:rsidRPr="00274049" w:rsidR="00FE2567">
        <w:rPr>
          <w:rFonts w:ascii="Verdana" w:hAnsi="Verdana" w:cs="Arial"/>
          <w:sz w:val="18"/>
          <w:szCs w:val="18"/>
        </w:rPr>
        <w:t xml:space="preserve"> bijvoorbeeld</w:t>
      </w:r>
      <w:r w:rsidRPr="00274049" w:rsidR="00CE0DD2">
        <w:rPr>
          <w:rFonts w:ascii="Verdana" w:hAnsi="Verdana" w:cs="Arial"/>
          <w:sz w:val="18"/>
          <w:szCs w:val="18"/>
        </w:rPr>
        <w:t xml:space="preserve"> het treffen van pakketmaatregelen en eigen betalingen ter beschikking. Voor de overige zorg staan daarnaast </w:t>
      </w:r>
      <w:r w:rsidRPr="00274049" w:rsidR="00FE2567">
        <w:rPr>
          <w:rFonts w:ascii="Verdana" w:hAnsi="Verdana" w:cs="Arial"/>
          <w:sz w:val="18"/>
          <w:szCs w:val="18"/>
        </w:rPr>
        <w:t>onder andere</w:t>
      </w:r>
      <w:r w:rsidRPr="00274049" w:rsidR="00CE0DD2">
        <w:rPr>
          <w:rFonts w:ascii="Verdana" w:hAnsi="Verdana" w:cs="Arial"/>
          <w:sz w:val="18"/>
          <w:szCs w:val="18"/>
        </w:rPr>
        <w:t xml:space="preserve"> prijs- en volumemaatregelen ter beschikking. </w:t>
      </w:r>
      <w:r w:rsidRPr="00274049">
        <w:rPr>
          <w:rFonts w:ascii="Verdana" w:hAnsi="Verdana" w:cs="Arial"/>
          <w:sz w:val="18"/>
          <w:szCs w:val="18"/>
        </w:rPr>
        <w:t xml:space="preserve">De bewindspersoon die verantwoordelijk is voor het beleidsterrein waar de overschrijding zich voordoet, doet in dezelfde budgettaire </w:t>
      </w:r>
      <w:r w:rsidRPr="00274049" w:rsidR="00B41DD7">
        <w:rPr>
          <w:rFonts w:ascii="Verdana" w:hAnsi="Verdana" w:cs="Arial"/>
          <w:sz w:val="18"/>
          <w:szCs w:val="18"/>
        </w:rPr>
        <w:t>brief of begroting</w:t>
      </w:r>
      <w:r w:rsidRPr="00274049">
        <w:rPr>
          <w:rFonts w:ascii="Verdana" w:hAnsi="Verdana" w:cs="Arial"/>
          <w:sz w:val="18"/>
          <w:szCs w:val="18"/>
        </w:rPr>
        <w:t xml:space="preserve"> voorstellen voor specifieke compensatie. </w:t>
      </w:r>
      <w:r w:rsidRPr="00274049" w:rsidR="00131CC8">
        <w:rPr>
          <w:rFonts w:ascii="Verdana" w:hAnsi="Verdana" w:cs="Arial"/>
          <w:color w:val="auto"/>
          <w:sz w:val="18"/>
          <w:szCs w:val="18"/>
        </w:rPr>
        <w:t xml:space="preserve">Een saldo van tegenvallers boven meevallers op een begroting of binnen een budgetdisciplinesector dient specifiek te worden gecompenseerd via ombuigingen. </w:t>
      </w:r>
    </w:p>
    <w:p w:rsidRPr="00274049" w:rsidR="00117823" w:rsidP="001555D0" w:rsidRDefault="00117823">
      <w:pPr>
        <w:spacing w:line="360" w:lineRule="auto"/>
        <w:rPr>
          <w:rFonts w:ascii="Verdana" w:hAnsi="Verdana" w:cs="Arial"/>
          <w:sz w:val="18"/>
          <w:szCs w:val="18"/>
        </w:rPr>
      </w:pPr>
    </w:p>
    <w:p w:rsidRPr="00274049" w:rsidR="00B812E0" w:rsidP="00B65C1C" w:rsidRDefault="00B812E0">
      <w:pPr>
        <w:pStyle w:val="Kop1"/>
      </w:pPr>
      <w:r w:rsidRPr="00274049">
        <w:t>Meevallers mogen dienen als compensatie voor tegenvallers, maar niet voor beleidsintensiveringen</w:t>
      </w:r>
      <w:r w:rsidRPr="00274049" w:rsidR="00C6397D">
        <w:t>.</w:t>
      </w:r>
      <w:r w:rsidRPr="00274049">
        <w:t xml:space="preserve"> </w:t>
      </w:r>
    </w:p>
    <w:p w:rsidRPr="00274049" w:rsidR="00131CC8" w:rsidP="00B812E0" w:rsidRDefault="00B812E0">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Meevallers mogen alleen worden ingezet voor tegenvallers </w:t>
      </w:r>
      <w:r w:rsidRPr="00274049" w:rsidR="004E562E">
        <w:rPr>
          <w:rFonts w:ascii="Verdana" w:hAnsi="Verdana" w:cs="Arial"/>
          <w:color w:val="auto"/>
          <w:sz w:val="18"/>
          <w:szCs w:val="18"/>
        </w:rPr>
        <w:t>voor zover</w:t>
      </w:r>
      <w:r w:rsidRPr="00274049">
        <w:rPr>
          <w:rFonts w:ascii="Verdana" w:hAnsi="Verdana" w:cs="Arial"/>
          <w:color w:val="auto"/>
          <w:sz w:val="18"/>
          <w:szCs w:val="18"/>
        </w:rPr>
        <w:t xml:space="preserve"> het niet betreft meevallers bij </w:t>
      </w:r>
      <w:r w:rsidRPr="00274049" w:rsidR="00176276">
        <w:rPr>
          <w:rFonts w:ascii="Verdana" w:hAnsi="Verdana" w:cs="Arial"/>
          <w:color w:val="auto"/>
          <w:sz w:val="18"/>
          <w:szCs w:val="18"/>
        </w:rPr>
        <w:t xml:space="preserve">- </w:t>
      </w:r>
      <w:r w:rsidRPr="00274049" w:rsidR="00831E86">
        <w:rPr>
          <w:rFonts w:ascii="Verdana" w:hAnsi="Verdana" w:cs="Arial"/>
          <w:color w:val="auto"/>
          <w:sz w:val="18"/>
          <w:szCs w:val="18"/>
        </w:rPr>
        <w:t xml:space="preserve">tijdens de kabinetsperiode </w:t>
      </w:r>
      <w:r w:rsidRPr="00274049" w:rsidR="00176276">
        <w:rPr>
          <w:rFonts w:ascii="Verdana" w:hAnsi="Verdana" w:cs="Arial"/>
          <w:color w:val="auto"/>
          <w:sz w:val="18"/>
          <w:szCs w:val="18"/>
        </w:rPr>
        <w:t xml:space="preserve">- </w:t>
      </w:r>
      <w:r w:rsidRPr="00274049">
        <w:rPr>
          <w:rFonts w:ascii="Verdana" w:hAnsi="Verdana" w:cs="Arial"/>
          <w:color w:val="auto"/>
          <w:sz w:val="18"/>
          <w:szCs w:val="18"/>
        </w:rPr>
        <w:t xml:space="preserve">generaal aan de begroting toegevoegde middelen. Over de aanwending van </w:t>
      </w:r>
      <w:r w:rsidRPr="00274049" w:rsidR="00CA5C12">
        <w:rPr>
          <w:rFonts w:ascii="Verdana" w:hAnsi="Verdana" w:cs="Arial"/>
          <w:color w:val="auto"/>
          <w:sz w:val="18"/>
          <w:szCs w:val="18"/>
        </w:rPr>
        <w:t xml:space="preserve">per saldo </w:t>
      </w:r>
      <w:r w:rsidRPr="00274049">
        <w:rPr>
          <w:rFonts w:ascii="Verdana" w:hAnsi="Verdana" w:cs="Arial"/>
          <w:color w:val="auto"/>
          <w:sz w:val="18"/>
          <w:szCs w:val="18"/>
        </w:rPr>
        <w:t xml:space="preserve">meevallers op een begroting of in een budgetdisciplinesector besluit de Ministerraad. </w:t>
      </w:r>
    </w:p>
    <w:p w:rsidRPr="00274049" w:rsidR="00117823" w:rsidP="00B812E0" w:rsidRDefault="00117823">
      <w:pPr>
        <w:pStyle w:val="Default"/>
        <w:spacing w:line="360" w:lineRule="auto"/>
        <w:rPr>
          <w:rFonts w:ascii="Verdana" w:hAnsi="Verdana" w:cs="Arial"/>
          <w:color w:val="auto"/>
          <w:sz w:val="18"/>
          <w:szCs w:val="18"/>
        </w:rPr>
      </w:pPr>
    </w:p>
    <w:p w:rsidRPr="00274049" w:rsidR="00117823" w:rsidP="00117823" w:rsidRDefault="00117823">
      <w:pPr>
        <w:pStyle w:val="Kop1"/>
      </w:pPr>
      <w:r w:rsidRPr="00274049">
        <w:lastRenderedPageBreak/>
        <w:t xml:space="preserve">Over- en </w:t>
      </w:r>
      <w:proofErr w:type="spellStart"/>
      <w:r w:rsidRPr="00274049">
        <w:t>onderschrijdingen</w:t>
      </w:r>
      <w:proofErr w:type="spellEnd"/>
      <w:r w:rsidRPr="00274049">
        <w:t xml:space="preserve"> worden tijdig aan de minister van Financiën gemeld</w:t>
      </w:r>
      <w:r w:rsidRPr="00274049" w:rsidR="00C6397D">
        <w:t>.</w:t>
      </w:r>
    </w:p>
    <w:p w:rsidRPr="00274049" w:rsidR="00117823" w:rsidP="00117823" w:rsidRDefault="00117823">
      <w:pPr>
        <w:pStyle w:val="Kop1"/>
        <w:numPr>
          <w:ilvl w:val="0"/>
          <w:numId w:val="0"/>
        </w:numPr>
      </w:pPr>
      <w:r w:rsidRPr="00274049">
        <w:rPr>
          <w:b w:val="0"/>
        </w:rPr>
        <w:t xml:space="preserve">Over- en </w:t>
      </w:r>
      <w:proofErr w:type="spellStart"/>
      <w:r w:rsidRPr="00274049">
        <w:rPr>
          <w:b w:val="0"/>
        </w:rPr>
        <w:t>onderschrijdingen</w:t>
      </w:r>
      <w:proofErr w:type="spellEnd"/>
      <w:r w:rsidRPr="00274049">
        <w:rPr>
          <w:b w:val="0"/>
        </w:rPr>
        <w:t xml:space="preserve"> worden, los van de reden of oorzaak, zo snel als mogelijk schriftelijk aan de minister van Financiën gemeld. Deze regel geldt ook voor geplande intensiveringen of ombuigingen, deelname aan Europees beleid, of zaken waarop voorafgaand toezicht geldt.</w:t>
      </w:r>
    </w:p>
    <w:p w:rsidRPr="00274049" w:rsidR="00B812E0" w:rsidP="00B812E0" w:rsidRDefault="00B812E0">
      <w:pPr>
        <w:pStyle w:val="Default"/>
        <w:spacing w:line="360" w:lineRule="auto"/>
        <w:rPr>
          <w:rFonts w:ascii="Verdana" w:hAnsi="Verdana" w:cs="Arial"/>
          <w:color w:val="auto"/>
          <w:sz w:val="18"/>
          <w:szCs w:val="18"/>
        </w:rPr>
      </w:pPr>
    </w:p>
    <w:p w:rsidRPr="00274049" w:rsidR="00B812E0" w:rsidP="009E4017" w:rsidRDefault="00B812E0">
      <w:pPr>
        <w:pStyle w:val="Kop1"/>
      </w:pPr>
      <w:r w:rsidRPr="00274049">
        <w:t>Ruimte onder het uitgavenkader</w:t>
      </w:r>
      <w:r w:rsidRPr="00274049" w:rsidR="005C2F36">
        <w:t>,</w:t>
      </w:r>
      <w:r w:rsidRPr="00274049">
        <w:t xml:space="preserve"> ontstaan door </w:t>
      </w:r>
      <w:r w:rsidRPr="00274049" w:rsidR="00CE0DD2">
        <w:t xml:space="preserve">(tijdelijke) </w:t>
      </w:r>
      <w:r w:rsidRPr="00274049">
        <w:t>meevallers als gevolg van een gunstiger macro-economische ontwikkeling (zoals een lager volume in de sociale zekerheid of een ruilvoetwinst)</w:t>
      </w:r>
      <w:r w:rsidRPr="00274049" w:rsidR="005C2F36">
        <w:t>,</w:t>
      </w:r>
      <w:r w:rsidRPr="00274049">
        <w:t xml:space="preserve"> mag niet structureel worden aangewend</w:t>
      </w:r>
      <w:r w:rsidRPr="00274049" w:rsidR="00C6397D">
        <w:t>.</w:t>
      </w:r>
      <w:r w:rsidRPr="00274049">
        <w:t xml:space="preserve"> </w:t>
      </w:r>
    </w:p>
    <w:p w:rsidRPr="00274049" w:rsidR="00117823" w:rsidP="006D31B1" w:rsidRDefault="00117823">
      <w:pPr>
        <w:pStyle w:val="Default"/>
        <w:spacing w:line="360" w:lineRule="auto"/>
        <w:rPr>
          <w:rFonts w:ascii="Verdana" w:hAnsi="Verdana" w:cs="Arial"/>
          <w:color w:val="auto"/>
          <w:sz w:val="18"/>
          <w:szCs w:val="18"/>
        </w:rPr>
      </w:pPr>
    </w:p>
    <w:p w:rsidRPr="00274049" w:rsidR="00FD675D" w:rsidP="00B65C1C" w:rsidRDefault="000D7EE6">
      <w:pPr>
        <w:pStyle w:val="Kop1"/>
      </w:pPr>
      <w:r w:rsidRPr="00274049">
        <w:t xml:space="preserve">Rentelasten op de staatsschuld vallen buiten het uitgavenkader. </w:t>
      </w:r>
    </w:p>
    <w:p w:rsidRPr="00274049" w:rsidR="0044440E" w:rsidP="0044440E" w:rsidRDefault="0044440E">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Rente-uitgaven (en -ontvangsten) samenhangende met de staatsschuld zijn niet relevant voor het kader. Dit bevordert de werking van de automatische stabilisatoren, doordat rentemeevallers niet automatisch leiden tot extra ruimte onder het uitgavenkader en direct worden ingezet ten gunste van het EMU-saldo. Indien op basis van CEP en/of MEV </w:t>
      </w:r>
      <w:r w:rsidRPr="00274049" w:rsidR="003F6D28">
        <w:rPr>
          <w:rFonts w:ascii="Verdana" w:hAnsi="Verdana" w:cs="Arial"/>
          <w:color w:val="auto"/>
          <w:sz w:val="18"/>
          <w:szCs w:val="18"/>
        </w:rPr>
        <w:t xml:space="preserve">blijkt dat de -3% </w:t>
      </w:r>
      <w:proofErr w:type="spellStart"/>
      <w:r w:rsidRPr="00274049" w:rsidR="003F6D28">
        <w:rPr>
          <w:rFonts w:ascii="Verdana" w:hAnsi="Verdana" w:cs="Arial"/>
          <w:color w:val="auto"/>
          <w:sz w:val="18"/>
          <w:szCs w:val="18"/>
        </w:rPr>
        <w:t>bbp</w:t>
      </w:r>
      <w:proofErr w:type="spellEnd"/>
      <w:r w:rsidRPr="00274049" w:rsidR="003F6D28">
        <w:rPr>
          <w:rFonts w:ascii="Verdana" w:hAnsi="Verdana" w:cs="Arial"/>
          <w:color w:val="auto"/>
          <w:sz w:val="18"/>
          <w:szCs w:val="18"/>
        </w:rPr>
        <w:t xml:space="preserve"> voor het feitelijk EMU</w:t>
      </w:r>
      <w:r w:rsidRPr="00274049" w:rsidR="00745FFE">
        <w:rPr>
          <w:rFonts w:ascii="Verdana" w:hAnsi="Verdana" w:cs="Arial"/>
          <w:color w:val="auto"/>
          <w:sz w:val="18"/>
          <w:szCs w:val="18"/>
        </w:rPr>
        <w:t>-</w:t>
      </w:r>
      <w:r w:rsidRPr="00274049" w:rsidR="003F6D28">
        <w:rPr>
          <w:rFonts w:ascii="Verdana" w:hAnsi="Verdana" w:cs="Arial"/>
          <w:color w:val="auto"/>
          <w:sz w:val="18"/>
          <w:szCs w:val="18"/>
        </w:rPr>
        <w:t>saldo wordt doorkruist</w:t>
      </w:r>
      <w:r w:rsidRPr="00274049">
        <w:rPr>
          <w:rFonts w:ascii="Verdana" w:hAnsi="Verdana" w:cs="Arial"/>
          <w:color w:val="auto"/>
          <w:sz w:val="18"/>
          <w:szCs w:val="18"/>
        </w:rPr>
        <w:t>, dan worden de rentetegenvallers ten opzichte van de laatste raming gecompenseerd met uitgavenmaatregelen.</w:t>
      </w:r>
    </w:p>
    <w:p w:rsidRPr="00274049" w:rsidR="00285D8A" w:rsidP="0044440E" w:rsidRDefault="00285D8A">
      <w:pPr>
        <w:pStyle w:val="Default"/>
        <w:spacing w:line="360" w:lineRule="auto"/>
        <w:rPr>
          <w:rFonts w:ascii="Verdana" w:hAnsi="Verdana" w:cs="Arial"/>
          <w:color w:val="auto"/>
          <w:sz w:val="18"/>
          <w:szCs w:val="18"/>
        </w:rPr>
      </w:pPr>
    </w:p>
    <w:p w:rsidRPr="00274049" w:rsidR="00623054" w:rsidP="00623054" w:rsidRDefault="00623054">
      <w:pPr>
        <w:pStyle w:val="Kop1"/>
      </w:pPr>
      <w:r w:rsidRPr="00274049">
        <w:t>Mutaties met een generale behandeling</w:t>
      </w:r>
    </w:p>
    <w:p w:rsidRPr="00274049" w:rsidR="008D1293" w:rsidP="008D1293" w:rsidRDefault="008D1293">
      <w:pPr>
        <w:spacing w:line="360" w:lineRule="auto"/>
        <w:rPr>
          <w:rFonts w:ascii="Verdana" w:hAnsi="Verdana" w:cs="Verdana"/>
          <w:bCs/>
          <w:iCs/>
          <w:sz w:val="18"/>
          <w:szCs w:val="18"/>
        </w:rPr>
      </w:pPr>
      <w:r w:rsidRPr="00274049">
        <w:rPr>
          <w:rFonts w:ascii="Verdana" w:hAnsi="Verdana" w:cs="Verdana"/>
          <w:bCs/>
          <w:iCs/>
          <w:sz w:val="18"/>
          <w:szCs w:val="18"/>
        </w:rPr>
        <w:t>Dividenden, vastgoed</w:t>
      </w:r>
      <w:r w:rsidRPr="00274049">
        <w:rPr>
          <w:rStyle w:val="Voetnootmarkering"/>
          <w:rFonts w:ascii="Verdana" w:hAnsi="Verdana" w:cs="Verdana"/>
          <w:bCs/>
          <w:iCs/>
          <w:sz w:val="18"/>
          <w:szCs w:val="18"/>
        </w:rPr>
        <w:footnoteReference w:id="4"/>
      </w:r>
      <w:r w:rsidRPr="00274049">
        <w:rPr>
          <w:rFonts w:ascii="Verdana" w:hAnsi="Verdana" w:cs="Verdana"/>
          <w:bCs/>
          <w:iCs/>
          <w:sz w:val="18"/>
          <w:szCs w:val="18"/>
        </w:rPr>
        <w:t xml:space="preserve"> en rente (niet samenhangende met de staatsschuld), alsmede mutaties in de omvang van het budget voor Ontwikkelingssamenwerking vanwege </w:t>
      </w:r>
      <w:proofErr w:type="spellStart"/>
      <w:r w:rsidRPr="00274049">
        <w:rPr>
          <w:rFonts w:ascii="Verdana" w:hAnsi="Verdana" w:cs="Verdana"/>
          <w:bCs/>
          <w:iCs/>
          <w:sz w:val="18"/>
          <w:szCs w:val="18"/>
        </w:rPr>
        <w:t>BNP-aanpassing</w:t>
      </w:r>
      <w:proofErr w:type="spellEnd"/>
      <w:r w:rsidRPr="00274049">
        <w:rPr>
          <w:rFonts w:ascii="Verdana" w:hAnsi="Verdana" w:cs="Verdana"/>
          <w:bCs/>
          <w:iCs/>
          <w:sz w:val="18"/>
          <w:szCs w:val="18"/>
        </w:rPr>
        <w:t>, EU-afdrachten, loon- en prijscompensatie en de groei van het gemeente- en provinciefonds worden via het generale beeld verwerkt.</w:t>
      </w:r>
    </w:p>
    <w:p w:rsidRPr="00274049" w:rsidR="008D1293" w:rsidP="008D1293" w:rsidRDefault="008D1293">
      <w:pPr>
        <w:spacing w:line="360" w:lineRule="auto"/>
        <w:rPr>
          <w:rFonts w:ascii="Verdana" w:hAnsi="Verdana" w:cs="Verdana"/>
          <w:sz w:val="18"/>
          <w:szCs w:val="18"/>
        </w:rPr>
      </w:pPr>
    </w:p>
    <w:p w:rsidRPr="00274049" w:rsidR="001E5CC2" w:rsidP="001E5CC2" w:rsidRDefault="008D1293">
      <w:pPr>
        <w:spacing w:line="360" w:lineRule="auto"/>
        <w:rPr>
          <w:rFonts w:ascii="Verdana" w:hAnsi="Verdana"/>
          <w:sz w:val="18"/>
          <w:szCs w:val="18"/>
        </w:rPr>
      </w:pPr>
      <w:r w:rsidRPr="00274049">
        <w:rPr>
          <w:rFonts w:ascii="Verdana" w:hAnsi="Verdana" w:cs="Verdana"/>
          <w:bCs/>
          <w:iCs/>
          <w:sz w:val="18"/>
          <w:szCs w:val="18"/>
        </w:rPr>
        <w:t xml:space="preserve">Wanneer opbrengsten uit staatsvermogen zoals rente, dividend, </w:t>
      </w:r>
      <w:r w:rsidRPr="00274049" w:rsidR="00454769">
        <w:rPr>
          <w:rFonts w:ascii="Verdana" w:hAnsi="Verdana" w:cs="Verdana"/>
          <w:bCs/>
          <w:iCs/>
          <w:sz w:val="18"/>
          <w:szCs w:val="18"/>
        </w:rPr>
        <w:t>delfstof</w:t>
      </w:r>
      <w:r w:rsidRPr="00274049">
        <w:rPr>
          <w:rFonts w:ascii="Verdana" w:hAnsi="Verdana" w:cs="Verdana"/>
          <w:bCs/>
          <w:iCs/>
          <w:sz w:val="18"/>
          <w:szCs w:val="18"/>
        </w:rPr>
        <w:t xml:space="preserve">baten en veilingopbrengsten een subsidie-element bevatten in de zin dat er sprake is van mogelijke gederfde opbrengsten als gevolg van beleid, dan dient het subsidie-element op zijn minst vooraf inzichtelijk gemaakt te worden ten behoeve van het </w:t>
      </w:r>
      <w:proofErr w:type="spellStart"/>
      <w:r w:rsidRPr="00274049">
        <w:rPr>
          <w:rFonts w:ascii="Verdana" w:hAnsi="Verdana" w:cs="Verdana"/>
          <w:bCs/>
          <w:iCs/>
          <w:sz w:val="18"/>
          <w:szCs w:val="18"/>
        </w:rPr>
        <w:t>hoofdbesluitvormingsmoment</w:t>
      </w:r>
      <w:proofErr w:type="spellEnd"/>
      <w:r w:rsidRPr="00274049">
        <w:rPr>
          <w:rFonts w:ascii="Verdana" w:hAnsi="Verdana" w:cs="Verdana"/>
          <w:bCs/>
          <w:iCs/>
          <w:sz w:val="18"/>
          <w:szCs w:val="18"/>
        </w:rPr>
        <w:t>.</w:t>
      </w:r>
    </w:p>
    <w:p w:rsidRPr="00274049" w:rsidR="001E5CC2" w:rsidP="00623054" w:rsidRDefault="001E5CC2">
      <w:pPr>
        <w:spacing w:line="360" w:lineRule="auto"/>
        <w:rPr>
          <w:rFonts w:ascii="Verdana" w:hAnsi="Verdana"/>
          <w:sz w:val="18"/>
          <w:szCs w:val="18"/>
        </w:rPr>
      </w:pPr>
    </w:p>
    <w:p w:rsidRPr="00274049" w:rsidR="006D31B1" w:rsidP="00B65C1C" w:rsidRDefault="006D31B1">
      <w:pPr>
        <w:pStyle w:val="Kop1"/>
      </w:pPr>
      <w:r w:rsidRPr="00274049">
        <w:t>Ingrepen Financiële Sector</w:t>
      </w:r>
    </w:p>
    <w:p w:rsidRPr="00274049" w:rsidR="00C06C57" w:rsidP="00C06C57" w:rsidRDefault="00C06C57">
      <w:pPr>
        <w:spacing w:line="360" w:lineRule="auto"/>
        <w:rPr>
          <w:rFonts w:ascii="Verdana" w:hAnsi="Verdana"/>
          <w:sz w:val="18"/>
          <w:szCs w:val="18"/>
        </w:rPr>
      </w:pPr>
      <w:r w:rsidRPr="00274049">
        <w:rPr>
          <w:rFonts w:ascii="Verdana" w:hAnsi="Verdana"/>
          <w:sz w:val="18"/>
          <w:szCs w:val="18"/>
        </w:rPr>
        <w:t>Alle kosten en opbrengsten van interventies in de financiële sector met als doel het stabiel houden van het financiële systeem zijn niet relevant voor het uitgavenkader</w:t>
      </w:r>
      <w:r w:rsidRPr="00274049" w:rsidR="002D17A5">
        <w:rPr>
          <w:rFonts w:ascii="Verdana" w:hAnsi="Verdana"/>
          <w:sz w:val="18"/>
          <w:szCs w:val="18"/>
        </w:rPr>
        <w:t>.</w:t>
      </w:r>
      <w:r w:rsidRPr="00274049">
        <w:rPr>
          <w:rFonts w:ascii="Verdana" w:hAnsi="Verdana"/>
          <w:sz w:val="18"/>
          <w:szCs w:val="18"/>
        </w:rPr>
        <w:t xml:space="preserve"> Ook de kosten en opbrengsten van maatregelen genomen met het oog op de financiële stabiliteit van het Eurogebied zijn niet relevant voor het uitgavenkader. Dit geldt ook voor garantiepremies en mogelijke schade-uitkeringen uit hoofde van de garantieregeling voor uitgifte van middellang schuldpapier van banken. Hiermee komen alle kosten en opbrengsten van de interventies in de financiële sector direct ten laste of ten gunste van de staatsschuld. </w:t>
      </w:r>
    </w:p>
    <w:p w:rsidRPr="00274049" w:rsidR="006D31B1" w:rsidP="006D31B1" w:rsidRDefault="006D31B1">
      <w:pPr>
        <w:pStyle w:val="Default"/>
        <w:spacing w:line="360" w:lineRule="auto"/>
        <w:rPr>
          <w:rFonts w:ascii="Verdana" w:hAnsi="Verdana"/>
          <w:color w:val="auto"/>
          <w:sz w:val="18"/>
          <w:szCs w:val="18"/>
        </w:rPr>
      </w:pPr>
    </w:p>
    <w:p w:rsidRPr="00274049" w:rsidR="003944DC" w:rsidP="00B65C1C" w:rsidRDefault="003944DC">
      <w:pPr>
        <w:pStyle w:val="Kop1"/>
      </w:pPr>
      <w:r w:rsidRPr="00274049">
        <w:lastRenderedPageBreak/>
        <w:t>Voor nieuwe garanties en leningen (regelingen) is het “nee, tenzij beleid” van kracht</w:t>
      </w:r>
      <w:r w:rsidRPr="00274049" w:rsidR="00C6397D">
        <w:t>.</w:t>
      </w:r>
    </w:p>
    <w:p w:rsidRPr="00274049" w:rsidR="00551334" w:rsidP="003944DC" w:rsidRDefault="008D1293">
      <w:pPr>
        <w:pStyle w:val="Default"/>
        <w:spacing w:line="360" w:lineRule="auto"/>
        <w:rPr>
          <w:rFonts w:ascii="Verdana" w:hAnsi="Verdana"/>
          <w:color w:val="auto"/>
          <w:sz w:val="18"/>
          <w:szCs w:val="18"/>
        </w:rPr>
      </w:pPr>
      <w:r w:rsidRPr="00274049">
        <w:rPr>
          <w:rFonts w:ascii="Verdana" w:hAnsi="Verdana"/>
          <w:color w:val="auto"/>
          <w:sz w:val="18"/>
          <w:szCs w:val="18"/>
        </w:rPr>
        <w:t>Garanties en leningen worden alleen verstrekt indien het Rijk eraan hecht risico’s te dragen die niet in de markt kunnen worden gedragen, of indien het rijk doelmatigheidsvoordelen bewerkstelligt. Voor nieuwe garantieregelingen, dan wel aanpassingen in bestaande regelingen dient een toetsingskader ingevuld te worden. Garantieregelingen (en overige risicoregelingen) zijn volledig voor rekening van het betreffende vakdepartement, hetgeen betekent dat schades uit het specifieke beeld moeten worden gecompenseerd. Het betreffende vakdepartement dient voor risicoregelingen een kostendekkende premie te vragen, die een reële weergave vormt van het risico. Nieuwe (verhogingen van) premies worden door het vakdepartement gestort in een begrotingsreserve, voor zover dit nog niet gebeurt.</w:t>
      </w:r>
    </w:p>
    <w:p w:rsidRPr="00274049" w:rsidR="00E020AA" w:rsidP="003944DC" w:rsidRDefault="00E020AA">
      <w:pPr>
        <w:pStyle w:val="Default"/>
        <w:spacing w:line="360" w:lineRule="auto"/>
        <w:rPr>
          <w:rFonts w:ascii="Verdana" w:hAnsi="Verdana"/>
          <w:color w:val="auto"/>
          <w:sz w:val="18"/>
          <w:szCs w:val="18"/>
        </w:rPr>
      </w:pPr>
    </w:p>
    <w:p w:rsidRPr="00274049" w:rsidR="003944DC" w:rsidP="003944DC" w:rsidRDefault="003944DC">
      <w:pPr>
        <w:pStyle w:val="Default"/>
        <w:spacing w:line="360" w:lineRule="auto"/>
        <w:rPr>
          <w:rFonts w:ascii="Verdana" w:hAnsi="Verdana" w:cs="Arial"/>
          <w:color w:val="auto"/>
          <w:sz w:val="18"/>
          <w:szCs w:val="18"/>
        </w:rPr>
      </w:pPr>
      <w:r w:rsidRPr="00274049">
        <w:rPr>
          <w:rFonts w:ascii="Verdana" w:hAnsi="Verdana"/>
          <w:color w:val="auto"/>
          <w:sz w:val="18"/>
          <w:szCs w:val="18"/>
        </w:rPr>
        <w:t xml:space="preserve">Alle garantieregelingen vallen onder het voorafgaand toezicht van de minister van Financiën. Nieuwe garanties en leningen (regelingen), dan wel de aanpassingen in bestaande regelingen, zijn altijd onderdeel van de besluitvorming in de ministerraad, in principe bij het </w:t>
      </w:r>
      <w:proofErr w:type="spellStart"/>
      <w:r w:rsidRPr="00274049">
        <w:rPr>
          <w:rFonts w:ascii="Verdana" w:hAnsi="Verdana"/>
          <w:color w:val="auto"/>
          <w:sz w:val="18"/>
          <w:szCs w:val="18"/>
        </w:rPr>
        <w:t>hoofdbesluitvormingsmoment</w:t>
      </w:r>
      <w:proofErr w:type="spellEnd"/>
      <w:r w:rsidRPr="00274049">
        <w:rPr>
          <w:rFonts w:ascii="Verdana" w:hAnsi="Verdana"/>
          <w:color w:val="auto"/>
          <w:sz w:val="18"/>
          <w:szCs w:val="18"/>
        </w:rPr>
        <w:t>.</w:t>
      </w:r>
    </w:p>
    <w:p w:rsidRPr="00274049" w:rsidR="00286E7C" w:rsidP="00175724" w:rsidRDefault="00286E7C">
      <w:pPr>
        <w:pStyle w:val="Default"/>
        <w:spacing w:line="360" w:lineRule="auto"/>
        <w:rPr>
          <w:rFonts w:ascii="Verdana" w:hAnsi="Verdana"/>
          <w:color w:val="auto"/>
          <w:sz w:val="18"/>
          <w:szCs w:val="18"/>
        </w:rPr>
      </w:pPr>
    </w:p>
    <w:p w:rsidRPr="00274049" w:rsidR="00175724" w:rsidP="00175724" w:rsidRDefault="00175724">
      <w:pPr>
        <w:pStyle w:val="Default"/>
        <w:spacing w:line="360" w:lineRule="auto"/>
        <w:rPr>
          <w:rFonts w:ascii="Verdana" w:hAnsi="Verdana" w:cs="Arial"/>
          <w:color w:val="auto"/>
          <w:sz w:val="18"/>
          <w:szCs w:val="18"/>
        </w:rPr>
      </w:pPr>
      <w:r w:rsidRPr="00274049">
        <w:rPr>
          <w:rFonts w:ascii="Verdana" w:hAnsi="Verdana"/>
          <w:color w:val="auto"/>
          <w:sz w:val="18"/>
          <w:szCs w:val="18"/>
        </w:rPr>
        <w:t xml:space="preserve">Alle garantieregelingen worden onderworpen aan een periodieke toets. Deze toets heeft ten doel enerzijds het herbezien van het nut en de noodzaak van de regeling (heroverweging), en anderzijds de actualisatie van de kwantificering van de risico’s en de </w:t>
      </w:r>
      <w:proofErr w:type="spellStart"/>
      <w:r w:rsidRPr="00274049">
        <w:rPr>
          <w:rFonts w:ascii="Verdana" w:hAnsi="Verdana"/>
          <w:color w:val="auto"/>
          <w:sz w:val="18"/>
          <w:szCs w:val="18"/>
        </w:rPr>
        <w:t>beprijzing</w:t>
      </w:r>
      <w:proofErr w:type="spellEnd"/>
      <w:r w:rsidRPr="00274049">
        <w:rPr>
          <w:rFonts w:ascii="Verdana" w:hAnsi="Verdana"/>
          <w:color w:val="auto"/>
          <w:sz w:val="18"/>
          <w:szCs w:val="18"/>
        </w:rPr>
        <w:t xml:space="preserve"> (herwaardering).</w:t>
      </w:r>
    </w:p>
    <w:p w:rsidRPr="00274049" w:rsidR="00E90549" w:rsidP="00DC4848" w:rsidRDefault="00E90549">
      <w:pPr>
        <w:pStyle w:val="Default"/>
        <w:spacing w:line="360" w:lineRule="auto"/>
        <w:rPr>
          <w:rFonts w:ascii="Verdana" w:hAnsi="Verdana" w:cs="Arial"/>
          <w:color w:val="auto"/>
          <w:sz w:val="18"/>
          <w:szCs w:val="18"/>
        </w:rPr>
      </w:pPr>
    </w:p>
    <w:p w:rsidRPr="00274049" w:rsidR="008306CD" w:rsidP="00B65C1C" w:rsidRDefault="00C63CF9">
      <w:pPr>
        <w:pStyle w:val="Kop1"/>
      </w:pPr>
      <w:r w:rsidRPr="00274049">
        <w:t>Niet o</w:t>
      </w:r>
      <w:r w:rsidRPr="00274049" w:rsidR="009D073F">
        <w:t xml:space="preserve">ormerken </w:t>
      </w:r>
      <w:r w:rsidRPr="00274049">
        <w:t xml:space="preserve">van ontvangsten </w:t>
      </w:r>
      <w:r w:rsidRPr="00274049" w:rsidR="009D073F">
        <w:t xml:space="preserve">en </w:t>
      </w:r>
      <w:r w:rsidRPr="00274049">
        <w:t>beleid ten aanzien van b</w:t>
      </w:r>
      <w:r w:rsidRPr="00274049" w:rsidR="008306CD">
        <w:t>egrotingsfondsen</w:t>
      </w:r>
    </w:p>
    <w:p w:rsidRPr="00274049" w:rsidR="004951F8" w:rsidP="009D073F" w:rsidRDefault="009D073F">
      <w:pPr>
        <w:pStyle w:val="Kop1"/>
        <w:numPr>
          <w:ilvl w:val="0"/>
          <w:numId w:val="0"/>
        </w:numPr>
        <w:rPr>
          <w:b w:val="0"/>
        </w:rPr>
      </w:pPr>
      <w:r w:rsidRPr="00274049">
        <w:rPr>
          <w:b w:val="0"/>
        </w:rPr>
        <w:t xml:space="preserve">Vanwege de scheiding van uitgaven en ontvangsten </w:t>
      </w:r>
      <w:proofErr w:type="spellStart"/>
      <w:r w:rsidRPr="00274049">
        <w:rPr>
          <w:b w:val="0"/>
        </w:rPr>
        <w:t>én</w:t>
      </w:r>
      <w:proofErr w:type="spellEnd"/>
      <w:r w:rsidRPr="00274049">
        <w:rPr>
          <w:b w:val="0"/>
        </w:rPr>
        <w:t xml:space="preserve"> de integrale afweging tussen de diverse uitgavencategorieën </w:t>
      </w:r>
      <w:r w:rsidRPr="00274049" w:rsidR="008A092E">
        <w:rPr>
          <w:b w:val="0"/>
        </w:rPr>
        <w:t>is het oormerken van uitgaven en ontvangsten niet wenselijk</w:t>
      </w:r>
      <w:r w:rsidRPr="00274049">
        <w:rPr>
          <w:b w:val="0"/>
        </w:rPr>
        <w:t xml:space="preserve">. </w:t>
      </w:r>
      <w:r w:rsidRPr="00274049" w:rsidR="00E7443C">
        <w:rPr>
          <w:b w:val="0"/>
        </w:rPr>
        <w:t>Begrotingsfondsen dienen van een voeding voorzien te zijn die volgt uit het gewenste niveau van de uitgaven.</w:t>
      </w:r>
    </w:p>
    <w:p w:rsidRPr="00274049" w:rsidR="006D31B1" w:rsidP="006D31B1" w:rsidRDefault="006D31B1">
      <w:pPr>
        <w:pStyle w:val="Default"/>
        <w:spacing w:line="360" w:lineRule="auto"/>
        <w:rPr>
          <w:rFonts w:ascii="Verdana" w:hAnsi="Verdana" w:cs="Arial"/>
          <w:color w:val="auto"/>
          <w:sz w:val="18"/>
          <w:szCs w:val="18"/>
        </w:rPr>
      </w:pPr>
    </w:p>
    <w:p w:rsidRPr="00274049" w:rsidR="006D31B1" w:rsidP="00B65C1C" w:rsidRDefault="00691908">
      <w:pPr>
        <w:pStyle w:val="Kop1"/>
      </w:pPr>
      <w:r w:rsidRPr="00274049">
        <w:t>S</w:t>
      </w:r>
      <w:r w:rsidRPr="00274049" w:rsidR="006D31B1">
        <w:t>pecifieke uitkeringen</w:t>
      </w:r>
      <w:r w:rsidRPr="00274049" w:rsidR="00B92311">
        <w:rPr>
          <w:rStyle w:val="Voetnootmarkering"/>
        </w:rPr>
        <w:footnoteReference w:id="5"/>
      </w:r>
      <w:r w:rsidRPr="00274049" w:rsidR="006D31B1">
        <w:t xml:space="preserve"> </w:t>
      </w:r>
    </w:p>
    <w:p w:rsidRPr="00274049" w:rsidR="00691908" w:rsidP="00912CEB" w:rsidRDefault="00691908">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Voor nieuwe specifieke uitkeringen geldt </w:t>
      </w:r>
      <w:r w:rsidRPr="00274049" w:rsidR="009D073F">
        <w:rPr>
          <w:rFonts w:ascii="Verdana" w:hAnsi="Verdana" w:cs="Arial"/>
          <w:color w:val="auto"/>
          <w:sz w:val="18"/>
          <w:szCs w:val="18"/>
        </w:rPr>
        <w:t xml:space="preserve">dat </w:t>
      </w:r>
      <w:r w:rsidRPr="00274049">
        <w:rPr>
          <w:rFonts w:ascii="Verdana" w:hAnsi="Verdana" w:cs="Arial"/>
          <w:color w:val="auto"/>
          <w:sz w:val="18"/>
          <w:szCs w:val="18"/>
        </w:rPr>
        <w:t xml:space="preserve">hierover </w:t>
      </w:r>
      <w:r w:rsidRPr="00274049" w:rsidR="009D073F">
        <w:rPr>
          <w:rFonts w:ascii="Verdana" w:hAnsi="Verdana" w:cs="Arial"/>
          <w:color w:val="auto"/>
          <w:sz w:val="18"/>
          <w:szCs w:val="18"/>
        </w:rPr>
        <w:t xml:space="preserve">expliciet </w:t>
      </w:r>
      <w:r w:rsidRPr="00274049">
        <w:rPr>
          <w:rFonts w:ascii="Verdana" w:hAnsi="Verdana" w:cs="Arial"/>
          <w:color w:val="auto"/>
          <w:sz w:val="18"/>
          <w:szCs w:val="18"/>
        </w:rPr>
        <w:t>besloten moet worden in de M</w:t>
      </w:r>
      <w:r w:rsidRPr="00274049" w:rsidR="009F074D">
        <w:rPr>
          <w:rFonts w:ascii="Verdana" w:hAnsi="Verdana" w:cs="Arial"/>
          <w:color w:val="auto"/>
          <w:sz w:val="18"/>
          <w:szCs w:val="18"/>
        </w:rPr>
        <w:t>inisterraad</w:t>
      </w:r>
      <w:r w:rsidRPr="00274049">
        <w:rPr>
          <w:rFonts w:ascii="Verdana" w:hAnsi="Verdana" w:cs="Arial"/>
          <w:color w:val="auto"/>
          <w:sz w:val="18"/>
          <w:szCs w:val="18"/>
        </w:rPr>
        <w:t>.</w:t>
      </w:r>
    </w:p>
    <w:p w:rsidRPr="00274049" w:rsidR="008D1293" w:rsidP="008D1293" w:rsidRDefault="008D1293">
      <w:pPr>
        <w:pStyle w:val="Geenafstand"/>
        <w:spacing w:line="360" w:lineRule="auto"/>
        <w:rPr>
          <w:bCs/>
          <w:iCs/>
        </w:rPr>
      </w:pPr>
      <w:r w:rsidRPr="00274049">
        <w:rPr>
          <w:bCs/>
          <w:iCs/>
        </w:rPr>
        <w:t xml:space="preserve">Bij het </w:t>
      </w:r>
      <w:proofErr w:type="spellStart"/>
      <w:r w:rsidRPr="00274049">
        <w:rPr>
          <w:bCs/>
          <w:iCs/>
        </w:rPr>
        <w:t>BTW-Compensatiefonds</w:t>
      </w:r>
      <w:proofErr w:type="spellEnd"/>
      <w:r w:rsidRPr="00274049">
        <w:rPr>
          <w:bCs/>
          <w:iCs/>
        </w:rPr>
        <w:t xml:space="preserve"> (BCF) kunnen gemeenten en provincies onder bepaalde voorwaarden de door hen betaalde btw terugontvangen. Dit betekent dat nieuwe geldstromen voor nieuwe taken of voor intensiveringen aan gemeenten en provincies exclusief de te declareren </w:t>
      </w:r>
      <w:proofErr w:type="spellStart"/>
      <w:r w:rsidRPr="00274049">
        <w:rPr>
          <w:bCs/>
          <w:iCs/>
        </w:rPr>
        <w:t>btw-component</w:t>
      </w:r>
      <w:proofErr w:type="spellEnd"/>
      <w:r w:rsidRPr="00274049">
        <w:rPr>
          <w:bCs/>
          <w:iCs/>
        </w:rPr>
        <w:t xml:space="preserve"> verstrekt moeten worden aan de eindontvanger, om te voorkomen dat de </w:t>
      </w:r>
      <w:proofErr w:type="spellStart"/>
      <w:r w:rsidRPr="00274049">
        <w:rPr>
          <w:bCs/>
          <w:iCs/>
        </w:rPr>
        <w:t>btw-component</w:t>
      </w:r>
      <w:proofErr w:type="spellEnd"/>
      <w:r w:rsidRPr="00274049">
        <w:rPr>
          <w:bCs/>
          <w:iCs/>
        </w:rPr>
        <w:t xml:space="preserve"> dubbel wordt vergoed (de eerste keer als onderdeel van de nieuwe geldstroom en de tweede keer door declaratie van de btw bij het BCF). </w:t>
      </w:r>
    </w:p>
    <w:p w:rsidRPr="00274049" w:rsidR="00E020AA" w:rsidP="006D31B1" w:rsidRDefault="008D1293">
      <w:pPr>
        <w:pStyle w:val="Default"/>
        <w:spacing w:line="360" w:lineRule="auto"/>
        <w:rPr>
          <w:rFonts w:ascii="Verdana" w:hAnsi="Verdana"/>
          <w:bCs/>
          <w:iCs/>
          <w:sz w:val="18"/>
          <w:szCs w:val="18"/>
        </w:rPr>
      </w:pPr>
      <w:r w:rsidRPr="00274049">
        <w:rPr>
          <w:rFonts w:ascii="Verdana" w:hAnsi="Verdana"/>
          <w:bCs/>
          <w:iCs/>
          <w:sz w:val="18"/>
          <w:szCs w:val="18"/>
        </w:rPr>
        <w:t xml:space="preserve">Concreet betekent dit dat het vakdepartement in kwestie voor nieuwe geldstromen of voor intensiveringen van bestaande taken en daarmee samenhangende geldstromen zorgt voor een volledige dekking van de geldstroom inclusief de </w:t>
      </w:r>
      <w:proofErr w:type="spellStart"/>
      <w:r w:rsidRPr="00274049">
        <w:rPr>
          <w:rFonts w:ascii="Verdana" w:hAnsi="Verdana"/>
          <w:bCs/>
          <w:iCs/>
          <w:sz w:val="18"/>
          <w:szCs w:val="18"/>
        </w:rPr>
        <w:t>btw-component</w:t>
      </w:r>
      <w:proofErr w:type="spellEnd"/>
      <w:r w:rsidRPr="00274049">
        <w:rPr>
          <w:rFonts w:ascii="Verdana" w:hAnsi="Verdana"/>
          <w:bCs/>
          <w:iCs/>
          <w:sz w:val="18"/>
          <w:szCs w:val="18"/>
        </w:rPr>
        <w:t xml:space="preserve">. De </w:t>
      </w:r>
      <w:proofErr w:type="spellStart"/>
      <w:r w:rsidRPr="00274049">
        <w:rPr>
          <w:rFonts w:ascii="Verdana" w:hAnsi="Verdana"/>
          <w:bCs/>
          <w:iCs/>
          <w:sz w:val="18"/>
          <w:szCs w:val="18"/>
        </w:rPr>
        <w:t>btw-component</w:t>
      </w:r>
      <w:proofErr w:type="spellEnd"/>
      <w:r w:rsidRPr="00274049">
        <w:rPr>
          <w:rFonts w:ascii="Verdana" w:hAnsi="Verdana"/>
          <w:bCs/>
          <w:iCs/>
          <w:sz w:val="18"/>
          <w:szCs w:val="18"/>
        </w:rPr>
        <w:t xml:space="preserve"> wordt vervolgens door het vakdepartement afgedragen aan de begroting van het BCF; de nieuwe geldstroom exclusief btw wordt verstrekt aan de gemeente(n) of provincie(s) in kwestie.</w:t>
      </w:r>
    </w:p>
    <w:p w:rsidRPr="00274049" w:rsidR="006D31B1" w:rsidP="006D31B1" w:rsidRDefault="006D31B1">
      <w:pPr>
        <w:pStyle w:val="Default"/>
        <w:spacing w:line="360" w:lineRule="auto"/>
        <w:rPr>
          <w:rFonts w:ascii="Verdana" w:hAnsi="Verdana"/>
          <w:color w:val="auto"/>
          <w:sz w:val="18"/>
          <w:szCs w:val="18"/>
        </w:rPr>
      </w:pPr>
      <w:r w:rsidRPr="00274049">
        <w:rPr>
          <w:rFonts w:ascii="Verdana" w:hAnsi="Verdana"/>
          <w:color w:val="auto"/>
          <w:sz w:val="18"/>
          <w:szCs w:val="18"/>
        </w:rPr>
        <w:t xml:space="preserve"> </w:t>
      </w:r>
    </w:p>
    <w:p w:rsidRPr="00274049" w:rsidR="0077577E" w:rsidP="00B65C1C" w:rsidRDefault="0077577E">
      <w:pPr>
        <w:pStyle w:val="Kop1"/>
      </w:pPr>
      <w:bookmarkStart w:name="OLE_LINK3" w:id="1"/>
      <w:r w:rsidRPr="00274049">
        <w:lastRenderedPageBreak/>
        <w:t>Publiek Private Samenwerking</w:t>
      </w:r>
    </w:p>
    <w:p w:rsidRPr="00274049" w:rsidR="00FE2567" w:rsidP="008D1293" w:rsidRDefault="008D1293">
      <w:pPr>
        <w:autoSpaceDE w:val="0"/>
        <w:autoSpaceDN w:val="0"/>
        <w:adjustRightInd w:val="0"/>
        <w:spacing w:line="360" w:lineRule="auto"/>
        <w:rPr>
          <w:rFonts w:ascii="Verdana" w:hAnsi="Verdana"/>
          <w:sz w:val="18"/>
          <w:szCs w:val="18"/>
        </w:rPr>
      </w:pPr>
      <w:r w:rsidRPr="00274049">
        <w:rPr>
          <w:rFonts w:ascii="Verdana" w:hAnsi="Verdana" w:cs="Univers"/>
          <w:sz w:val="18"/>
          <w:szCs w:val="18"/>
        </w:rPr>
        <w:t>Conform EU</w:t>
      </w:r>
      <w:r w:rsidRPr="00274049" w:rsidR="00745FFE">
        <w:rPr>
          <w:rFonts w:ascii="Verdana" w:hAnsi="Verdana" w:cs="Univers"/>
          <w:sz w:val="18"/>
          <w:szCs w:val="18"/>
        </w:rPr>
        <w:t>-</w:t>
      </w:r>
      <w:r w:rsidRPr="00274049">
        <w:rPr>
          <w:rFonts w:ascii="Verdana" w:hAnsi="Verdana" w:cs="Univers"/>
          <w:sz w:val="18"/>
          <w:szCs w:val="18"/>
        </w:rPr>
        <w:t>regelgeving kunnen projecten alleen als Publiek Private Samenwerking (PPS) worden bestempeld wanneer er voldoende risico’s overgedragen worden aan de private sector. Ingeval van PPS vindt een budgettair neutrale omzetting plaats van het (kas) budget (van een departement) in (meerjarige) beschikbaarheidbudgetten van een departement. Technisch gezien betekent dit een verlaging van het uitgavenkader (</w:t>
      </w:r>
      <w:r w:rsidRPr="00274049" w:rsidR="00330484">
        <w:rPr>
          <w:rFonts w:ascii="Verdana" w:hAnsi="Verdana" w:cs="Univers"/>
          <w:sz w:val="18"/>
          <w:szCs w:val="18"/>
        </w:rPr>
        <w:t xml:space="preserve">van het begrotingstotaal </w:t>
      </w:r>
      <w:r w:rsidRPr="00274049">
        <w:rPr>
          <w:rFonts w:ascii="Verdana" w:hAnsi="Verdana" w:cs="Univers"/>
          <w:sz w:val="18"/>
          <w:szCs w:val="18"/>
        </w:rPr>
        <w:t xml:space="preserve">van het desbetreffende ministerie) in de jaren waarin een kasbudget voorhanden is en een per saldo even grote verhoging van het uitgavenkader (van het begrotingstotaal van het desbetreffende ministerie) in de jaren waar een beschikbaarheidvergoeding nodig is, met dien verstande dat de efficiencywinst ten gunste van het desbetreffende departement komt. </w:t>
      </w:r>
      <w:r w:rsidRPr="00274049">
        <w:rPr>
          <w:rFonts w:ascii="Verdana" w:hAnsi="Verdana"/>
          <w:sz w:val="18"/>
          <w:szCs w:val="18"/>
        </w:rPr>
        <w:t xml:space="preserve">Voor het infrastructuurfonds geldt dat de toegestane uitgavenruimte voor </w:t>
      </w:r>
      <w:proofErr w:type="spellStart"/>
      <w:r w:rsidRPr="00274049">
        <w:rPr>
          <w:rFonts w:ascii="Verdana" w:hAnsi="Verdana"/>
          <w:sz w:val="18"/>
          <w:szCs w:val="18"/>
        </w:rPr>
        <w:t>beschikbaarheidsvergoedingen</w:t>
      </w:r>
      <w:proofErr w:type="spellEnd"/>
      <w:r w:rsidRPr="00274049">
        <w:rPr>
          <w:rFonts w:ascii="Verdana" w:hAnsi="Verdana"/>
          <w:sz w:val="18"/>
          <w:szCs w:val="18"/>
        </w:rPr>
        <w:t xml:space="preserve"> 20 procent is. </w:t>
      </w:r>
    </w:p>
    <w:bookmarkEnd w:id="1"/>
    <w:p w:rsidRPr="00274049" w:rsidR="00D11C3F" w:rsidP="00D11C3F" w:rsidRDefault="00D11C3F">
      <w:pPr>
        <w:spacing w:line="360" w:lineRule="auto"/>
        <w:rPr>
          <w:rFonts w:ascii="Verdana" w:hAnsi="Verdana"/>
          <w:sz w:val="18"/>
          <w:szCs w:val="18"/>
        </w:rPr>
      </w:pPr>
    </w:p>
    <w:p w:rsidRPr="00274049" w:rsidR="001A71C2" w:rsidP="00B65C1C" w:rsidRDefault="006D31B1">
      <w:pPr>
        <w:pStyle w:val="Kop1"/>
      </w:pPr>
      <w:bookmarkStart w:name="OLE_LINK4" w:id="2"/>
      <w:r w:rsidRPr="00274049">
        <w:t xml:space="preserve">Eindejaarsmarge </w:t>
      </w:r>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De eindejaarsmarge creëert de mogelijkheid binnen een begroting tot een bepaalde omvang gelden van het ene naar het andere begrotingsjaar te schuiven</w:t>
      </w:r>
      <w:r w:rsidRPr="00274049" w:rsidR="00691908">
        <w:rPr>
          <w:rFonts w:ascii="Verdana" w:hAnsi="Verdana" w:cs="Arial"/>
          <w:color w:val="auto"/>
          <w:sz w:val="18"/>
          <w:szCs w:val="18"/>
        </w:rPr>
        <w:t xml:space="preserve"> binnen de sector Rijk</w:t>
      </w:r>
      <w:r w:rsidRPr="00274049">
        <w:rPr>
          <w:rFonts w:ascii="Verdana" w:hAnsi="Verdana" w:cs="Arial"/>
          <w:color w:val="auto"/>
          <w:sz w:val="18"/>
          <w:szCs w:val="18"/>
        </w:rPr>
        <w:t>. Dit ter voorkoming van een ondoelmatige besteding van middelen aan het einde van het jaar. De eindejaarsmarge bedraagt 1</w:t>
      </w:r>
      <w:r w:rsidRPr="00274049" w:rsidR="00CD2D9D">
        <w:rPr>
          <w:rFonts w:ascii="Verdana" w:hAnsi="Verdana" w:cs="Arial"/>
          <w:color w:val="auto"/>
          <w:sz w:val="18"/>
          <w:szCs w:val="18"/>
        </w:rPr>
        <w:t>,0</w:t>
      </w:r>
      <w:r w:rsidRPr="00274049" w:rsidR="00D24483">
        <w:rPr>
          <w:rFonts w:ascii="Verdana" w:hAnsi="Verdana" w:cs="Arial"/>
          <w:color w:val="auto"/>
          <w:sz w:val="18"/>
          <w:szCs w:val="18"/>
        </w:rPr>
        <w:t xml:space="preserve"> procent</w:t>
      </w:r>
      <w:r w:rsidRPr="00274049">
        <w:rPr>
          <w:rFonts w:ascii="Verdana" w:hAnsi="Verdana" w:cs="Arial"/>
          <w:color w:val="auto"/>
          <w:sz w:val="18"/>
          <w:szCs w:val="18"/>
        </w:rPr>
        <w:t xml:space="preserve"> van het gecorrigeerde begrotingstotaal.</w:t>
      </w:r>
      <w:r w:rsidRPr="00274049" w:rsidR="007A778C">
        <w:rPr>
          <w:rFonts w:ascii="Verdana" w:hAnsi="Verdana" w:cs="Arial"/>
          <w:color w:val="auto"/>
          <w:sz w:val="18"/>
          <w:szCs w:val="18"/>
        </w:rPr>
        <w:t xml:space="preserve"> In overleg met Financiën kan een hogere eindejaarsmarge worden vastgesteld.</w:t>
      </w:r>
      <w:r w:rsidRPr="00274049">
        <w:rPr>
          <w:rFonts w:ascii="Verdana" w:hAnsi="Verdana"/>
          <w:color w:val="auto"/>
          <w:sz w:val="18"/>
          <w:szCs w:val="18"/>
        </w:rPr>
        <w:t xml:space="preserve"> </w:t>
      </w:r>
      <w:r w:rsidRPr="00274049">
        <w:rPr>
          <w:rFonts w:ascii="Verdana" w:hAnsi="Verdana" w:cs="Arial"/>
          <w:color w:val="auto"/>
          <w:sz w:val="18"/>
          <w:szCs w:val="18"/>
        </w:rPr>
        <w:t xml:space="preserve">Voor de bepaling van het gecorrigeerde begrotingstotaal wordt uitgegaan van de </w:t>
      </w:r>
      <w:proofErr w:type="spellStart"/>
      <w:r w:rsidRPr="00274049">
        <w:rPr>
          <w:rFonts w:ascii="Verdana" w:hAnsi="Verdana" w:cs="Arial"/>
          <w:color w:val="auto"/>
          <w:sz w:val="18"/>
          <w:szCs w:val="18"/>
        </w:rPr>
        <w:t>bruto-uitgaven</w:t>
      </w:r>
      <w:proofErr w:type="spellEnd"/>
      <w:r w:rsidRPr="00274049">
        <w:rPr>
          <w:rFonts w:ascii="Verdana" w:hAnsi="Verdana" w:cs="Arial"/>
          <w:color w:val="auto"/>
          <w:sz w:val="18"/>
          <w:szCs w:val="18"/>
        </w:rPr>
        <w:t xml:space="preserve"> stand </w:t>
      </w:r>
      <w:r w:rsidRPr="00274049" w:rsidR="00912CEB">
        <w:rPr>
          <w:rFonts w:ascii="Verdana" w:hAnsi="Verdana" w:cs="Arial"/>
          <w:color w:val="auto"/>
          <w:sz w:val="18"/>
          <w:szCs w:val="18"/>
        </w:rPr>
        <w:t>O</w:t>
      </w:r>
      <w:r w:rsidRPr="00274049">
        <w:rPr>
          <w:rFonts w:ascii="Verdana" w:hAnsi="Verdana" w:cs="Arial"/>
          <w:color w:val="auto"/>
          <w:sz w:val="18"/>
          <w:szCs w:val="18"/>
        </w:rPr>
        <w:t xml:space="preserve">ntwerpbegroting. </w:t>
      </w:r>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Voor de begrotingsfondsen geldt </w:t>
      </w:r>
      <w:r w:rsidRPr="00274049" w:rsidR="00546948">
        <w:rPr>
          <w:rFonts w:ascii="Verdana" w:hAnsi="Verdana" w:cs="Arial"/>
          <w:color w:val="auto"/>
          <w:sz w:val="18"/>
          <w:szCs w:val="18"/>
        </w:rPr>
        <w:t xml:space="preserve">deze </w:t>
      </w:r>
      <w:r w:rsidRPr="00274049">
        <w:rPr>
          <w:rFonts w:ascii="Verdana" w:hAnsi="Verdana" w:cs="Arial"/>
          <w:color w:val="auto"/>
          <w:sz w:val="18"/>
          <w:szCs w:val="18"/>
        </w:rPr>
        <w:t>eindejaarsmarge</w:t>
      </w:r>
      <w:r w:rsidRPr="00274049" w:rsidR="00546948">
        <w:rPr>
          <w:rFonts w:ascii="Verdana" w:hAnsi="Verdana" w:cs="Arial"/>
          <w:color w:val="auto"/>
          <w:sz w:val="18"/>
          <w:szCs w:val="18"/>
        </w:rPr>
        <w:t xml:space="preserve"> niet.</w:t>
      </w:r>
    </w:p>
    <w:p w:rsidRPr="00274049" w:rsidR="006D31B1" w:rsidP="006D31B1" w:rsidRDefault="006D31B1">
      <w:pPr>
        <w:pStyle w:val="Default"/>
        <w:spacing w:line="360" w:lineRule="auto"/>
        <w:rPr>
          <w:rFonts w:ascii="Verdana" w:hAnsi="Verdana" w:cs="Arial"/>
          <w:color w:val="auto"/>
          <w:sz w:val="18"/>
          <w:szCs w:val="18"/>
        </w:rPr>
      </w:pPr>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De hoogte van het feitelijk gebruik door de departementen van de eindejaarsmarge wordt </w:t>
      </w:r>
      <w:r w:rsidRPr="00274049" w:rsidR="00CD2D9D">
        <w:rPr>
          <w:rFonts w:ascii="Verdana" w:hAnsi="Verdana" w:cs="Arial"/>
          <w:color w:val="auto"/>
          <w:sz w:val="18"/>
          <w:szCs w:val="18"/>
        </w:rPr>
        <w:t xml:space="preserve">in eerste instantie </w:t>
      </w:r>
      <w:r w:rsidRPr="00274049">
        <w:rPr>
          <w:rFonts w:ascii="Verdana" w:hAnsi="Verdana" w:cs="Arial"/>
          <w:color w:val="auto"/>
          <w:sz w:val="18"/>
          <w:szCs w:val="18"/>
        </w:rPr>
        <w:t xml:space="preserve">bepaald bij Voorlopige Rekening. De overgehevelde bedragen worden bij de Voorjaarsnota aan de begrotingen toegevoegd. De definitieve omvang van het feitelijk gebruik wordt bepaald op basis van de Slotwet. </w:t>
      </w:r>
    </w:p>
    <w:p w:rsidRPr="00274049" w:rsidR="006D31B1" w:rsidP="006D31B1" w:rsidRDefault="006D31B1">
      <w:pPr>
        <w:pStyle w:val="Default"/>
        <w:spacing w:line="360" w:lineRule="auto"/>
        <w:rPr>
          <w:rFonts w:ascii="Verdana" w:hAnsi="Verdana" w:cs="Arial"/>
          <w:color w:val="auto"/>
          <w:sz w:val="18"/>
          <w:szCs w:val="18"/>
        </w:rPr>
      </w:pPr>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Gelijktijdig met het toevoegen bij Voorjaarsnota wordt, onder de veronderstelling dat ook het komende jaar gebruik zal worden gemaakt van de eindejaarsmarge, op een aanvullende post een </w:t>
      </w:r>
      <w:proofErr w:type="spellStart"/>
      <w:r w:rsidRPr="00274049">
        <w:rPr>
          <w:rFonts w:ascii="Verdana" w:hAnsi="Verdana" w:cs="Arial"/>
          <w:color w:val="auto"/>
          <w:sz w:val="18"/>
          <w:szCs w:val="18"/>
        </w:rPr>
        <w:t>ramingstechnische</w:t>
      </w:r>
      <w:proofErr w:type="spellEnd"/>
      <w:r w:rsidRPr="00274049">
        <w:rPr>
          <w:rFonts w:ascii="Verdana" w:hAnsi="Verdana" w:cs="Arial"/>
          <w:color w:val="auto"/>
          <w:sz w:val="18"/>
          <w:szCs w:val="18"/>
        </w:rPr>
        <w:t xml:space="preserve"> veronderstelling opgenomen (de zogenaamde in=</w:t>
      </w:r>
      <w:proofErr w:type="spellStart"/>
      <w:r w:rsidRPr="00274049">
        <w:rPr>
          <w:rFonts w:ascii="Verdana" w:hAnsi="Verdana" w:cs="Arial"/>
          <w:color w:val="auto"/>
          <w:sz w:val="18"/>
          <w:szCs w:val="18"/>
        </w:rPr>
        <w:t>uit-taakstelling</w:t>
      </w:r>
      <w:proofErr w:type="spellEnd"/>
      <w:r w:rsidRPr="00274049">
        <w:rPr>
          <w:rFonts w:ascii="Verdana" w:hAnsi="Verdana" w:cs="Arial"/>
          <w:color w:val="auto"/>
          <w:sz w:val="18"/>
          <w:szCs w:val="18"/>
        </w:rPr>
        <w:t xml:space="preserve">). De combinatie van de toevoeging aan de begrotingen en de </w:t>
      </w:r>
      <w:proofErr w:type="spellStart"/>
      <w:r w:rsidRPr="00274049">
        <w:rPr>
          <w:rFonts w:ascii="Verdana" w:hAnsi="Verdana" w:cs="Arial"/>
          <w:color w:val="auto"/>
          <w:sz w:val="18"/>
          <w:szCs w:val="18"/>
        </w:rPr>
        <w:t>ramingstechnische</w:t>
      </w:r>
      <w:proofErr w:type="spellEnd"/>
      <w:r w:rsidRPr="00274049">
        <w:rPr>
          <w:rFonts w:ascii="Verdana" w:hAnsi="Verdana" w:cs="Arial"/>
          <w:color w:val="auto"/>
          <w:sz w:val="18"/>
          <w:szCs w:val="18"/>
        </w:rPr>
        <w:t xml:space="preserve"> veronderstelling, bewerkstelligt dat het totale uitgavenbeeld niet wijzigt. Onderuitputting die optreedt na de Voorjaarsnota kan worden aangewend ter realisatie van de taakstelling. </w:t>
      </w:r>
    </w:p>
    <w:bookmarkEnd w:id="2"/>
    <w:p w:rsidRPr="00274049" w:rsidR="006D31B1" w:rsidP="006D31B1" w:rsidRDefault="006D31B1">
      <w:pPr>
        <w:pStyle w:val="Default"/>
        <w:spacing w:line="360" w:lineRule="auto"/>
        <w:rPr>
          <w:rFonts w:ascii="Verdana" w:hAnsi="Verdana" w:cs="Arial"/>
          <w:color w:val="auto"/>
          <w:sz w:val="18"/>
          <w:szCs w:val="18"/>
        </w:rPr>
      </w:pPr>
    </w:p>
    <w:p w:rsidRPr="00274049" w:rsidR="006D31B1" w:rsidP="00B65C1C" w:rsidRDefault="006D31B1">
      <w:pPr>
        <w:pStyle w:val="Kop1"/>
      </w:pPr>
      <w:r w:rsidRPr="00274049">
        <w:t xml:space="preserve">Consolidatiesaldo </w:t>
      </w:r>
      <w:proofErr w:type="spellStart"/>
      <w:r w:rsidRPr="00274049">
        <w:t>baten-lastendiensten</w:t>
      </w:r>
      <w:proofErr w:type="spellEnd"/>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Onderuitputting in de liquide middelen van </w:t>
      </w:r>
      <w:proofErr w:type="spellStart"/>
      <w:r w:rsidRPr="00274049">
        <w:rPr>
          <w:rFonts w:ascii="Verdana" w:hAnsi="Verdana" w:cs="Arial"/>
          <w:color w:val="auto"/>
          <w:sz w:val="18"/>
          <w:szCs w:val="18"/>
        </w:rPr>
        <w:t>baten-lastendiensten</w:t>
      </w:r>
      <w:proofErr w:type="spellEnd"/>
      <w:r w:rsidRPr="00274049">
        <w:rPr>
          <w:rFonts w:ascii="Verdana" w:hAnsi="Verdana" w:cs="Arial"/>
          <w:color w:val="auto"/>
          <w:sz w:val="18"/>
          <w:szCs w:val="18"/>
        </w:rPr>
        <w:t xml:space="preserve"> komt tot uitdrukking in het </w:t>
      </w:r>
      <w:r w:rsidRPr="00274049" w:rsidR="001264AB">
        <w:rPr>
          <w:rFonts w:ascii="Verdana" w:hAnsi="Verdana" w:cs="Arial"/>
          <w:color w:val="auto"/>
          <w:sz w:val="18"/>
          <w:szCs w:val="18"/>
        </w:rPr>
        <w:t>consolidatie</w:t>
      </w:r>
      <w:r w:rsidRPr="00274049">
        <w:rPr>
          <w:rFonts w:ascii="Verdana" w:hAnsi="Verdana" w:cs="Arial"/>
          <w:color w:val="auto"/>
          <w:sz w:val="18"/>
          <w:szCs w:val="18"/>
        </w:rPr>
        <w:t xml:space="preserve">saldo van deze diensten. Dit geldt ook voor onderdelen van het Rijk die – zonder de status van </w:t>
      </w:r>
      <w:proofErr w:type="spellStart"/>
      <w:r w:rsidRPr="00274049">
        <w:rPr>
          <w:rFonts w:ascii="Verdana" w:hAnsi="Verdana" w:cs="Arial"/>
          <w:color w:val="auto"/>
          <w:sz w:val="18"/>
          <w:szCs w:val="18"/>
        </w:rPr>
        <w:t>baten-lastendienst</w:t>
      </w:r>
      <w:proofErr w:type="spellEnd"/>
      <w:r w:rsidRPr="00274049">
        <w:rPr>
          <w:rFonts w:ascii="Verdana" w:hAnsi="Verdana" w:cs="Arial"/>
          <w:color w:val="auto"/>
          <w:sz w:val="18"/>
          <w:szCs w:val="18"/>
        </w:rPr>
        <w:t xml:space="preserve"> – werken met een </w:t>
      </w:r>
      <w:proofErr w:type="spellStart"/>
      <w:r w:rsidRPr="00274049">
        <w:rPr>
          <w:rFonts w:ascii="Verdana" w:hAnsi="Verdana" w:cs="Arial"/>
          <w:color w:val="auto"/>
          <w:sz w:val="18"/>
          <w:szCs w:val="18"/>
        </w:rPr>
        <w:t>baten-lastenstelsel</w:t>
      </w:r>
      <w:proofErr w:type="spellEnd"/>
      <w:r w:rsidRPr="00274049">
        <w:rPr>
          <w:rFonts w:ascii="Verdana" w:hAnsi="Verdana" w:cs="Arial"/>
          <w:color w:val="auto"/>
          <w:sz w:val="18"/>
          <w:szCs w:val="18"/>
        </w:rPr>
        <w:t xml:space="preserve">. Het </w:t>
      </w:r>
      <w:r w:rsidRPr="00274049" w:rsidR="001264AB">
        <w:rPr>
          <w:rFonts w:ascii="Verdana" w:hAnsi="Verdana" w:cs="Arial"/>
          <w:color w:val="auto"/>
          <w:sz w:val="18"/>
          <w:szCs w:val="18"/>
        </w:rPr>
        <w:t>consolidatie</w:t>
      </w:r>
      <w:r w:rsidRPr="00274049">
        <w:rPr>
          <w:rFonts w:ascii="Verdana" w:hAnsi="Verdana" w:cs="Arial"/>
          <w:color w:val="auto"/>
          <w:sz w:val="18"/>
          <w:szCs w:val="18"/>
        </w:rPr>
        <w:t xml:space="preserve">saldo van </w:t>
      </w:r>
      <w:proofErr w:type="spellStart"/>
      <w:r w:rsidRPr="00274049">
        <w:rPr>
          <w:rFonts w:ascii="Verdana" w:hAnsi="Verdana" w:cs="Arial"/>
          <w:color w:val="auto"/>
          <w:sz w:val="18"/>
          <w:szCs w:val="18"/>
        </w:rPr>
        <w:t>baten-lastendiensten</w:t>
      </w:r>
      <w:proofErr w:type="spellEnd"/>
      <w:r w:rsidRPr="00274049">
        <w:rPr>
          <w:rFonts w:ascii="Verdana" w:hAnsi="Verdana" w:cs="Arial"/>
          <w:color w:val="auto"/>
          <w:sz w:val="18"/>
          <w:szCs w:val="18"/>
        </w:rPr>
        <w:t xml:space="preserve"> is net zoals de leen- en depositofaciliteit niet relevant voor het uitgavenkader. Door op het </w:t>
      </w:r>
      <w:proofErr w:type="spellStart"/>
      <w:r w:rsidRPr="00274049">
        <w:rPr>
          <w:rFonts w:ascii="Verdana" w:hAnsi="Verdana" w:cs="Arial"/>
          <w:color w:val="auto"/>
          <w:sz w:val="18"/>
          <w:szCs w:val="18"/>
        </w:rPr>
        <w:t>hoofdbesluitvormingsmoment</w:t>
      </w:r>
      <w:proofErr w:type="spellEnd"/>
      <w:r w:rsidRPr="00274049">
        <w:rPr>
          <w:rFonts w:ascii="Verdana" w:hAnsi="Verdana" w:cs="Arial"/>
          <w:color w:val="auto"/>
          <w:sz w:val="18"/>
          <w:szCs w:val="18"/>
        </w:rPr>
        <w:t xml:space="preserve"> de plannen van </w:t>
      </w:r>
      <w:proofErr w:type="spellStart"/>
      <w:r w:rsidRPr="00274049">
        <w:rPr>
          <w:rFonts w:ascii="Verdana" w:hAnsi="Verdana" w:cs="Arial"/>
          <w:color w:val="auto"/>
          <w:sz w:val="18"/>
          <w:szCs w:val="18"/>
        </w:rPr>
        <w:t>baten-lastendiensten</w:t>
      </w:r>
      <w:proofErr w:type="spellEnd"/>
      <w:r w:rsidRPr="00274049">
        <w:rPr>
          <w:rFonts w:ascii="Verdana" w:hAnsi="Verdana" w:cs="Arial"/>
          <w:color w:val="auto"/>
          <w:sz w:val="18"/>
          <w:szCs w:val="18"/>
        </w:rPr>
        <w:t xml:space="preserve"> te toetsen, wordt de relatie met het EMU-saldo in het oog gehouden. </w:t>
      </w:r>
    </w:p>
    <w:p w:rsidRPr="00274049" w:rsidR="006D31B1" w:rsidP="006D31B1" w:rsidRDefault="006D31B1">
      <w:pPr>
        <w:pStyle w:val="Default"/>
        <w:spacing w:line="360" w:lineRule="auto"/>
        <w:rPr>
          <w:rFonts w:ascii="Verdana" w:hAnsi="Verdana" w:cs="Arial"/>
          <w:color w:val="auto"/>
          <w:sz w:val="18"/>
          <w:szCs w:val="18"/>
        </w:rPr>
      </w:pPr>
    </w:p>
    <w:p w:rsidRPr="00274049" w:rsidR="006D31B1" w:rsidP="00B65C1C" w:rsidRDefault="006D31B1">
      <w:pPr>
        <w:pStyle w:val="Kop1"/>
      </w:pPr>
      <w:bookmarkStart w:name="OLE_LINK1" w:id="3"/>
      <w:r w:rsidRPr="00274049">
        <w:lastRenderedPageBreak/>
        <w:t xml:space="preserve">Leenaanvragen </w:t>
      </w:r>
      <w:proofErr w:type="spellStart"/>
      <w:r w:rsidRPr="00274049">
        <w:t>RWT’s</w:t>
      </w:r>
      <w:proofErr w:type="spellEnd"/>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De leenaanvragen van </w:t>
      </w:r>
      <w:proofErr w:type="spellStart"/>
      <w:r w:rsidRPr="00274049">
        <w:rPr>
          <w:rFonts w:ascii="Verdana" w:hAnsi="Verdana" w:cs="Arial"/>
          <w:color w:val="auto"/>
          <w:sz w:val="18"/>
          <w:szCs w:val="18"/>
        </w:rPr>
        <w:t>RWT's</w:t>
      </w:r>
      <w:proofErr w:type="spellEnd"/>
      <w:r w:rsidRPr="00274049">
        <w:rPr>
          <w:rFonts w:ascii="Verdana" w:hAnsi="Verdana" w:cs="Arial"/>
          <w:color w:val="auto"/>
          <w:sz w:val="18"/>
          <w:szCs w:val="18"/>
        </w:rPr>
        <w:t xml:space="preserve"> (en andere voor geïntegreerd middelenbeheer in aanmerking komende instellingen) in het kader van geïntegreerd middelenbeheer dienen door een RWT bij de betreffende vakminister te worden ingediend. </w:t>
      </w:r>
      <w:r w:rsidRPr="00274049" w:rsidR="00411B28">
        <w:rPr>
          <w:rFonts w:ascii="Verdana" w:hAnsi="Verdana" w:cs="Arial"/>
          <w:color w:val="auto"/>
          <w:sz w:val="18"/>
          <w:szCs w:val="18"/>
        </w:rPr>
        <w:t>H</w:t>
      </w:r>
      <w:r w:rsidRPr="00274049" w:rsidR="00D711B6">
        <w:rPr>
          <w:rFonts w:ascii="Verdana" w:hAnsi="Verdana" w:cs="Arial"/>
          <w:color w:val="auto"/>
          <w:sz w:val="18"/>
          <w:szCs w:val="18"/>
        </w:rPr>
        <w:t xml:space="preserve">et </w:t>
      </w:r>
      <w:r w:rsidRPr="00274049" w:rsidR="00411B28">
        <w:rPr>
          <w:rFonts w:ascii="Verdana" w:hAnsi="Verdana" w:cs="Arial"/>
          <w:color w:val="auto"/>
          <w:sz w:val="18"/>
          <w:szCs w:val="18"/>
        </w:rPr>
        <w:t xml:space="preserve">is </w:t>
      </w:r>
      <w:r w:rsidRPr="00274049" w:rsidR="00D711B6">
        <w:rPr>
          <w:rFonts w:ascii="Verdana" w:hAnsi="Verdana" w:cs="Arial"/>
          <w:color w:val="auto"/>
          <w:sz w:val="18"/>
          <w:szCs w:val="18"/>
        </w:rPr>
        <w:t>de taak van het vakdepartement om te</w:t>
      </w:r>
      <w:r w:rsidRPr="00274049">
        <w:rPr>
          <w:rFonts w:ascii="Verdana" w:hAnsi="Verdana" w:cs="Arial"/>
          <w:color w:val="auto"/>
          <w:sz w:val="18"/>
          <w:szCs w:val="18"/>
        </w:rPr>
        <w:t xml:space="preserve"> toetsen op onder meer budgettaire inpasbaarheid, nut en noodzaak van de lening</w:t>
      </w:r>
      <w:r w:rsidRPr="00274049" w:rsidR="00FA0F9E">
        <w:rPr>
          <w:rFonts w:ascii="Verdana" w:hAnsi="Verdana" w:cs="Arial"/>
          <w:color w:val="auto"/>
          <w:sz w:val="18"/>
          <w:szCs w:val="18"/>
        </w:rPr>
        <w:t xml:space="preserve"> en</w:t>
      </w:r>
      <w:r w:rsidRPr="00274049">
        <w:rPr>
          <w:rFonts w:ascii="Verdana" w:hAnsi="Verdana" w:cs="Arial"/>
          <w:color w:val="auto"/>
          <w:sz w:val="18"/>
          <w:szCs w:val="18"/>
        </w:rPr>
        <w:t xml:space="preserve"> of de lening wel wordt aangewend voor de publieke taak</w:t>
      </w:r>
      <w:r w:rsidRPr="00274049" w:rsidR="00FA0F9E">
        <w:rPr>
          <w:rFonts w:ascii="Verdana" w:hAnsi="Verdana" w:cs="Arial"/>
          <w:color w:val="auto"/>
          <w:sz w:val="18"/>
          <w:szCs w:val="18"/>
        </w:rPr>
        <w:t>.</w:t>
      </w:r>
      <w:r w:rsidRPr="00274049">
        <w:rPr>
          <w:rFonts w:ascii="Verdana" w:hAnsi="Verdana" w:cs="Arial"/>
          <w:color w:val="auto"/>
          <w:sz w:val="18"/>
          <w:szCs w:val="18"/>
        </w:rPr>
        <w:t xml:space="preserve"> </w:t>
      </w:r>
    </w:p>
    <w:bookmarkEnd w:id="3"/>
    <w:p w:rsidRPr="00274049" w:rsidR="006D31B1" w:rsidP="006D31B1" w:rsidRDefault="006D31B1">
      <w:pPr>
        <w:pStyle w:val="Default"/>
        <w:spacing w:line="360" w:lineRule="auto"/>
        <w:rPr>
          <w:rFonts w:ascii="Verdana" w:hAnsi="Verdana" w:cs="Arial"/>
          <w:color w:val="auto"/>
          <w:sz w:val="18"/>
          <w:szCs w:val="18"/>
        </w:rPr>
      </w:pPr>
    </w:p>
    <w:p w:rsidRPr="00274049" w:rsidR="006E69CB" w:rsidP="00B65C1C" w:rsidRDefault="006D31B1">
      <w:pPr>
        <w:pStyle w:val="Kop1"/>
      </w:pPr>
      <w:r w:rsidRPr="00274049">
        <w:t xml:space="preserve">Opbouw meerjarencijfers en extrapolatie </w:t>
      </w:r>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De ramingen van de uitgaven voor het begrotingsjaar en elk van de </w:t>
      </w:r>
      <w:r w:rsidRPr="00274049" w:rsidR="00351130">
        <w:rPr>
          <w:rFonts w:ascii="Verdana" w:hAnsi="Verdana" w:cs="Arial"/>
          <w:color w:val="auto"/>
          <w:sz w:val="18"/>
          <w:szCs w:val="18"/>
        </w:rPr>
        <w:t xml:space="preserve">vier daaropvolgende </w:t>
      </w:r>
      <w:r w:rsidRPr="00274049">
        <w:rPr>
          <w:rFonts w:ascii="Verdana" w:hAnsi="Verdana" w:cs="Arial"/>
          <w:color w:val="auto"/>
          <w:sz w:val="18"/>
          <w:szCs w:val="18"/>
        </w:rPr>
        <w:t xml:space="preserve">jaren </w:t>
      </w:r>
      <w:r w:rsidRPr="00274049" w:rsidR="00351130">
        <w:rPr>
          <w:rFonts w:ascii="Verdana" w:hAnsi="Verdana" w:cs="Arial"/>
          <w:color w:val="auto"/>
          <w:sz w:val="18"/>
          <w:szCs w:val="18"/>
        </w:rPr>
        <w:t>(de meerjarenramingen)</w:t>
      </w:r>
      <w:r w:rsidRPr="00274049">
        <w:rPr>
          <w:rFonts w:ascii="Verdana" w:hAnsi="Verdana" w:cs="Arial"/>
          <w:color w:val="auto"/>
          <w:sz w:val="18"/>
          <w:szCs w:val="18"/>
        </w:rPr>
        <w:t xml:space="preserve"> bestaan uit: </w:t>
      </w:r>
    </w:p>
    <w:p w:rsidRPr="00274049" w:rsidR="00912CEB" w:rsidP="00912CEB" w:rsidRDefault="00912CEB">
      <w:pPr>
        <w:pStyle w:val="Default"/>
        <w:numPr>
          <w:ilvl w:val="0"/>
          <w:numId w:val="24"/>
        </w:numPr>
        <w:spacing w:line="360" w:lineRule="auto"/>
        <w:rPr>
          <w:rFonts w:ascii="Verdana" w:hAnsi="Verdana" w:cs="Arial"/>
          <w:color w:val="auto"/>
          <w:sz w:val="18"/>
          <w:szCs w:val="18"/>
        </w:rPr>
      </w:pPr>
      <w:r w:rsidRPr="00274049">
        <w:rPr>
          <w:rFonts w:ascii="Verdana" w:hAnsi="Verdana" w:cs="Arial"/>
          <w:color w:val="auto"/>
          <w:sz w:val="18"/>
          <w:szCs w:val="18"/>
        </w:rPr>
        <w:t>D</w:t>
      </w:r>
      <w:r w:rsidRPr="00274049" w:rsidR="006D31B1">
        <w:rPr>
          <w:rFonts w:ascii="Verdana" w:hAnsi="Verdana" w:cs="Arial"/>
          <w:color w:val="auto"/>
          <w:sz w:val="18"/>
          <w:szCs w:val="18"/>
        </w:rPr>
        <w:t xml:space="preserve">e uitgaven die voortvloeien uit verplichtingen die zijn aangegaan tot en met het lopende begrotingsjaar of in dat jaar zullen worden aangegaan; </w:t>
      </w:r>
    </w:p>
    <w:p w:rsidRPr="00274049" w:rsidR="006D31B1" w:rsidP="00912CEB" w:rsidRDefault="00912CEB">
      <w:pPr>
        <w:pStyle w:val="Default"/>
        <w:numPr>
          <w:ilvl w:val="0"/>
          <w:numId w:val="24"/>
        </w:numPr>
        <w:spacing w:line="360" w:lineRule="auto"/>
        <w:rPr>
          <w:rFonts w:ascii="Verdana" w:hAnsi="Verdana" w:cs="Arial"/>
          <w:color w:val="auto"/>
          <w:sz w:val="18"/>
          <w:szCs w:val="18"/>
        </w:rPr>
      </w:pPr>
      <w:r w:rsidRPr="00274049">
        <w:rPr>
          <w:rFonts w:ascii="Verdana" w:hAnsi="Verdana" w:cs="Arial"/>
          <w:color w:val="auto"/>
          <w:sz w:val="18"/>
          <w:szCs w:val="18"/>
        </w:rPr>
        <w:t>D</w:t>
      </w:r>
      <w:r w:rsidRPr="00274049" w:rsidR="006D31B1">
        <w:rPr>
          <w:rFonts w:ascii="Verdana" w:hAnsi="Verdana" w:cs="Arial"/>
          <w:color w:val="auto"/>
          <w:sz w:val="18"/>
          <w:szCs w:val="18"/>
        </w:rPr>
        <w:t xml:space="preserve">e uitgaven die voortvloeien uit verplichtingen die in het eerstvolgende begrotingsjaar zullen worden aangegaan; </w:t>
      </w:r>
    </w:p>
    <w:p w:rsidRPr="00274049" w:rsidR="006D31B1" w:rsidP="00912CEB" w:rsidRDefault="00912CEB">
      <w:pPr>
        <w:pStyle w:val="Default"/>
        <w:numPr>
          <w:ilvl w:val="0"/>
          <w:numId w:val="24"/>
        </w:numPr>
        <w:spacing w:line="360" w:lineRule="auto"/>
        <w:rPr>
          <w:rFonts w:ascii="Verdana" w:hAnsi="Verdana" w:cs="Arial"/>
          <w:color w:val="auto"/>
          <w:sz w:val="18"/>
          <w:szCs w:val="18"/>
        </w:rPr>
      </w:pPr>
      <w:r w:rsidRPr="00274049">
        <w:rPr>
          <w:rFonts w:ascii="Verdana" w:hAnsi="Verdana" w:cs="Arial"/>
          <w:color w:val="auto"/>
          <w:sz w:val="18"/>
          <w:szCs w:val="18"/>
        </w:rPr>
        <w:t>D</w:t>
      </w:r>
      <w:r w:rsidRPr="00274049" w:rsidR="006D31B1">
        <w:rPr>
          <w:rFonts w:ascii="Verdana" w:hAnsi="Verdana" w:cs="Arial"/>
          <w:color w:val="auto"/>
          <w:sz w:val="18"/>
          <w:szCs w:val="18"/>
        </w:rPr>
        <w:t xml:space="preserve">e uitgaven die voortvloeien uit verplichtingen die in de jaren volgend op het eerstvolgende begrotingsjaar moeten worden aangegaan, omdat deze een technisch noodzakelijke voortzetting vormen van reeds eerdere aangegane verplichtingen; </w:t>
      </w:r>
    </w:p>
    <w:p w:rsidRPr="00274049" w:rsidR="006D31B1" w:rsidP="00912CEB" w:rsidRDefault="00912CEB">
      <w:pPr>
        <w:pStyle w:val="Default"/>
        <w:numPr>
          <w:ilvl w:val="0"/>
          <w:numId w:val="24"/>
        </w:numPr>
        <w:spacing w:line="360" w:lineRule="auto"/>
        <w:rPr>
          <w:rFonts w:ascii="Verdana" w:hAnsi="Verdana" w:cs="Arial"/>
          <w:color w:val="auto"/>
          <w:sz w:val="18"/>
          <w:szCs w:val="18"/>
        </w:rPr>
      </w:pPr>
      <w:r w:rsidRPr="00274049">
        <w:rPr>
          <w:rFonts w:ascii="Verdana" w:hAnsi="Verdana" w:cs="Arial"/>
          <w:color w:val="auto"/>
          <w:sz w:val="18"/>
          <w:szCs w:val="18"/>
        </w:rPr>
        <w:t>D</w:t>
      </w:r>
      <w:r w:rsidRPr="00274049" w:rsidR="006D31B1">
        <w:rPr>
          <w:rFonts w:ascii="Verdana" w:hAnsi="Verdana" w:cs="Arial"/>
          <w:color w:val="auto"/>
          <w:sz w:val="18"/>
          <w:szCs w:val="18"/>
        </w:rPr>
        <w:t xml:space="preserve">e overige verplichtingen, voortvloeiend uit bestaand beleid of afspraken op </w:t>
      </w:r>
      <w:proofErr w:type="spellStart"/>
      <w:r w:rsidRPr="00274049" w:rsidR="006D31B1">
        <w:rPr>
          <w:rFonts w:ascii="Verdana" w:hAnsi="Verdana" w:cs="Arial"/>
          <w:color w:val="auto"/>
          <w:sz w:val="18"/>
          <w:szCs w:val="18"/>
        </w:rPr>
        <w:t>kabinets</w:t>
      </w:r>
      <w:proofErr w:type="spellEnd"/>
      <w:r w:rsidRPr="00274049" w:rsidR="006D31B1">
        <w:rPr>
          <w:rFonts w:ascii="Verdana" w:hAnsi="Verdana" w:cs="Arial"/>
          <w:color w:val="auto"/>
          <w:sz w:val="18"/>
          <w:szCs w:val="18"/>
        </w:rPr>
        <w:t xml:space="preserve">- of ministerieel niveau die in de jaren volgend op het eerstvolgend begrotingsjaar worden aangegaan. </w:t>
      </w:r>
    </w:p>
    <w:p w:rsidRPr="00274049" w:rsidR="00912CEB" w:rsidP="006D31B1" w:rsidRDefault="00912CEB">
      <w:pPr>
        <w:pStyle w:val="Default"/>
        <w:spacing w:line="360" w:lineRule="auto"/>
        <w:rPr>
          <w:rFonts w:ascii="Verdana" w:hAnsi="Verdana" w:cs="Arial"/>
          <w:color w:val="auto"/>
          <w:sz w:val="18"/>
          <w:szCs w:val="18"/>
        </w:rPr>
      </w:pPr>
    </w:p>
    <w:p w:rsidRPr="00274049" w:rsidR="006D31B1" w:rsidP="006D31B1" w:rsidRDefault="006D31B1">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Voor het extrapoleren van de meerjarencijfers gelden de volgende uitgangspunten: </w:t>
      </w:r>
    </w:p>
    <w:p w:rsidRPr="00274049" w:rsidR="006D31B1" w:rsidP="00912CEB" w:rsidRDefault="006D31B1">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Bij de ramingen wordt rekening gehouden met bestaande wettelijke regelingen. </w:t>
      </w:r>
    </w:p>
    <w:p w:rsidRPr="00274049" w:rsidR="006D31B1" w:rsidP="00912CEB" w:rsidRDefault="006D31B1">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Het extrapolatiejaar voor de departementale begrotingen en fondsen wordt beleidsarm geëxtrapoleerd. De demografische ontwikkeling is bepalend voor het beleidsarm extrapoleren. In alle gevallen moet het gaan om aan te </w:t>
      </w:r>
      <w:proofErr w:type="spellStart"/>
      <w:r w:rsidRPr="00274049">
        <w:rPr>
          <w:rFonts w:ascii="Verdana" w:hAnsi="Verdana" w:cs="Arial"/>
          <w:color w:val="auto"/>
          <w:sz w:val="18"/>
          <w:szCs w:val="18"/>
        </w:rPr>
        <w:t>gane</w:t>
      </w:r>
      <w:proofErr w:type="spellEnd"/>
      <w:r w:rsidRPr="00274049">
        <w:rPr>
          <w:rFonts w:ascii="Verdana" w:hAnsi="Verdana" w:cs="Arial"/>
          <w:color w:val="auto"/>
          <w:sz w:val="18"/>
          <w:szCs w:val="18"/>
        </w:rPr>
        <w:t xml:space="preserve"> verplichtingen en daaruit voortvloeiende uitgaven op grond van de voortzetting van bestaand of ongewijzigd beleid, of om uitgaven die door expliciete besluiten van de minister van Financiën of het kabinet zijn geaccordeerd. Indien bestaand beleid niet noodzakelijkerwijze impliceert dat nieuwe verplichtingen worden aangegaan (bijvoorbeeld bij projecten of eenmalige investeringen), dient te worden verondersteld dat geen nieuwe verplichtingen worden aangegaan, tenzij is besloten om het beleid te continueren. </w:t>
      </w:r>
    </w:p>
    <w:p w:rsidRPr="00274049" w:rsidR="006D31B1" w:rsidP="00912CEB" w:rsidRDefault="006D31B1">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Voor de economische groei wordt aangesloten bij de gemiddelde ontwikkeling uit de kabinetsperiode, zoals verondersteld is bij het opstellen van de uitgavenkaders. </w:t>
      </w:r>
    </w:p>
    <w:p w:rsidRPr="00274049" w:rsidR="006D31B1" w:rsidP="00912CEB" w:rsidRDefault="006D31B1">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Het extrapolatiejaar wordt kwantitatief (met prestatiegegevens) onderbouwd. Wanneer geen expliciete andersluidende afspraken bestaan, dienen het volume en de prijs die ten grondslag liggen aan de ramingen, constant gehouden te worden. </w:t>
      </w:r>
    </w:p>
    <w:p w:rsidRPr="00274049" w:rsidR="006D31B1" w:rsidP="00912CEB" w:rsidRDefault="006D31B1">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Het extrapolatiejaar wordt ook kwalitatief (welke programma's, projecten, bijdragen, etc.) onderbouwd. </w:t>
      </w:r>
    </w:p>
    <w:p w:rsidRPr="00274049" w:rsidR="006D31B1" w:rsidP="00912CEB" w:rsidRDefault="006D31B1">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De ramingen dienen te zijn gebaseerd op het in ongewijzigd tempo realiseren van meerjarige projecten. </w:t>
      </w:r>
    </w:p>
    <w:p w:rsidRPr="00274049" w:rsidR="00F43E4A" w:rsidP="00912CEB" w:rsidRDefault="00F43E4A">
      <w:pPr>
        <w:pStyle w:val="Default"/>
        <w:numPr>
          <w:ilvl w:val="0"/>
          <w:numId w:val="23"/>
        </w:numPr>
        <w:spacing w:line="360" w:lineRule="auto"/>
        <w:rPr>
          <w:rFonts w:ascii="Verdana" w:hAnsi="Verdana" w:cs="Arial"/>
          <w:color w:val="auto"/>
          <w:sz w:val="18"/>
          <w:szCs w:val="18"/>
        </w:rPr>
      </w:pPr>
      <w:r w:rsidRPr="00274049">
        <w:rPr>
          <w:rFonts w:ascii="Verdana" w:hAnsi="Verdana" w:cs="Arial"/>
          <w:color w:val="auto"/>
          <w:sz w:val="18"/>
          <w:szCs w:val="18"/>
        </w:rPr>
        <w:t xml:space="preserve">Wanneer reeds is afgesproken dat instrumenten </w:t>
      </w:r>
      <w:r w:rsidRPr="00274049" w:rsidR="00B6766E">
        <w:rPr>
          <w:rFonts w:ascii="Verdana" w:hAnsi="Verdana" w:cs="Arial"/>
          <w:color w:val="auto"/>
          <w:sz w:val="18"/>
          <w:szCs w:val="18"/>
        </w:rPr>
        <w:t xml:space="preserve">een afloop kennen, dient deze afloop tot uiting te komen in de </w:t>
      </w:r>
      <w:r w:rsidRPr="00274049" w:rsidR="00894678">
        <w:rPr>
          <w:rFonts w:ascii="Verdana" w:hAnsi="Verdana" w:cs="Arial"/>
          <w:color w:val="auto"/>
          <w:sz w:val="18"/>
          <w:szCs w:val="18"/>
        </w:rPr>
        <w:t xml:space="preserve">extrapolatie. </w:t>
      </w:r>
    </w:p>
    <w:p w:rsidRPr="00274049" w:rsidR="00164876" w:rsidP="00E020AA" w:rsidRDefault="00164876">
      <w:pPr>
        <w:rPr>
          <w:rFonts w:ascii="Verdana" w:hAnsi="Verdana" w:cs="Arial"/>
          <w:b/>
          <w:bCs/>
        </w:rPr>
      </w:pPr>
      <w:bookmarkStart w:name="OLE_LINK2" w:id="4"/>
      <w:r w:rsidRPr="00274049">
        <w:rPr>
          <w:rFonts w:ascii="Verdana" w:hAnsi="Verdana" w:cs="Arial"/>
          <w:b/>
          <w:bCs/>
        </w:rPr>
        <w:lastRenderedPageBreak/>
        <w:t xml:space="preserve">Regels die betrekking hebben op de inkomsten </w:t>
      </w:r>
    </w:p>
    <w:p w:rsidRPr="00274049" w:rsidR="00164876" w:rsidP="00164876" w:rsidRDefault="00164876"/>
    <w:bookmarkEnd w:id="4"/>
    <w:p w:rsidRPr="00274049" w:rsidR="00164876" w:rsidP="00CB5E12" w:rsidRDefault="00164876">
      <w:pPr>
        <w:pStyle w:val="Kop1"/>
      </w:pPr>
      <w:r w:rsidRPr="00274049">
        <w:t xml:space="preserve">Maatregelen aan de inkomstenkant van de begroting worden gemeten volgens de definitie van de inkomstenindicator. </w:t>
      </w:r>
    </w:p>
    <w:p w:rsidRPr="00274049" w:rsidR="00164876" w:rsidP="00164876" w:rsidRDefault="00164876">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De inkomstenindicator wordt gedefinieerd als het budgettaire effect van elke wijziging in bestaand overheidsbeleid op de voor het EMU-saldo relevante collectieve inkomsten. De definitie van de collectieve inkomsten is conform de definitie in de Nationale Rekeningen van het CBS. </w:t>
      </w:r>
    </w:p>
    <w:p w:rsidRPr="00274049" w:rsidR="00164876" w:rsidP="00164876" w:rsidRDefault="00164876">
      <w:pPr>
        <w:pStyle w:val="Default"/>
        <w:spacing w:line="360" w:lineRule="auto"/>
        <w:rPr>
          <w:rFonts w:ascii="Verdana" w:hAnsi="Verdana" w:cs="Arial"/>
          <w:color w:val="auto"/>
          <w:sz w:val="18"/>
          <w:szCs w:val="18"/>
        </w:rPr>
      </w:pPr>
      <w:r w:rsidRPr="00274049">
        <w:rPr>
          <w:rFonts w:ascii="Verdana" w:hAnsi="Verdana" w:cs="Arial"/>
          <w:color w:val="auto"/>
          <w:sz w:val="18"/>
          <w:szCs w:val="18"/>
        </w:rPr>
        <w:t>Dit betekent dat de zorgpremies worden meegenomen in de meting van de inkomstenindicator. Deze worden berekend op basis van de gemiddelde nominale premie voor een polis van het basispakket. Vanwege de nauwe samenhang met de zorgpremie, wordt de zorgtoeslag ook meegenomen in de meting van de inkomstenindicator.</w:t>
      </w:r>
    </w:p>
    <w:p w:rsidRPr="00274049" w:rsidR="00164876" w:rsidP="00164876" w:rsidRDefault="00164876">
      <w:pPr>
        <w:pStyle w:val="Default"/>
        <w:spacing w:line="360" w:lineRule="auto"/>
        <w:rPr>
          <w:rFonts w:ascii="Verdana" w:hAnsi="Verdana" w:cs="Arial"/>
          <w:color w:val="auto"/>
          <w:sz w:val="18"/>
          <w:szCs w:val="18"/>
        </w:rPr>
      </w:pPr>
    </w:p>
    <w:p w:rsidRPr="00274049" w:rsidR="00164876" w:rsidP="00CB5E12" w:rsidRDefault="00164876">
      <w:pPr>
        <w:pStyle w:val="Kop1"/>
      </w:pPr>
      <w:r w:rsidRPr="00274049">
        <w:t xml:space="preserve">Voor de beheersing aan de inkomstenkant geldt een reëel inkomstenkader. </w:t>
      </w:r>
    </w:p>
    <w:p w:rsidRPr="00274049" w:rsidR="008D1293" w:rsidP="00164876" w:rsidRDefault="00164876">
      <w:pPr>
        <w:pStyle w:val="Default"/>
        <w:spacing w:line="360" w:lineRule="auto"/>
        <w:rPr>
          <w:rFonts w:ascii="Verdana" w:hAnsi="Verdana" w:cs="Arial"/>
          <w:color w:val="auto"/>
          <w:sz w:val="18"/>
          <w:szCs w:val="18"/>
        </w:rPr>
      </w:pPr>
      <w:r w:rsidRPr="00274049">
        <w:rPr>
          <w:rFonts w:ascii="Verdana" w:hAnsi="Verdana" w:cs="Arial"/>
          <w:color w:val="auto"/>
          <w:sz w:val="18"/>
          <w:szCs w:val="18"/>
        </w:rPr>
        <w:t xml:space="preserve">Het inkomstenkader </w:t>
      </w:r>
      <w:r w:rsidRPr="00274049" w:rsidR="00F9021F">
        <w:rPr>
          <w:rFonts w:ascii="Verdana" w:hAnsi="Verdana" w:cs="Arial"/>
          <w:color w:val="auto"/>
          <w:sz w:val="18"/>
          <w:szCs w:val="18"/>
        </w:rPr>
        <w:t>is</w:t>
      </w:r>
      <w:r w:rsidRPr="00274049">
        <w:rPr>
          <w:rFonts w:ascii="Verdana" w:hAnsi="Verdana" w:cs="Arial"/>
          <w:color w:val="auto"/>
          <w:sz w:val="18"/>
          <w:szCs w:val="18"/>
        </w:rPr>
        <w:t xml:space="preserve"> vastgesteld in het regeerakkoord. Gedurende de kabinetsperiode dient de ontwikkeling van de inkomstenindicator gelijk te zijn aan het inkomstenkader. Tijdelijke afwijkingen van het inkomstenkader dienen zoveel mogelijk te worden vermeden. </w:t>
      </w:r>
    </w:p>
    <w:p w:rsidRPr="00274049" w:rsidR="008D1293" w:rsidP="00164876" w:rsidRDefault="008D1293">
      <w:pPr>
        <w:pStyle w:val="Default"/>
        <w:spacing w:line="360" w:lineRule="auto"/>
        <w:rPr>
          <w:rFonts w:ascii="Verdana" w:hAnsi="Verdana" w:cs="Arial"/>
          <w:color w:val="auto"/>
          <w:sz w:val="18"/>
          <w:szCs w:val="18"/>
        </w:rPr>
      </w:pPr>
    </w:p>
    <w:p w:rsidRPr="00274049" w:rsidR="002F7AD0" w:rsidP="002F7AD0" w:rsidRDefault="002F7AD0">
      <w:pPr>
        <w:pStyle w:val="Default"/>
        <w:spacing w:line="360" w:lineRule="auto"/>
        <w:rPr>
          <w:rFonts w:ascii="Verdana" w:hAnsi="Verdana" w:cs="Arial"/>
          <w:sz w:val="18"/>
          <w:szCs w:val="18"/>
        </w:rPr>
      </w:pPr>
      <w:r w:rsidRPr="00274049">
        <w:rPr>
          <w:rFonts w:ascii="Verdana" w:hAnsi="Verdana" w:cs="Arial"/>
          <w:sz w:val="18"/>
          <w:szCs w:val="18"/>
        </w:rPr>
        <w:t xml:space="preserve">Met incidentele lastenmutaties als gevolg van de zorgpremies wordt als volgt omgegaan. Incidentele lastenstijgingen als gevolg van een incidentele stijging van de zorgpremies worden </w:t>
      </w:r>
      <w:r w:rsidRPr="00274049" w:rsidR="00012523">
        <w:rPr>
          <w:rFonts w:ascii="Verdana" w:hAnsi="Verdana" w:cs="Arial"/>
          <w:sz w:val="18"/>
          <w:szCs w:val="18"/>
        </w:rPr>
        <w:t>(na de doorwerking van de zorgtoeslag)</w:t>
      </w:r>
      <w:r w:rsidRPr="00274049">
        <w:rPr>
          <w:rFonts w:ascii="Verdana" w:hAnsi="Verdana" w:cs="Arial"/>
          <w:sz w:val="18"/>
          <w:szCs w:val="18"/>
        </w:rPr>
        <w:t xml:space="preserve"> niet teruggesluisd met lagere incidentele lasten elders. </w:t>
      </w:r>
      <w:r w:rsidRPr="00274049" w:rsidR="00D821A9">
        <w:rPr>
          <w:rFonts w:ascii="Verdana" w:hAnsi="Verdana" w:cs="Arial"/>
          <w:sz w:val="18"/>
          <w:szCs w:val="18"/>
        </w:rPr>
        <w:t>Structurele stijgingen zullen wel worden teruggesluisd.</w:t>
      </w:r>
    </w:p>
    <w:p w:rsidRPr="00274049" w:rsidR="00164876" w:rsidP="00164876" w:rsidRDefault="00164876">
      <w:pPr>
        <w:pStyle w:val="Default"/>
        <w:spacing w:line="360" w:lineRule="auto"/>
        <w:rPr>
          <w:rFonts w:ascii="Verdana" w:hAnsi="Verdana" w:cs="Arial"/>
          <w:color w:val="auto"/>
          <w:sz w:val="18"/>
          <w:szCs w:val="18"/>
        </w:rPr>
      </w:pPr>
    </w:p>
    <w:p w:rsidRPr="00274049" w:rsidR="00164876" w:rsidP="00CB5E12" w:rsidRDefault="00164876">
      <w:pPr>
        <w:pStyle w:val="Kop1"/>
      </w:pPr>
      <w:r w:rsidRPr="00274049">
        <w:t xml:space="preserve">Afwijkende boekingen voor het inkomstenkader </w:t>
      </w:r>
    </w:p>
    <w:p w:rsidRPr="00274049" w:rsidR="0043390B" w:rsidP="0043390B" w:rsidRDefault="0043390B">
      <w:pPr>
        <w:spacing w:line="360" w:lineRule="auto"/>
        <w:rPr>
          <w:rFonts w:ascii="Verdana" w:hAnsi="Verdana"/>
          <w:b/>
          <w:sz w:val="18"/>
          <w:szCs w:val="18"/>
        </w:rPr>
      </w:pPr>
      <w:r w:rsidRPr="00274049">
        <w:rPr>
          <w:rFonts w:ascii="Verdana" w:hAnsi="Verdana"/>
          <w:sz w:val="18"/>
          <w:szCs w:val="18"/>
        </w:rPr>
        <w:t xml:space="preserve">Het inkomstenkader wordt aangepast voor intertemporele effecten die betrekking hebben op de omkeerregel (op basis van de </w:t>
      </w:r>
      <w:proofErr w:type="spellStart"/>
      <w:r w:rsidRPr="00274049">
        <w:rPr>
          <w:rFonts w:ascii="Verdana" w:hAnsi="Verdana"/>
          <w:sz w:val="18"/>
          <w:szCs w:val="18"/>
        </w:rPr>
        <w:t>netto-contante</w:t>
      </w:r>
      <w:proofErr w:type="spellEnd"/>
      <w:r w:rsidRPr="00274049">
        <w:rPr>
          <w:rFonts w:ascii="Verdana" w:hAnsi="Verdana"/>
          <w:sz w:val="18"/>
          <w:szCs w:val="18"/>
        </w:rPr>
        <w:t xml:space="preserve"> waarde methode). Aanpassing van het inkomstenkader voor intertemporele effecten van overige maatregelen</w:t>
      </w:r>
      <w:r w:rsidRPr="00274049">
        <w:rPr>
          <w:rFonts w:ascii="Verdana" w:hAnsi="Verdana"/>
          <w:b/>
          <w:sz w:val="18"/>
          <w:szCs w:val="18"/>
        </w:rPr>
        <w:t xml:space="preserve"> </w:t>
      </w:r>
      <w:r w:rsidRPr="00274049">
        <w:rPr>
          <w:rFonts w:ascii="Verdana" w:hAnsi="Verdana"/>
          <w:sz w:val="18"/>
          <w:szCs w:val="18"/>
        </w:rPr>
        <w:t>dient met grote terughoudendheid te worden toegepast, zowel wat betreft het effect op het EMU-saldo als het type maatregelen waarop de methode wordt toegepast.</w:t>
      </w:r>
    </w:p>
    <w:p w:rsidRPr="00274049" w:rsidR="0043390B" w:rsidP="0043390B" w:rsidRDefault="0043390B">
      <w:pPr>
        <w:pStyle w:val="Default"/>
        <w:spacing w:line="360" w:lineRule="auto"/>
        <w:rPr>
          <w:rFonts w:ascii="Verdana" w:hAnsi="Verdana" w:cs="Arial"/>
          <w:color w:val="auto"/>
          <w:sz w:val="18"/>
          <w:szCs w:val="18"/>
        </w:rPr>
      </w:pPr>
    </w:p>
    <w:p w:rsidRPr="00274049" w:rsidR="0043390B" w:rsidP="0043390B" w:rsidRDefault="0043390B">
      <w:pPr>
        <w:pStyle w:val="Default"/>
        <w:spacing w:line="360" w:lineRule="auto"/>
        <w:rPr>
          <w:rFonts w:ascii="Verdana" w:hAnsi="Verdana" w:cs="Arial"/>
          <w:color w:val="auto"/>
          <w:sz w:val="18"/>
          <w:szCs w:val="18"/>
        </w:rPr>
      </w:pPr>
      <w:r w:rsidRPr="00274049">
        <w:rPr>
          <w:rFonts w:ascii="Verdana" w:hAnsi="Verdana" w:cs="Arial"/>
          <w:color w:val="auto"/>
          <w:sz w:val="18"/>
          <w:szCs w:val="18"/>
        </w:rPr>
        <w:t>Particuliere betalingen komen niet ten goede aan de overheid en worden daarom niet meegenomen bij de meting van de inkomstenindicator. Wel geldt dat bij een financieringsverschuiving tussen publiek en privaat als gevolg van een systeemwijziging waarbij de rechten en plichten ongewijzigd blijven, het mogelijk is om zowel het inkomstenkader als het uitgavenkader statistisch te corrigeren</w:t>
      </w:r>
      <w:r w:rsidRPr="00274049">
        <w:rPr>
          <w:rStyle w:val="Voetnootmarkering"/>
          <w:rFonts w:ascii="Verdana" w:hAnsi="Verdana" w:cs="Arial"/>
          <w:color w:val="auto"/>
          <w:sz w:val="18"/>
          <w:szCs w:val="18"/>
        </w:rPr>
        <w:footnoteReference w:id="6"/>
      </w:r>
      <w:r w:rsidRPr="00274049">
        <w:rPr>
          <w:rFonts w:ascii="Verdana" w:hAnsi="Verdana" w:cs="Arial"/>
          <w:color w:val="auto"/>
          <w:sz w:val="18"/>
          <w:szCs w:val="18"/>
        </w:rPr>
        <w:t>. Deze financieringsverschuiving dient neutraal te zijn voor het EMU-saldo.</w:t>
      </w:r>
    </w:p>
    <w:p w:rsidRPr="00274049" w:rsidR="0043390B" w:rsidP="0043390B" w:rsidRDefault="0043390B">
      <w:pPr>
        <w:spacing w:line="360" w:lineRule="auto"/>
        <w:rPr>
          <w:rFonts w:ascii="Verdana" w:hAnsi="Verdana"/>
          <w:sz w:val="18"/>
          <w:szCs w:val="18"/>
        </w:rPr>
      </w:pPr>
    </w:p>
    <w:p w:rsidRPr="00274049" w:rsidR="00286E7C" w:rsidP="00176276" w:rsidRDefault="0043390B">
      <w:pPr>
        <w:spacing w:line="360" w:lineRule="auto"/>
        <w:rPr>
          <w:rFonts w:ascii="Verdana" w:hAnsi="Verdana"/>
          <w:sz w:val="18"/>
          <w:szCs w:val="18"/>
        </w:rPr>
      </w:pPr>
      <w:r w:rsidRPr="00274049">
        <w:rPr>
          <w:rFonts w:ascii="Verdana" w:hAnsi="Verdana"/>
          <w:sz w:val="18"/>
          <w:szCs w:val="18"/>
        </w:rPr>
        <w:t>Het inkomstenkader kan statistisch worden gecorrigeerd voor evident boekhoudkundige financieringsverschuivingen tussen de uitgaven- en de inkomstenkant (zie regel 8, statistische correcties).</w:t>
      </w:r>
    </w:p>
    <w:p w:rsidRPr="00274049" w:rsidR="00164876" w:rsidP="00CB5E12" w:rsidRDefault="00164876">
      <w:pPr>
        <w:pStyle w:val="Kop1"/>
      </w:pPr>
      <w:r w:rsidRPr="00274049">
        <w:lastRenderedPageBreak/>
        <w:t xml:space="preserve">Beheersing belastinguitgaven </w:t>
      </w:r>
    </w:p>
    <w:p w:rsidRPr="00274049" w:rsidR="00164876" w:rsidP="00164876" w:rsidRDefault="00164876">
      <w:pPr>
        <w:pStyle w:val="Default"/>
        <w:spacing w:line="360" w:lineRule="auto"/>
        <w:rPr>
          <w:rFonts w:ascii="Verdana" w:hAnsi="Verdana"/>
          <w:i/>
          <w:color w:val="auto"/>
          <w:sz w:val="18"/>
          <w:szCs w:val="18"/>
        </w:rPr>
      </w:pPr>
      <w:r w:rsidRPr="00274049">
        <w:rPr>
          <w:rFonts w:ascii="Verdana" w:hAnsi="Verdana"/>
          <w:i/>
          <w:color w:val="auto"/>
          <w:sz w:val="18"/>
          <w:szCs w:val="18"/>
        </w:rPr>
        <w:t>Beheersingskader</w:t>
      </w:r>
    </w:p>
    <w:p w:rsidRPr="00274049" w:rsidR="00164876" w:rsidP="00164876" w:rsidRDefault="00164876">
      <w:pPr>
        <w:pStyle w:val="Default"/>
        <w:spacing w:line="360" w:lineRule="auto"/>
        <w:rPr>
          <w:rFonts w:ascii="Verdana" w:hAnsi="Verdana"/>
          <w:color w:val="auto"/>
          <w:sz w:val="18"/>
          <w:szCs w:val="18"/>
        </w:rPr>
      </w:pPr>
      <w:r w:rsidRPr="00274049">
        <w:rPr>
          <w:rFonts w:ascii="Verdana" w:hAnsi="Verdana"/>
          <w:color w:val="auto"/>
          <w:sz w:val="18"/>
          <w:szCs w:val="18"/>
        </w:rPr>
        <w:t xml:space="preserve">De zogenoemde ‘belastinguitgaven’ en de budgettaire derving van andere fiscale regelingen vallen om praktische redenen niet onder een met de uitgaven vergelijkbaar strikt beheersingskader. Beleidsmatige mutaties </w:t>
      </w:r>
      <w:r w:rsidRPr="00274049" w:rsidR="00A7014D">
        <w:rPr>
          <w:rFonts w:ascii="Verdana" w:hAnsi="Verdana"/>
          <w:color w:val="auto"/>
          <w:sz w:val="18"/>
          <w:szCs w:val="18"/>
        </w:rPr>
        <w:t xml:space="preserve">aan de inkomstenkant </w:t>
      </w:r>
      <w:r w:rsidRPr="00274049">
        <w:rPr>
          <w:rFonts w:ascii="Verdana" w:hAnsi="Verdana"/>
          <w:color w:val="auto"/>
          <w:sz w:val="18"/>
          <w:szCs w:val="18"/>
        </w:rPr>
        <w:t xml:space="preserve">en nieuwe fiscale regelingen worden geboekt onder het inkomstenkader. </w:t>
      </w:r>
    </w:p>
    <w:p w:rsidRPr="00274049" w:rsidR="00164876" w:rsidP="00164876" w:rsidRDefault="00164876">
      <w:pPr>
        <w:pStyle w:val="Default"/>
        <w:spacing w:line="360" w:lineRule="auto"/>
        <w:rPr>
          <w:rFonts w:ascii="Verdana" w:hAnsi="Verdana" w:cs="Arial"/>
          <w:i/>
          <w:iCs/>
          <w:color w:val="auto"/>
          <w:sz w:val="18"/>
          <w:szCs w:val="18"/>
        </w:rPr>
      </w:pPr>
    </w:p>
    <w:p w:rsidRPr="00274049" w:rsidR="00164876" w:rsidP="00164876" w:rsidRDefault="00164876">
      <w:pPr>
        <w:pStyle w:val="Default"/>
        <w:spacing w:line="360" w:lineRule="auto"/>
        <w:rPr>
          <w:rFonts w:ascii="Verdana" w:hAnsi="Verdana" w:cs="Arial"/>
          <w:i/>
          <w:iCs/>
          <w:color w:val="auto"/>
          <w:sz w:val="18"/>
          <w:szCs w:val="18"/>
        </w:rPr>
      </w:pPr>
      <w:r w:rsidRPr="00274049">
        <w:rPr>
          <w:rFonts w:ascii="Verdana" w:hAnsi="Verdana" w:cs="Arial"/>
          <w:i/>
          <w:iCs/>
          <w:color w:val="auto"/>
          <w:sz w:val="18"/>
          <w:szCs w:val="18"/>
        </w:rPr>
        <w:t xml:space="preserve">Toetsingskader belastinguitgaven. </w:t>
      </w:r>
    </w:p>
    <w:p w:rsidRPr="00274049" w:rsidR="00313FC5" w:rsidP="00313FC5" w:rsidRDefault="00313FC5">
      <w:pPr>
        <w:pStyle w:val="Default"/>
        <w:spacing w:line="360" w:lineRule="auto"/>
        <w:rPr>
          <w:rFonts w:ascii="Verdana" w:hAnsi="Verdana" w:cs="Arial"/>
          <w:i/>
          <w:iCs/>
          <w:color w:val="auto"/>
          <w:sz w:val="18"/>
          <w:szCs w:val="18"/>
        </w:rPr>
      </w:pPr>
      <w:r w:rsidRPr="00274049">
        <w:rPr>
          <w:rFonts w:ascii="Verdana" w:hAnsi="Verdana"/>
          <w:color w:val="auto"/>
          <w:sz w:val="18"/>
          <w:szCs w:val="18"/>
        </w:rPr>
        <w:t xml:space="preserve">Voor de introductie van nieuwe </w:t>
      </w:r>
      <w:r w:rsidRPr="00274049">
        <w:rPr>
          <w:rFonts w:ascii="Verdana" w:hAnsi="Verdana" w:cs="Arial"/>
          <w:color w:val="auto"/>
          <w:sz w:val="18"/>
          <w:szCs w:val="18"/>
        </w:rPr>
        <w:t>dan wel intensivering</w:t>
      </w:r>
      <w:r w:rsidRPr="00274049" w:rsidR="00C43938">
        <w:rPr>
          <w:rFonts w:ascii="Verdana" w:hAnsi="Verdana" w:cs="Arial"/>
          <w:color w:val="auto"/>
          <w:sz w:val="18"/>
          <w:szCs w:val="18"/>
        </w:rPr>
        <w:t>en</w:t>
      </w:r>
      <w:r w:rsidRPr="00274049">
        <w:rPr>
          <w:rFonts w:ascii="Verdana" w:hAnsi="Verdana" w:cs="Arial"/>
          <w:color w:val="auto"/>
          <w:sz w:val="18"/>
          <w:szCs w:val="18"/>
        </w:rPr>
        <w:t xml:space="preserve"> van bestaande</w:t>
      </w:r>
      <w:r w:rsidRPr="00274049">
        <w:rPr>
          <w:rFonts w:ascii="Verdana" w:hAnsi="Verdana"/>
          <w:color w:val="auto"/>
          <w:sz w:val="18"/>
          <w:szCs w:val="18"/>
        </w:rPr>
        <w:t xml:space="preserve"> belastinguitgaven en de evaluatie van deze regelingen geldt een restrictief toetsingskader, zoals opgenomen in de RBV. </w:t>
      </w:r>
      <w:r w:rsidRPr="00274049">
        <w:rPr>
          <w:rFonts w:ascii="Verdana" w:hAnsi="Verdana" w:cs="Arial"/>
          <w:color w:val="auto"/>
          <w:sz w:val="18"/>
          <w:szCs w:val="18"/>
        </w:rPr>
        <w:t xml:space="preserve">Met behulp van het toetsingskader kan worden afgewogen of (de intensivering van) een fiscale maatregel al dan niet de voorkeur heeft. </w:t>
      </w:r>
    </w:p>
    <w:p w:rsidRPr="00274049" w:rsidR="00164876" w:rsidP="00164876" w:rsidRDefault="00164876">
      <w:pPr>
        <w:pStyle w:val="Default"/>
        <w:spacing w:line="360" w:lineRule="auto"/>
        <w:rPr>
          <w:rFonts w:ascii="Verdana" w:hAnsi="Verdana"/>
          <w:color w:val="auto"/>
          <w:sz w:val="18"/>
          <w:szCs w:val="18"/>
        </w:rPr>
      </w:pPr>
    </w:p>
    <w:p w:rsidRPr="00274049" w:rsidR="00164876" w:rsidP="00164876" w:rsidRDefault="00164876">
      <w:pPr>
        <w:pStyle w:val="Default"/>
        <w:spacing w:line="360" w:lineRule="auto"/>
        <w:rPr>
          <w:rFonts w:ascii="Verdana" w:hAnsi="Verdana"/>
          <w:i/>
          <w:color w:val="auto"/>
          <w:sz w:val="18"/>
          <w:szCs w:val="18"/>
        </w:rPr>
      </w:pPr>
      <w:r w:rsidRPr="00274049">
        <w:rPr>
          <w:rFonts w:ascii="Verdana" w:hAnsi="Verdana"/>
          <w:i/>
          <w:color w:val="auto"/>
          <w:sz w:val="18"/>
          <w:szCs w:val="18"/>
        </w:rPr>
        <w:t>Budgettering van individuele belastinguitgaven</w:t>
      </w:r>
    </w:p>
    <w:p w:rsidRPr="00274049" w:rsidR="00164876" w:rsidP="00164876" w:rsidRDefault="00164876">
      <w:pPr>
        <w:pStyle w:val="Default"/>
        <w:spacing w:line="360" w:lineRule="auto"/>
        <w:rPr>
          <w:rFonts w:ascii="Verdana" w:hAnsi="Verdana"/>
          <w:color w:val="auto"/>
          <w:sz w:val="18"/>
          <w:szCs w:val="18"/>
        </w:rPr>
      </w:pPr>
      <w:r w:rsidRPr="00274049">
        <w:rPr>
          <w:rFonts w:ascii="Verdana" w:hAnsi="Verdana"/>
          <w:color w:val="auto"/>
          <w:sz w:val="18"/>
          <w:szCs w:val="18"/>
        </w:rPr>
        <w:t>Voor nieuwe belastinguitgaven en intensiveringen van bestaande belastinguitgaven geldt dat het budgettaire beslag van een dergelijke maatregel word</w:t>
      </w:r>
      <w:r w:rsidRPr="00274049" w:rsidR="005B782A">
        <w:rPr>
          <w:rFonts w:ascii="Verdana" w:hAnsi="Verdana"/>
          <w:color w:val="auto"/>
          <w:sz w:val="18"/>
          <w:szCs w:val="18"/>
        </w:rPr>
        <w:t>t</w:t>
      </w:r>
      <w:r w:rsidRPr="00274049">
        <w:rPr>
          <w:rFonts w:ascii="Verdana" w:hAnsi="Verdana"/>
          <w:color w:val="auto"/>
          <w:sz w:val="18"/>
          <w:szCs w:val="18"/>
        </w:rPr>
        <w:t xml:space="preserve"> gebudgetteerd</w:t>
      </w:r>
      <w:r w:rsidRPr="00274049" w:rsidR="005B782A">
        <w:rPr>
          <w:rFonts w:ascii="Verdana" w:hAnsi="Verdana"/>
          <w:color w:val="auto"/>
          <w:sz w:val="18"/>
          <w:szCs w:val="18"/>
        </w:rPr>
        <w:t xml:space="preserve"> indien uitvoerbaar</w:t>
      </w:r>
      <w:r w:rsidRPr="00274049">
        <w:rPr>
          <w:rFonts w:ascii="Verdana" w:hAnsi="Verdana"/>
          <w:color w:val="auto"/>
          <w:sz w:val="18"/>
          <w:szCs w:val="18"/>
        </w:rPr>
        <w:t>. Voor bestaande belastinguitgaven worden bij een evaluatie de mogelijkheden van (nadere) budgettering bezien.</w:t>
      </w:r>
    </w:p>
    <w:p w:rsidRPr="00274049" w:rsidR="00164876" w:rsidP="00164876" w:rsidRDefault="00164876">
      <w:pPr>
        <w:pStyle w:val="Default"/>
        <w:spacing w:line="360" w:lineRule="auto"/>
        <w:rPr>
          <w:rFonts w:ascii="Verdana" w:hAnsi="Verdana"/>
          <w:color w:val="auto"/>
          <w:sz w:val="18"/>
          <w:szCs w:val="18"/>
        </w:rPr>
      </w:pPr>
    </w:p>
    <w:p w:rsidRPr="00274049" w:rsidR="00164876" w:rsidP="00164876" w:rsidRDefault="00164876">
      <w:pPr>
        <w:pStyle w:val="Default"/>
        <w:spacing w:line="360" w:lineRule="auto"/>
        <w:rPr>
          <w:rFonts w:ascii="Verdana" w:hAnsi="Verdana"/>
          <w:i/>
          <w:color w:val="auto"/>
          <w:sz w:val="18"/>
          <w:szCs w:val="18"/>
        </w:rPr>
      </w:pPr>
      <w:proofErr w:type="spellStart"/>
      <w:r w:rsidRPr="00274049">
        <w:rPr>
          <w:rFonts w:ascii="Verdana" w:hAnsi="Verdana"/>
          <w:i/>
          <w:color w:val="auto"/>
          <w:sz w:val="18"/>
          <w:szCs w:val="18"/>
        </w:rPr>
        <w:t>Monitoring</w:t>
      </w:r>
      <w:proofErr w:type="spellEnd"/>
      <w:r w:rsidRPr="00274049">
        <w:rPr>
          <w:rFonts w:ascii="Verdana" w:hAnsi="Verdana"/>
          <w:i/>
          <w:color w:val="auto"/>
          <w:sz w:val="18"/>
          <w:szCs w:val="18"/>
        </w:rPr>
        <w:t xml:space="preserve"> van individuele belastinguitgaven</w:t>
      </w:r>
    </w:p>
    <w:p w:rsidRPr="00C92B17" w:rsidR="00313FC5" w:rsidP="00313FC5" w:rsidRDefault="00313FC5">
      <w:pPr>
        <w:pStyle w:val="Default"/>
        <w:spacing w:line="360" w:lineRule="auto"/>
        <w:rPr>
          <w:rFonts w:ascii="Verdana" w:hAnsi="Verdana"/>
          <w:sz w:val="18"/>
          <w:szCs w:val="18"/>
        </w:rPr>
      </w:pPr>
      <w:r w:rsidRPr="00274049">
        <w:rPr>
          <w:rFonts w:ascii="Verdana" w:hAnsi="Verdana"/>
          <w:color w:val="auto"/>
          <w:sz w:val="18"/>
          <w:szCs w:val="18"/>
        </w:rPr>
        <w:t xml:space="preserve">In een bijlage van de Miljoenennota is het budgettaire beslag van belastinguitgaven </w:t>
      </w:r>
      <w:r w:rsidRPr="00274049" w:rsidR="00C37AB7">
        <w:rPr>
          <w:rFonts w:ascii="Verdana" w:hAnsi="Verdana"/>
          <w:color w:val="auto"/>
          <w:sz w:val="18"/>
          <w:szCs w:val="18"/>
        </w:rPr>
        <w:t xml:space="preserve">(in enge zin) </w:t>
      </w:r>
      <w:r w:rsidRPr="00274049">
        <w:rPr>
          <w:rFonts w:ascii="Verdana" w:hAnsi="Verdana"/>
          <w:color w:val="auto"/>
          <w:sz w:val="18"/>
          <w:szCs w:val="18"/>
        </w:rPr>
        <w:t>en van de inkomstenbeperkende regelingen eigen woning en pensioenen opgenomen. Het budgettaire beslag van de</w:t>
      </w:r>
      <w:r w:rsidRPr="00274049" w:rsidR="00776FD8">
        <w:rPr>
          <w:rFonts w:ascii="Verdana" w:hAnsi="Verdana"/>
          <w:color w:val="auto"/>
          <w:sz w:val="18"/>
          <w:szCs w:val="18"/>
        </w:rPr>
        <w:t xml:space="preserve"> belastinguitgaven in enge zin </w:t>
      </w:r>
      <w:r w:rsidRPr="00274049">
        <w:rPr>
          <w:rFonts w:ascii="Verdana" w:hAnsi="Verdana"/>
          <w:color w:val="auto"/>
          <w:sz w:val="18"/>
          <w:szCs w:val="18"/>
        </w:rPr>
        <w:t>wordt tevens afgezet tegen de aan het begin van de kabinetsperiode verwachte ontwikkeling. Bij substantiële opwaartse afwijkingen van de endogene ontwikkeling ten opzichte van de aan het begin van de kabinetsperiode verwachte ontwikkeling kan dit aanleiding geven tot maatregelen, waarbij deze maatregelen niet relevant zijn voor het inkomstenkader.</w:t>
      </w:r>
    </w:p>
    <w:p w:rsidRPr="00C92B17" w:rsidR="00164876" w:rsidP="00164876" w:rsidRDefault="00164876">
      <w:pPr>
        <w:spacing w:line="360" w:lineRule="auto"/>
        <w:rPr>
          <w:rFonts w:ascii="Verdana" w:hAnsi="Verdana"/>
          <w:sz w:val="18"/>
          <w:szCs w:val="18"/>
        </w:rPr>
      </w:pPr>
    </w:p>
    <w:p w:rsidRPr="00C92B17" w:rsidR="00164876" w:rsidP="00164876" w:rsidRDefault="00164876">
      <w:pPr>
        <w:spacing w:line="360" w:lineRule="auto"/>
        <w:rPr>
          <w:rFonts w:ascii="Verdana" w:hAnsi="Verdana"/>
          <w:sz w:val="18"/>
          <w:szCs w:val="18"/>
        </w:rPr>
      </w:pPr>
    </w:p>
    <w:p w:rsidRPr="006204B6" w:rsidR="00912CEB" w:rsidP="003209E0" w:rsidRDefault="00912CEB">
      <w:pPr>
        <w:spacing w:line="360" w:lineRule="auto"/>
        <w:rPr>
          <w:sz w:val="18"/>
        </w:rPr>
      </w:pPr>
    </w:p>
    <w:sectPr w:rsidRPr="006204B6" w:rsidR="00912CEB" w:rsidSect="00420A82">
      <w:footerReference w:type="even"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F03" w:rsidRDefault="00E05F03">
      <w:r>
        <w:separator/>
      </w:r>
    </w:p>
  </w:endnote>
  <w:endnote w:type="continuationSeparator" w:id="0">
    <w:p w:rsidR="00E05F03" w:rsidRDefault="00E05F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03" w:rsidRDefault="00784D60" w:rsidP="00B44C41">
    <w:pPr>
      <w:pStyle w:val="Voettekst"/>
      <w:framePr w:wrap="around" w:vAnchor="text" w:hAnchor="margin" w:xAlign="right" w:y="1"/>
      <w:rPr>
        <w:rStyle w:val="Paginanummer"/>
      </w:rPr>
    </w:pPr>
    <w:r>
      <w:rPr>
        <w:rStyle w:val="Paginanummer"/>
      </w:rPr>
      <w:fldChar w:fldCharType="begin"/>
    </w:r>
    <w:r w:rsidR="00E05F03">
      <w:rPr>
        <w:rStyle w:val="Paginanummer"/>
      </w:rPr>
      <w:instrText xml:space="preserve">PAGE  </w:instrText>
    </w:r>
    <w:r>
      <w:rPr>
        <w:rStyle w:val="Paginanummer"/>
      </w:rPr>
      <w:fldChar w:fldCharType="end"/>
    </w:r>
  </w:p>
  <w:p w:rsidR="00E05F03" w:rsidRDefault="00E05F03" w:rsidP="002449C6">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03" w:rsidRPr="002449C6" w:rsidRDefault="00784D60" w:rsidP="00B44C41">
    <w:pPr>
      <w:pStyle w:val="Voettekst"/>
      <w:framePr w:wrap="around" w:vAnchor="text" w:hAnchor="margin" w:xAlign="right" w:y="1"/>
      <w:rPr>
        <w:rStyle w:val="Paginanummer"/>
        <w:rFonts w:ascii="Verdana" w:hAnsi="Verdana"/>
        <w:sz w:val="20"/>
        <w:szCs w:val="20"/>
      </w:rPr>
    </w:pPr>
    <w:r w:rsidRPr="002449C6">
      <w:rPr>
        <w:rStyle w:val="Paginanummer"/>
        <w:rFonts w:ascii="Verdana" w:hAnsi="Verdana"/>
        <w:sz w:val="20"/>
        <w:szCs w:val="20"/>
      </w:rPr>
      <w:fldChar w:fldCharType="begin"/>
    </w:r>
    <w:r w:rsidR="00E05F03" w:rsidRPr="002449C6">
      <w:rPr>
        <w:rStyle w:val="Paginanummer"/>
        <w:rFonts w:ascii="Verdana" w:hAnsi="Verdana"/>
        <w:sz w:val="20"/>
        <w:szCs w:val="20"/>
      </w:rPr>
      <w:instrText xml:space="preserve">PAGE  </w:instrText>
    </w:r>
    <w:r w:rsidRPr="002449C6">
      <w:rPr>
        <w:rStyle w:val="Paginanummer"/>
        <w:rFonts w:ascii="Verdana" w:hAnsi="Verdana"/>
        <w:sz w:val="20"/>
        <w:szCs w:val="20"/>
      </w:rPr>
      <w:fldChar w:fldCharType="separate"/>
    </w:r>
    <w:r w:rsidR="000B4367">
      <w:rPr>
        <w:rStyle w:val="Paginanummer"/>
        <w:rFonts w:ascii="Verdana" w:hAnsi="Verdana"/>
        <w:noProof/>
        <w:sz w:val="20"/>
        <w:szCs w:val="20"/>
      </w:rPr>
      <w:t>1</w:t>
    </w:r>
    <w:r w:rsidRPr="002449C6">
      <w:rPr>
        <w:rStyle w:val="Paginanummer"/>
        <w:rFonts w:ascii="Verdana" w:hAnsi="Verdana"/>
        <w:sz w:val="20"/>
        <w:szCs w:val="20"/>
      </w:rPr>
      <w:fldChar w:fldCharType="end"/>
    </w:r>
  </w:p>
  <w:p w:rsidR="00E05F03" w:rsidRDefault="00E05F03" w:rsidP="002449C6">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F03" w:rsidRDefault="00E05F03">
      <w:r>
        <w:separator/>
      </w:r>
    </w:p>
  </w:footnote>
  <w:footnote w:type="continuationSeparator" w:id="0">
    <w:p w:rsidR="00E05F03" w:rsidRDefault="00E05F03">
      <w:r>
        <w:continuationSeparator/>
      </w:r>
    </w:p>
  </w:footnote>
  <w:footnote w:id="1">
    <w:p w:rsidR="00E05F03" w:rsidRPr="00274049" w:rsidRDefault="00E05F03" w:rsidP="00867702">
      <w:pPr>
        <w:pStyle w:val="Voetnoottekst"/>
        <w:rPr>
          <w:bCs/>
        </w:rPr>
      </w:pPr>
      <w:r w:rsidRPr="00274049">
        <w:rPr>
          <w:rStyle w:val="Voetnootmarkering"/>
          <w:rFonts w:ascii="Verdana" w:hAnsi="Verdana"/>
          <w:sz w:val="18"/>
          <w:szCs w:val="18"/>
        </w:rPr>
        <w:footnoteRef/>
      </w:r>
      <w:r w:rsidRPr="00274049">
        <w:rPr>
          <w:rFonts w:ascii="Verdana" w:hAnsi="Verdana"/>
          <w:sz w:val="18"/>
          <w:szCs w:val="18"/>
        </w:rPr>
        <w:t xml:space="preserve"> </w:t>
      </w:r>
      <w:r w:rsidRPr="00274049">
        <w:rPr>
          <w:rFonts w:ascii="Verdana" w:hAnsi="Verdana"/>
          <w:sz w:val="16"/>
        </w:rPr>
        <w:t>In de begrotingsregels is niet geanticipeerd op de uitkomst van het Interdepartementaal Beleidsonderzoek Staatsdeelnemingen.</w:t>
      </w:r>
    </w:p>
  </w:footnote>
  <w:footnote w:id="2">
    <w:p w:rsidR="00E05F03" w:rsidRPr="00274049" w:rsidRDefault="00E05F03" w:rsidP="00700C0A">
      <w:pPr>
        <w:pStyle w:val="Voetnoottekst"/>
        <w:rPr>
          <w:rFonts w:ascii="Verdana" w:hAnsi="Verdana"/>
        </w:rPr>
      </w:pPr>
      <w:r w:rsidRPr="00274049">
        <w:rPr>
          <w:rStyle w:val="Voetnootmarkering"/>
          <w:rFonts w:ascii="Verdana" w:hAnsi="Verdana"/>
          <w:sz w:val="18"/>
          <w:szCs w:val="18"/>
        </w:rPr>
        <w:footnoteRef/>
      </w:r>
      <w:r w:rsidRPr="00274049">
        <w:rPr>
          <w:rFonts w:ascii="Verdana" w:hAnsi="Verdana"/>
          <w:sz w:val="16"/>
        </w:rPr>
        <w:t xml:space="preserve"> Dit geldt voor de grenzen uit een eventuele </w:t>
      </w:r>
      <w:proofErr w:type="spellStart"/>
      <w:r w:rsidRPr="00274049">
        <w:rPr>
          <w:rFonts w:ascii="Verdana" w:hAnsi="Verdana"/>
          <w:sz w:val="16"/>
        </w:rPr>
        <w:t>buitensporigtekortprocedure</w:t>
      </w:r>
      <w:proofErr w:type="spellEnd"/>
      <w:r w:rsidRPr="00274049">
        <w:rPr>
          <w:rFonts w:ascii="Verdana" w:hAnsi="Verdana"/>
          <w:sz w:val="16"/>
        </w:rPr>
        <w:t xml:space="preserve">, maar ook voor de reguliere grenzen zoals vastgelegd in het </w:t>
      </w:r>
      <w:proofErr w:type="spellStart"/>
      <w:r w:rsidRPr="00274049">
        <w:rPr>
          <w:rFonts w:ascii="Verdana" w:hAnsi="Verdana"/>
          <w:sz w:val="16"/>
        </w:rPr>
        <w:t>Stabiliteits</w:t>
      </w:r>
      <w:proofErr w:type="spellEnd"/>
      <w:r w:rsidRPr="00274049">
        <w:rPr>
          <w:rFonts w:ascii="Verdana" w:hAnsi="Verdana"/>
          <w:sz w:val="16"/>
        </w:rPr>
        <w:t>- en Groeipact (SGP).</w:t>
      </w:r>
    </w:p>
  </w:footnote>
  <w:footnote w:id="3">
    <w:p w:rsidR="00E05F03" w:rsidRPr="00274049" w:rsidRDefault="00E05F03">
      <w:pPr>
        <w:pStyle w:val="Voetnoottekst"/>
        <w:rPr>
          <w:rFonts w:ascii="Verdana" w:hAnsi="Verdana"/>
        </w:rPr>
      </w:pPr>
      <w:r w:rsidRPr="00274049">
        <w:rPr>
          <w:rStyle w:val="Voetnootmarkering"/>
          <w:rFonts w:ascii="Verdana" w:hAnsi="Verdana"/>
          <w:sz w:val="16"/>
        </w:rPr>
        <w:footnoteRef/>
      </w:r>
      <w:r w:rsidRPr="00274049">
        <w:rPr>
          <w:rFonts w:ascii="Verdana" w:hAnsi="Verdana"/>
          <w:sz w:val="16"/>
        </w:rPr>
        <w:t xml:space="preserve"> Zie begrotingsregel 29 voor een beschrijving van de Eindejaarsmarge.</w:t>
      </w:r>
    </w:p>
  </w:footnote>
  <w:footnote w:id="4">
    <w:p w:rsidR="00E05F03" w:rsidRPr="00274049" w:rsidRDefault="00E05F03" w:rsidP="008D1293">
      <w:pPr>
        <w:rPr>
          <w:rFonts w:ascii="Verdana" w:hAnsi="Verdana"/>
          <w:iCs/>
          <w:sz w:val="16"/>
          <w:szCs w:val="16"/>
        </w:rPr>
      </w:pPr>
      <w:r w:rsidRPr="00274049">
        <w:rPr>
          <w:rStyle w:val="Voetnootmarkering"/>
          <w:rFonts w:ascii="Verdana" w:hAnsi="Verdana"/>
          <w:sz w:val="16"/>
          <w:szCs w:val="16"/>
        </w:rPr>
        <w:footnoteRef/>
      </w:r>
      <w:r w:rsidRPr="00274049">
        <w:rPr>
          <w:rFonts w:ascii="Verdana" w:hAnsi="Verdana"/>
          <w:sz w:val="16"/>
          <w:szCs w:val="16"/>
        </w:rPr>
        <w:t xml:space="preserve"> </w:t>
      </w:r>
      <w:r w:rsidRPr="00274049">
        <w:rPr>
          <w:rFonts w:ascii="Verdana" w:hAnsi="Verdana"/>
          <w:iCs/>
          <w:sz w:val="16"/>
          <w:szCs w:val="16"/>
        </w:rPr>
        <w:t xml:space="preserve">Voor overname van overtollig vastgoed geldt als vastgesteld in de </w:t>
      </w:r>
      <w:proofErr w:type="spellStart"/>
      <w:r w:rsidRPr="00274049">
        <w:rPr>
          <w:rFonts w:ascii="Verdana" w:hAnsi="Verdana"/>
          <w:iCs/>
          <w:sz w:val="16"/>
          <w:szCs w:val="16"/>
        </w:rPr>
        <w:t>rijksvastgoedportefeuillestrategie</w:t>
      </w:r>
      <w:proofErr w:type="spellEnd"/>
      <w:r w:rsidRPr="00274049">
        <w:rPr>
          <w:rFonts w:ascii="Verdana" w:hAnsi="Verdana"/>
          <w:iCs/>
          <w:sz w:val="16"/>
          <w:szCs w:val="16"/>
        </w:rPr>
        <w:t xml:space="preserve"> een meerjarig generieke middelenafspraak met een budgettair plafond van 150 miljoen euro</w:t>
      </w:r>
      <w:r w:rsidR="001E528F" w:rsidRPr="00274049">
        <w:rPr>
          <w:rFonts w:ascii="Verdana" w:hAnsi="Verdana"/>
          <w:iCs/>
          <w:sz w:val="16"/>
          <w:szCs w:val="16"/>
        </w:rPr>
        <w:t xml:space="preserve"> </w:t>
      </w:r>
      <w:r w:rsidRPr="00274049">
        <w:rPr>
          <w:rFonts w:ascii="Verdana" w:hAnsi="Verdana"/>
          <w:iCs/>
          <w:sz w:val="16"/>
          <w:szCs w:val="16"/>
        </w:rPr>
        <w:t xml:space="preserve">- inpasbaar binnen EMU-schuld en het EMU-saldo. De reeds bestaande middelenafspraken worden gehonoreerd. De incidenteel ontvangen gelden kunnen niet aangewend worden voor structurele uitgaven. </w:t>
      </w:r>
    </w:p>
    <w:p w:rsidR="00E05F03" w:rsidRPr="00274049" w:rsidRDefault="00E05F03" w:rsidP="008D1293">
      <w:pPr>
        <w:rPr>
          <w:rFonts w:ascii="Verdana" w:hAnsi="Verdana"/>
          <w:sz w:val="14"/>
          <w:szCs w:val="16"/>
        </w:rPr>
      </w:pPr>
    </w:p>
  </w:footnote>
  <w:footnote w:id="5">
    <w:p w:rsidR="00E05F03" w:rsidRPr="00274049" w:rsidRDefault="00E05F03">
      <w:pPr>
        <w:pStyle w:val="Voetnoottekst"/>
        <w:rPr>
          <w:rFonts w:ascii="Verdana" w:hAnsi="Verdana"/>
          <w:sz w:val="16"/>
        </w:rPr>
      </w:pPr>
      <w:r w:rsidRPr="00274049">
        <w:rPr>
          <w:rStyle w:val="Voetnootmarkering"/>
          <w:rFonts w:ascii="Verdana" w:hAnsi="Verdana"/>
          <w:sz w:val="16"/>
        </w:rPr>
        <w:footnoteRef/>
      </w:r>
      <w:r w:rsidRPr="00274049">
        <w:t xml:space="preserve"> </w:t>
      </w:r>
      <w:r w:rsidRPr="00274049">
        <w:rPr>
          <w:rFonts w:ascii="Verdana" w:hAnsi="Verdana"/>
          <w:sz w:val="16"/>
        </w:rPr>
        <w:t>Na de beoogde afschaffing van het BCF per 1-1-2015 komt deze regel voor wat betreft het BCF te vervallen.</w:t>
      </w:r>
    </w:p>
  </w:footnote>
  <w:footnote w:id="6">
    <w:p w:rsidR="00E05F03" w:rsidRPr="002449C6" w:rsidRDefault="00E05F03" w:rsidP="0043390B">
      <w:pPr>
        <w:pStyle w:val="Default"/>
        <w:spacing w:line="360" w:lineRule="auto"/>
        <w:rPr>
          <w:rFonts w:ascii="Verdana" w:hAnsi="Verdana"/>
          <w:color w:val="auto"/>
          <w:sz w:val="14"/>
          <w:szCs w:val="18"/>
        </w:rPr>
      </w:pPr>
      <w:r w:rsidRPr="00274049">
        <w:rPr>
          <w:rStyle w:val="Voetnootmarkering"/>
          <w:rFonts w:ascii="Verdana" w:hAnsi="Verdana"/>
          <w:sz w:val="18"/>
        </w:rPr>
        <w:footnoteRef/>
      </w:r>
      <w:r w:rsidRPr="00274049">
        <w:rPr>
          <w:rFonts w:ascii="Verdana" w:hAnsi="Verdana"/>
          <w:sz w:val="20"/>
        </w:rPr>
        <w:t xml:space="preserve"> </w:t>
      </w:r>
      <w:r w:rsidRPr="00274049">
        <w:rPr>
          <w:rFonts w:ascii="Verdana" w:hAnsi="Verdana" w:cs="Arial"/>
          <w:color w:val="auto"/>
          <w:sz w:val="16"/>
          <w:szCs w:val="16"/>
        </w:rPr>
        <w:t>Pakketbeperkingen en mutaties in eigen betalingen in de zorg worden niet begrepen als een systeemwijziging in deze zin.</w:t>
      </w:r>
      <w:r w:rsidRPr="002449C6">
        <w:rPr>
          <w:rFonts w:ascii="Verdana" w:hAnsi="Verdana" w:cs="Arial"/>
          <w:color w:val="auto"/>
          <w:sz w:val="14"/>
          <w:szCs w:val="18"/>
        </w:rPr>
        <w:t xml:space="preserve"> </w:t>
      </w:r>
    </w:p>
    <w:p w:rsidR="00E05F03" w:rsidRPr="002449C6" w:rsidRDefault="00E05F03" w:rsidP="0043390B">
      <w:pPr>
        <w:pStyle w:val="Voetnoottekst"/>
        <w:rPr>
          <w:rFonts w:ascii="Verdana" w:hAnsi="Verdan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A85E5"/>
    <w:multiLevelType w:val="hybridMultilevel"/>
    <w:tmpl w:val="D3C31D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C390EC"/>
    <w:multiLevelType w:val="hybridMultilevel"/>
    <w:tmpl w:val="A76B09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3E1146"/>
    <w:multiLevelType w:val="hybridMultilevel"/>
    <w:tmpl w:val="97168F96"/>
    <w:lvl w:ilvl="0" w:tplc="DFB22E58">
      <w:start w:val="1"/>
      <w:numFmt w:val="bullet"/>
      <w:lvlText w:val=""/>
      <w:lvlJc w:val="left"/>
      <w:pPr>
        <w:tabs>
          <w:tab w:val="num" w:pos="360"/>
        </w:tabs>
        <w:ind w:left="360" w:hanging="360"/>
      </w:pPr>
      <w:rPr>
        <w:rFonts w:ascii="Symbol" w:hAnsi="Symbol" w:hint="default"/>
        <w:sz w:val="18"/>
        <w:szCs w:val="18"/>
      </w:rPr>
    </w:lvl>
    <w:lvl w:ilvl="1" w:tplc="0413000F">
      <w:start w:val="1"/>
      <w:numFmt w:val="decimal"/>
      <w:lvlText w:val="%2."/>
      <w:lvlJc w:val="left"/>
      <w:pPr>
        <w:tabs>
          <w:tab w:val="num" w:pos="1440"/>
        </w:tabs>
        <w:ind w:left="1440" w:hanging="360"/>
      </w:pPr>
      <w:rPr>
        <w:rFonts w:hint="default"/>
        <w:sz w:val="18"/>
        <w:szCs w:val="18"/>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15E012A"/>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952D66"/>
    <w:multiLevelType w:val="singleLevel"/>
    <w:tmpl w:val="A2FE6DB4"/>
    <w:lvl w:ilvl="0">
      <w:start w:val="1"/>
      <w:numFmt w:val="lowerLetter"/>
      <w:lvlText w:val="%1."/>
      <w:lvlJc w:val="left"/>
      <w:pPr>
        <w:tabs>
          <w:tab w:val="num" w:pos="3195"/>
        </w:tabs>
        <w:ind w:left="3195" w:hanging="360"/>
      </w:pPr>
      <w:rPr>
        <w:rFonts w:hint="default"/>
      </w:rPr>
    </w:lvl>
  </w:abstractNum>
  <w:abstractNum w:abstractNumId="5">
    <w:nsid w:val="15371FE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3867C7D"/>
    <w:multiLevelType w:val="singleLevel"/>
    <w:tmpl w:val="286AD3BA"/>
    <w:lvl w:ilvl="0">
      <w:start w:val="1"/>
      <w:numFmt w:val="bullet"/>
      <w:lvlText w:val=""/>
      <w:lvlJc w:val="left"/>
      <w:pPr>
        <w:tabs>
          <w:tab w:val="num" w:pos="360"/>
        </w:tabs>
        <w:ind w:left="360" w:hanging="360"/>
      </w:pPr>
      <w:rPr>
        <w:rFonts w:ascii="Symbol" w:hAnsi="Symbol" w:hint="default"/>
      </w:rPr>
    </w:lvl>
  </w:abstractNum>
  <w:abstractNum w:abstractNumId="7">
    <w:nsid w:val="242F4838"/>
    <w:multiLevelType w:val="singleLevel"/>
    <w:tmpl w:val="286AD3BA"/>
    <w:lvl w:ilvl="0">
      <w:start w:val="1"/>
      <w:numFmt w:val="bullet"/>
      <w:lvlText w:val=""/>
      <w:lvlJc w:val="left"/>
      <w:pPr>
        <w:tabs>
          <w:tab w:val="num" w:pos="360"/>
        </w:tabs>
        <w:ind w:left="360" w:hanging="360"/>
      </w:pPr>
      <w:rPr>
        <w:rFonts w:ascii="Symbol" w:hAnsi="Symbol" w:hint="default"/>
      </w:rPr>
    </w:lvl>
  </w:abstractNum>
  <w:abstractNum w:abstractNumId="8">
    <w:nsid w:val="24615D02"/>
    <w:multiLevelType w:val="hybridMultilevel"/>
    <w:tmpl w:val="D80A77E0"/>
    <w:lvl w:ilvl="0" w:tplc="52F4C28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A007421"/>
    <w:multiLevelType w:val="hybridMultilevel"/>
    <w:tmpl w:val="AB46352E"/>
    <w:lvl w:ilvl="0" w:tplc="DFB22E58">
      <w:start w:val="1"/>
      <w:numFmt w:val="bullet"/>
      <w:lvlText w:val=""/>
      <w:lvlJc w:val="left"/>
      <w:pPr>
        <w:tabs>
          <w:tab w:val="num" w:pos="360"/>
        </w:tabs>
        <w:ind w:left="36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C5F72D2"/>
    <w:multiLevelType w:val="multilevel"/>
    <w:tmpl w:val="97FE949C"/>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28676CC"/>
    <w:multiLevelType w:val="multilevel"/>
    <w:tmpl w:val="01D0C3B6"/>
    <w:lvl w:ilvl="0">
      <w:start w:val="1"/>
      <w:numFmt w:val="decimal"/>
      <w:lvlText w:val="%1."/>
      <w:lvlJc w:val="left"/>
      <w:pPr>
        <w:tabs>
          <w:tab w:val="num" w:pos="284"/>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6337B9F"/>
    <w:multiLevelType w:val="hybridMultilevel"/>
    <w:tmpl w:val="9AC879AE"/>
    <w:lvl w:ilvl="0" w:tplc="04130011">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nsid w:val="3B087463"/>
    <w:multiLevelType w:val="hybridMultilevel"/>
    <w:tmpl w:val="776E1CDE"/>
    <w:lvl w:ilvl="0" w:tplc="DFB22E58">
      <w:start w:val="1"/>
      <w:numFmt w:val="bullet"/>
      <w:lvlText w:val=""/>
      <w:lvlJc w:val="left"/>
      <w:pPr>
        <w:tabs>
          <w:tab w:val="num" w:pos="360"/>
        </w:tabs>
        <w:ind w:left="36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DC91B3D"/>
    <w:multiLevelType w:val="singleLevel"/>
    <w:tmpl w:val="286AD3BA"/>
    <w:lvl w:ilvl="0">
      <w:start w:val="1"/>
      <w:numFmt w:val="bullet"/>
      <w:lvlText w:val=""/>
      <w:lvlJc w:val="left"/>
      <w:pPr>
        <w:tabs>
          <w:tab w:val="num" w:pos="360"/>
        </w:tabs>
        <w:ind w:left="360" w:hanging="360"/>
      </w:pPr>
      <w:rPr>
        <w:rFonts w:ascii="Symbol" w:hAnsi="Symbol" w:hint="default"/>
      </w:rPr>
    </w:lvl>
  </w:abstractNum>
  <w:abstractNum w:abstractNumId="15">
    <w:nsid w:val="418C6519"/>
    <w:multiLevelType w:val="multilevel"/>
    <w:tmpl w:val="B1A0F8D0"/>
    <w:lvl w:ilvl="0">
      <w:start w:val="1"/>
      <w:numFmt w:val="decimal"/>
      <w:lvlText w:val="%1."/>
      <w:lvlJc w:val="left"/>
      <w:pPr>
        <w:tabs>
          <w:tab w:val="num" w:pos="284"/>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45FC2192"/>
    <w:multiLevelType w:val="hybridMultilevel"/>
    <w:tmpl w:val="CA8CE6BA"/>
    <w:lvl w:ilvl="0" w:tplc="52F4C28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792798A"/>
    <w:multiLevelType w:val="hybridMultilevel"/>
    <w:tmpl w:val="D6CCDA84"/>
    <w:lvl w:ilvl="0" w:tplc="DFB22E58">
      <w:start w:val="1"/>
      <w:numFmt w:val="bullet"/>
      <w:lvlText w:val=""/>
      <w:lvlJc w:val="left"/>
      <w:pPr>
        <w:tabs>
          <w:tab w:val="num" w:pos="360"/>
        </w:tabs>
        <w:ind w:left="36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48065E94"/>
    <w:multiLevelType w:val="hybridMultilevel"/>
    <w:tmpl w:val="85688DF6"/>
    <w:lvl w:ilvl="0" w:tplc="0413000F">
      <w:start w:val="1"/>
      <w:numFmt w:val="decimal"/>
      <w:lvlText w:val="%1."/>
      <w:lvlJc w:val="left"/>
      <w:pPr>
        <w:tabs>
          <w:tab w:val="num" w:pos="360"/>
        </w:tabs>
        <w:ind w:left="360" w:hanging="360"/>
      </w:pPr>
      <w:rPr>
        <w:rFonts w:hint="default"/>
        <w:sz w:val="18"/>
        <w:szCs w:val="18"/>
      </w:rPr>
    </w:lvl>
    <w:lvl w:ilvl="1" w:tplc="0413000F">
      <w:start w:val="1"/>
      <w:numFmt w:val="decimal"/>
      <w:lvlText w:val="%2."/>
      <w:lvlJc w:val="left"/>
      <w:pPr>
        <w:tabs>
          <w:tab w:val="num" w:pos="1440"/>
        </w:tabs>
        <w:ind w:left="1440" w:hanging="360"/>
      </w:pPr>
      <w:rPr>
        <w:rFonts w:hint="default"/>
        <w:sz w:val="18"/>
        <w:szCs w:val="18"/>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C5654D4"/>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E3227BF"/>
    <w:multiLevelType w:val="multilevel"/>
    <w:tmpl w:val="81425246"/>
    <w:lvl w:ilvl="0">
      <w:start w:val="1"/>
      <w:numFmt w:val="decimal"/>
      <w:lvlText w:val="%1."/>
      <w:lvlJc w:val="left"/>
      <w:pPr>
        <w:tabs>
          <w:tab w:val="num" w:pos="227"/>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F330B98"/>
    <w:multiLevelType w:val="hybridMultilevel"/>
    <w:tmpl w:val="C1B1AC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F565482"/>
    <w:multiLevelType w:val="hybridMultilevel"/>
    <w:tmpl w:val="F95E4E46"/>
    <w:lvl w:ilvl="0" w:tplc="1F8A7430">
      <w:start w:val="1"/>
      <w:numFmt w:val="lowerRoman"/>
      <w:lvlText w:val="%1."/>
      <w:lvlJc w:val="left"/>
      <w:pPr>
        <w:tabs>
          <w:tab w:val="num" w:pos="720"/>
        </w:tabs>
        <w:ind w:left="720" w:hanging="72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nsid w:val="4FF36A0D"/>
    <w:multiLevelType w:val="multilevel"/>
    <w:tmpl w:val="225A373C"/>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50EF2BA4"/>
    <w:multiLevelType w:val="hybridMultilevel"/>
    <w:tmpl w:val="FE4C4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57F3048"/>
    <w:multiLevelType w:val="multilevel"/>
    <w:tmpl w:val="7F5A3F82"/>
    <w:lvl w:ilvl="0">
      <w:start w:val="1"/>
      <w:numFmt w:val="decimal"/>
      <w:pStyle w:val="Kop1"/>
      <w:lvlText w:val="%1."/>
      <w:lvlJc w:val="left"/>
      <w:pPr>
        <w:tabs>
          <w:tab w:val="num" w:pos="369"/>
        </w:tabs>
        <w:ind w:left="0" w:firstLine="0"/>
      </w:pPr>
      <w:rPr>
        <w:rFonts w:hint="default"/>
      </w:rPr>
    </w:lvl>
    <w:lvl w:ilvl="1">
      <w:start w:val="1"/>
      <w:numFmt w:val="upperLetter"/>
      <w:pStyle w:val="Kop2"/>
      <w:lvlText w:val="%2."/>
      <w:lvlJc w:val="left"/>
      <w:pPr>
        <w:tabs>
          <w:tab w:val="num" w:pos="1080"/>
        </w:tabs>
        <w:ind w:left="720" w:firstLine="0"/>
      </w:pPr>
      <w:rPr>
        <w:rFonts w:hint="default"/>
      </w:rPr>
    </w:lvl>
    <w:lvl w:ilvl="2">
      <w:start w:val="1"/>
      <w:numFmt w:val="decimal"/>
      <w:pStyle w:val="Kop3"/>
      <w:lvlText w:val="%3."/>
      <w:lvlJc w:val="left"/>
      <w:pPr>
        <w:tabs>
          <w:tab w:val="num" w:pos="1800"/>
        </w:tabs>
        <w:ind w:left="1440" w:firstLine="0"/>
      </w:pPr>
      <w:rPr>
        <w:rFonts w:hint="default"/>
      </w:rPr>
    </w:lvl>
    <w:lvl w:ilvl="3">
      <w:start w:val="1"/>
      <w:numFmt w:val="lowerLetter"/>
      <w:pStyle w:val="Kop4"/>
      <w:lvlText w:val="%4)"/>
      <w:lvlJc w:val="left"/>
      <w:pPr>
        <w:tabs>
          <w:tab w:val="num" w:pos="2520"/>
        </w:tabs>
        <w:ind w:left="2160" w:firstLine="0"/>
      </w:pPr>
      <w:rPr>
        <w:rFonts w:hint="default"/>
      </w:rPr>
    </w:lvl>
    <w:lvl w:ilvl="4">
      <w:start w:val="1"/>
      <w:numFmt w:val="decimal"/>
      <w:pStyle w:val="Kop5"/>
      <w:lvlText w:val="(%5)"/>
      <w:lvlJc w:val="left"/>
      <w:pPr>
        <w:tabs>
          <w:tab w:val="num" w:pos="3240"/>
        </w:tabs>
        <w:ind w:left="2880" w:firstLine="0"/>
      </w:pPr>
      <w:rPr>
        <w:rFonts w:hint="default"/>
      </w:rPr>
    </w:lvl>
    <w:lvl w:ilvl="5">
      <w:start w:val="1"/>
      <w:numFmt w:val="lowerLetter"/>
      <w:pStyle w:val="Kop6"/>
      <w:lvlText w:val="(%6)"/>
      <w:lvlJc w:val="left"/>
      <w:pPr>
        <w:tabs>
          <w:tab w:val="num" w:pos="3960"/>
        </w:tabs>
        <w:ind w:left="3600" w:firstLine="0"/>
      </w:pPr>
      <w:rPr>
        <w:rFonts w:hint="default"/>
      </w:rPr>
    </w:lvl>
    <w:lvl w:ilvl="6">
      <w:start w:val="1"/>
      <w:numFmt w:val="lowerRoman"/>
      <w:pStyle w:val="Kop7"/>
      <w:lvlText w:val="(%7)"/>
      <w:lvlJc w:val="left"/>
      <w:pPr>
        <w:tabs>
          <w:tab w:val="num" w:pos="4680"/>
        </w:tabs>
        <w:ind w:left="4320" w:firstLine="0"/>
      </w:pPr>
      <w:rPr>
        <w:rFonts w:hint="default"/>
      </w:rPr>
    </w:lvl>
    <w:lvl w:ilvl="7">
      <w:start w:val="1"/>
      <w:numFmt w:val="lowerLetter"/>
      <w:pStyle w:val="Kop8"/>
      <w:lvlText w:val="(%8)"/>
      <w:lvlJc w:val="left"/>
      <w:pPr>
        <w:tabs>
          <w:tab w:val="num" w:pos="5400"/>
        </w:tabs>
        <w:ind w:left="5040" w:firstLine="0"/>
      </w:pPr>
      <w:rPr>
        <w:rFonts w:hint="default"/>
      </w:rPr>
    </w:lvl>
    <w:lvl w:ilvl="8">
      <w:start w:val="1"/>
      <w:numFmt w:val="lowerRoman"/>
      <w:pStyle w:val="Kop9"/>
      <w:lvlText w:val="(%9)"/>
      <w:lvlJc w:val="left"/>
      <w:pPr>
        <w:tabs>
          <w:tab w:val="num" w:pos="6120"/>
        </w:tabs>
        <w:ind w:left="5760" w:firstLine="0"/>
      </w:pPr>
      <w:rPr>
        <w:rFonts w:hint="default"/>
      </w:rPr>
    </w:lvl>
  </w:abstractNum>
  <w:abstractNum w:abstractNumId="26">
    <w:nsid w:val="57860396"/>
    <w:multiLevelType w:val="hybridMultilevel"/>
    <w:tmpl w:val="C05E53E4"/>
    <w:lvl w:ilvl="0" w:tplc="DFB22E58">
      <w:start w:val="1"/>
      <w:numFmt w:val="bullet"/>
      <w:lvlText w:val=""/>
      <w:lvlJc w:val="left"/>
      <w:pPr>
        <w:tabs>
          <w:tab w:val="num" w:pos="360"/>
        </w:tabs>
        <w:ind w:left="36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ADAFABC"/>
    <w:multiLevelType w:val="hybridMultilevel"/>
    <w:tmpl w:val="1EDF8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E470F51"/>
    <w:multiLevelType w:val="multilevel"/>
    <w:tmpl w:val="0413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10F433B"/>
    <w:multiLevelType w:val="multilevel"/>
    <w:tmpl w:val="07CA290E"/>
    <w:lvl w:ilvl="0">
      <w:start w:val="1"/>
      <w:numFmt w:val="decimal"/>
      <w:lvlText w:val="%1."/>
      <w:lvlJc w:val="left"/>
      <w:pPr>
        <w:tabs>
          <w:tab w:val="num" w:pos="34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nsid w:val="61345D92"/>
    <w:multiLevelType w:val="hybridMultilevel"/>
    <w:tmpl w:val="DE8A070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nsid w:val="674D3D0E"/>
    <w:multiLevelType w:val="multilevel"/>
    <w:tmpl w:val="1DF473E8"/>
    <w:lvl w:ilvl="0">
      <w:start w:val="1"/>
      <w:numFmt w:val="bullet"/>
      <w:lvlText w:val=""/>
      <w:lvlJc w:val="left"/>
      <w:pPr>
        <w:tabs>
          <w:tab w:val="num" w:pos="360"/>
        </w:tabs>
        <w:ind w:left="360" w:hanging="360"/>
      </w:pPr>
      <w:rPr>
        <w:rFonts w:ascii="Symbol" w:hAnsi="Symbol" w:hint="default"/>
        <w:sz w:val="18"/>
        <w:szCs w:val="18"/>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6FB82E27"/>
    <w:multiLevelType w:val="multilevel"/>
    <w:tmpl w:val="04130023"/>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724754E5"/>
    <w:multiLevelType w:val="hybridMultilevel"/>
    <w:tmpl w:val="40AC8B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24E7CE4"/>
    <w:multiLevelType w:val="hybridMultilevel"/>
    <w:tmpl w:val="33EEBFDA"/>
    <w:lvl w:ilvl="0" w:tplc="DFB22E58">
      <w:start w:val="1"/>
      <w:numFmt w:val="bullet"/>
      <w:lvlText w:val=""/>
      <w:lvlJc w:val="left"/>
      <w:pPr>
        <w:tabs>
          <w:tab w:val="num" w:pos="360"/>
        </w:tabs>
        <w:ind w:left="36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774442BA"/>
    <w:multiLevelType w:val="hybridMultilevel"/>
    <w:tmpl w:val="FA2E75E2"/>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nsid w:val="77C925DC"/>
    <w:multiLevelType w:val="hybridMultilevel"/>
    <w:tmpl w:val="66F0679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nsid w:val="77D8750E"/>
    <w:multiLevelType w:val="hybridMultilevel"/>
    <w:tmpl w:val="F3E8C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7B8A406D"/>
    <w:multiLevelType w:val="hybridMultilevel"/>
    <w:tmpl w:val="C2A269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nsid w:val="7B971374"/>
    <w:multiLevelType w:val="multilevel"/>
    <w:tmpl w:val="3092CE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7BF37793"/>
    <w:multiLevelType w:val="multilevel"/>
    <w:tmpl w:val="7BF846DA"/>
    <w:lvl w:ilvl="0">
      <w:start w:val="1"/>
      <w:numFmt w:val="decimal"/>
      <w:lvlText w:val="%1."/>
      <w:lvlJc w:val="left"/>
      <w:pPr>
        <w:tabs>
          <w:tab w:val="num" w:pos="284"/>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nsid w:val="7E4F6204"/>
    <w:multiLevelType w:val="hybridMultilevel"/>
    <w:tmpl w:val="13481BA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nsid w:val="7FDB597A"/>
    <w:multiLevelType w:val="multilevel"/>
    <w:tmpl w:val="01D0C3B6"/>
    <w:lvl w:ilvl="0">
      <w:start w:val="1"/>
      <w:numFmt w:val="decimal"/>
      <w:lvlText w:val="%1."/>
      <w:lvlJc w:val="left"/>
      <w:pPr>
        <w:tabs>
          <w:tab w:val="num" w:pos="284"/>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
  </w:num>
  <w:num w:numId="2">
    <w:abstractNumId w:val="21"/>
  </w:num>
  <w:num w:numId="3">
    <w:abstractNumId w:val="0"/>
  </w:num>
  <w:num w:numId="4">
    <w:abstractNumId w:val="27"/>
  </w:num>
  <w:num w:numId="5">
    <w:abstractNumId w:val="3"/>
  </w:num>
  <w:num w:numId="6">
    <w:abstractNumId w:val="8"/>
  </w:num>
  <w:num w:numId="7">
    <w:abstractNumId w:val="5"/>
  </w:num>
  <w:num w:numId="8">
    <w:abstractNumId w:val="19"/>
  </w:num>
  <w:num w:numId="9">
    <w:abstractNumId w:val="32"/>
  </w:num>
  <w:num w:numId="10">
    <w:abstractNumId w:val="25"/>
  </w:num>
  <w:num w:numId="11">
    <w:abstractNumId w:val="36"/>
  </w:num>
  <w:num w:numId="12">
    <w:abstractNumId w:val="28"/>
  </w:num>
  <w:num w:numId="13">
    <w:abstractNumId w:val="10"/>
  </w:num>
  <w:num w:numId="14">
    <w:abstractNumId w:val="23"/>
  </w:num>
  <w:num w:numId="15">
    <w:abstractNumId w:val="20"/>
  </w:num>
  <w:num w:numId="16">
    <w:abstractNumId w:val="42"/>
  </w:num>
  <w:num w:numId="17">
    <w:abstractNumId w:val="11"/>
  </w:num>
  <w:num w:numId="18">
    <w:abstractNumId w:val="40"/>
  </w:num>
  <w:num w:numId="19">
    <w:abstractNumId w:val="15"/>
  </w:num>
  <w:num w:numId="20">
    <w:abstractNumId w:val="29"/>
  </w:num>
  <w:num w:numId="21">
    <w:abstractNumId w:val="26"/>
  </w:num>
  <w:num w:numId="22">
    <w:abstractNumId w:val="18"/>
  </w:num>
  <w:num w:numId="23">
    <w:abstractNumId w:val="30"/>
  </w:num>
  <w:num w:numId="24">
    <w:abstractNumId w:val="2"/>
  </w:num>
  <w:num w:numId="25">
    <w:abstractNumId w:val="13"/>
  </w:num>
  <w:num w:numId="26">
    <w:abstractNumId w:val="7"/>
  </w:num>
  <w:num w:numId="27">
    <w:abstractNumId w:val="14"/>
  </w:num>
  <w:num w:numId="28">
    <w:abstractNumId w:val="6"/>
  </w:num>
  <w:num w:numId="29">
    <w:abstractNumId w:val="4"/>
  </w:num>
  <w:num w:numId="30">
    <w:abstractNumId w:val="9"/>
  </w:num>
  <w:num w:numId="31">
    <w:abstractNumId w:val="17"/>
  </w:num>
  <w:num w:numId="32">
    <w:abstractNumId w:val="22"/>
  </w:num>
  <w:num w:numId="33">
    <w:abstractNumId w:val="38"/>
  </w:num>
  <w:num w:numId="34">
    <w:abstractNumId w:val="33"/>
  </w:num>
  <w:num w:numId="35">
    <w:abstractNumId w:val="35"/>
  </w:num>
  <w:num w:numId="36">
    <w:abstractNumId w:val="39"/>
  </w:num>
  <w:num w:numId="37">
    <w:abstractNumId w:val="34"/>
  </w:num>
  <w:num w:numId="38">
    <w:abstractNumId w:val="12"/>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6"/>
  </w:num>
  <w:num w:numId="42">
    <w:abstractNumId w:val="25"/>
  </w:num>
  <w:num w:numId="43">
    <w:abstractNumId w:val="25"/>
  </w:num>
  <w:num w:numId="44">
    <w:abstractNumId w:val="24"/>
  </w:num>
  <w:num w:numId="45">
    <w:abstractNumId w:val="37"/>
  </w:num>
  <w:num w:numId="46">
    <w:abstractNumId w:val="41"/>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86075"/>
    <w:rsid w:val="0000435E"/>
    <w:rsid w:val="0000525B"/>
    <w:rsid w:val="00006C0B"/>
    <w:rsid w:val="00012523"/>
    <w:rsid w:val="0001795D"/>
    <w:rsid w:val="00025091"/>
    <w:rsid w:val="000331D8"/>
    <w:rsid w:val="000368C6"/>
    <w:rsid w:val="00045969"/>
    <w:rsid w:val="00046EF7"/>
    <w:rsid w:val="000479AE"/>
    <w:rsid w:val="00050A3E"/>
    <w:rsid w:val="00060B73"/>
    <w:rsid w:val="00060FA4"/>
    <w:rsid w:val="0006664A"/>
    <w:rsid w:val="00071E8B"/>
    <w:rsid w:val="0007464B"/>
    <w:rsid w:val="0007770C"/>
    <w:rsid w:val="00082CC9"/>
    <w:rsid w:val="00083D5E"/>
    <w:rsid w:val="00086062"/>
    <w:rsid w:val="000927D4"/>
    <w:rsid w:val="000948C6"/>
    <w:rsid w:val="0009491E"/>
    <w:rsid w:val="000A23AC"/>
    <w:rsid w:val="000A4803"/>
    <w:rsid w:val="000A7EAF"/>
    <w:rsid w:val="000B298C"/>
    <w:rsid w:val="000B3065"/>
    <w:rsid w:val="000B4367"/>
    <w:rsid w:val="000B6C57"/>
    <w:rsid w:val="000C091D"/>
    <w:rsid w:val="000C56EA"/>
    <w:rsid w:val="000C71AD"/>
    <w:rsid w:val="000D7EE6"/>
    <w:rsid w:val="000E05ED"/>
    <w:rsid w:val="000E40B9"/>
    <w:rsid w:val="000F3C7C"/>
    <w:rsid w:val="001003C4"/>
    <w:rsid w:val="00100C3C"/>
    <w:rsid w:val="00103053"/>
    <w:rsid w:val="001051B8"/>
    <w:rsid w:val="001053B3"/>
    <w:rsid w:val="00106730"/>
    <w:rsid w:val="001075C0"/>
    <w:rsid w:val="001130C2"/>
    <w:rsid w:val="00115202"/>
    <w:rsid w:val="00115520"/>
    <w:rsid w:val="00116E5C"/>
    <w:rsid w:val="00117823"/>
    <w:rsid w:val="00117C14"/>
    <w:rsid w:val="00121F13"/>
    <w:rsid w:val="0012299B"/>
    <w:rsid w:val="001264AB"/>
    <w:rsid w:val="001267E6"/>
    <w:rsid w:val="001274EE"/>
    <w:rsid w:val="00131CC8"/>
    <w:rsid w:val="00132E60"/>
    <w:rsid w:val="00135F9C"/>
    <w:rsid w:val="0013611D"/>
    <w:rsid w:val="0014282F"/>
    <w:rsid w:val="001440C6"/>
    <w:rsid w:val="00146255"/>
    <w:rsid w:val="001466C5"/>
    <w:rsid w:val="00151D5F"/>
    <w:rsid w:val="001540F8"/>
    <w:rsid w:val="001555D0"/>
    <w:rsid w:val="001559C0"/>
    <w:rsid w:val="00155AC7"/>
    <w:rsid w:val="00162DD7"/>
    <w:rsid w:val="001631DF"/>
    <w:rsid w:val="001646A6"/>
    <w:rsid w:val="00164876"/>
    <w:rsid w:val="001744AD"/>
    <w:rsid w:val="00174E5A"/>
    <w:rsid w:val="00175724"/>
    <w:rsid w:val="00176276"/>
    <w:rsid w:val="00181F2C"/>
    <w:rsid w:val="001831D8"/>
    <w:rsid w:val="001933AE"/>
    <w:rsid w:val="001A0BB8"/>
    <w:rsid w:val="001A28C8"/>
    <w:rsid w:val="001A438B"/>
    <w:rsid w:val="001A71C2"/>
    <w:rsid w:val="001B39F0"/>
    <w:rsid w:val="001B4071"/>
    <w:rsid w:val="001C249A"/>
    <w:rsid w:val="001D1270"/>
    <w:rsid w:val="001D5CDD"/>
    <w:rsid w:val="001E528F"/>
    <w:rsid w:val="001E5CC2"/>
    <w:rsid w:val="001E7761"/>
    <w:rsid w:val="001F6A85"/>
    <w:rsid w:val="00207011"/>
    <w:rsid w:val="00211DB5"/>
    <w:rsid w:val="00212BF3"/>
    <w:rsid w:val="002214F1"/>
    <w:rsid w:val="00221CC1"/>
    <w:rsid w:val="00230D88"/>
    <w:rsid w:val="002313B1"/>
    <w:rsid w:val="002322F7"/>
    <w:rsid w:val="00235483"/>
    <w:rsid w:val="00236616"/>
    <w:rsid w:val="00240DCE"/>
    <w:rsid w:val="00243BB6"/>
    <w:rsid w:val="002449C6"/>
    <w:rsid w:val="00253F6D"/>
    <w:rsid w:val="002569BF"/>
    <w:rsid w:val="002649E4"/>
    <w:rsid w:val="002668AB"/>
    <w:rsid w:val="002668F5"/>
    <w:rsid w:val="00270B8A"/>
    <w:rsid w:val="00272B13"/>
    <w:rsid w:val="00274049"/>
    <w:rsid w:val="00275D6B"/>
    <w:rsid w:val="002766B8"/>
    <w:rsid w:val="0027682A"/>
    <w:rsid w:val="00281B2D"/>
    <w:rsid w:val="00282117"/>
    <w:rsid w:val="00285D8A"/>
    <w:rsid w:val="00286E7C"/>
    <w:rsid w:val="00290856"/>
    <w:rsid w:val="00297432"/>
    <w:rsid w:val="002A039F"/>
    <w:rsid w:val="002A1E58"/>
    <w:rsid w:val="002A2144"/>
    <w:rsid w:val="002A289A"/>
    <w:rsid w:val="002A406D"/>
    <w:rsid w:val="002A47E7"/>
    <w:rsid w:val="002A50E3"/>
    <w:rsid w:val="002A5795"/>
    <w:rsid w:val="002A758A"/>
    <w:rsid w:val="002B021E"/>
    <w:rsid w:val="002B1C2F"/>
    <w:rsid w:val="002B2FC6"/>
    <w:rsid w:val="002B65C6"/>
    <w:rsid w:val="002C4EAD"/>
    <w:rsid w:val="002D17A5"/>
    <w:rsid w:val="002D4F1A"/>
    <w:rsid w:val="002D56E0"/>
    <w:rsid w:val="002E1AE0"/>
    <w:rsid w:val="002E3A13"/>
    <w:rsid w:val="002E42D5"/>
    <w:rsid w:val="002E4F7F"/>
    <w:rsid w:val="002E635D"/>
    <w:rsid w:val="002F7AD0"/>
    <w:rsid w:val="00313FC5"/>
    <w:rsid w:val="003209E0"/>
    <w:rsid w:val="00320C33"/>
    <w:rsid w:val="00330484"/>
    <w:rsid w:val="003315E6"/>
    <w:rsid w:val="00333DB5"/>
    <w:rsid w:val="003415B0"/>
    <w:rsid w:val="00341A58"/>
    <w:rsid w:val="00341A9E"/>
    <w:rsid w:val="00347D8C"/>
    <w:rsid w:val="00351130"/>
    <w:rsid w:val="0035541E"/>
    <w:rsid w:val="00357D03"/>
    <w:rsid w:val="0036357D"/>
    <w:rsid w:val="003667DF"/>
    <w:rsid w:val="00367B2B"/>
    <w:rsid w:val="00384E58"/>
    <w:rsid w:val="00385207"/>
    <w:rsid w:val="0039130A"/>
    <w:rsid w:val="003944DC"/>
    <w:rsid w:val="00396EB3"/>
    <w:rsid w:val="003A1B2D"/>
    <w:rsid w:val="003A5E8A"/>
    <w:rsid w:val="003B08E6"/>
    <w:rsid w:val="003B0BA6"/>
    <w:rsid w:val="003B2EF9"/>
    <w:rsid w:val="003B5E25"/>
    <w:rsid w:val="003B7E87"/>
    <w:rsid w:val="003C0328"/>
    <w:rsid w:val="003D0CD2"/>
    <w:rsid w:val="003D7BAB"/>
    <w:rsid w:val="003E113B"/>
    <w:rsid w:val="003E3730"/>
    <w:rsid w:val="003E4E52"/>
    <w:rsid w:val="003E6323"/>
    <w:rsid w:val="003F064C"/>
    <w:rsid w:val="003F6D28"/>
    <w:rsid w:val="004048EF"/>
    <w:rsid w:val="00411B28"/>
    <w:rsid w:val="0041313D"/>
    <w:rsid w:val="00415132"/>
    <w:rsid w:val="00420A82"/>
    <w:rsid w:val="00422435"/>
    <w:rsid w:val="004262FF"/>
    <w:rsid w:val="00431F0E"/>
    <w:rsid w:val="0043390B"/>
    <w:rsid w:val="0043551C"/>
    <w:rsid w:val="00441283"/>
    <w:rsid w:val="0044211A"/>
    <w:rsid w:val="00442756"/>
    <w:rsid w:val="00442FD7"/>
    <w:rsid w:val="0044329F"/>
    <w:rsid w:val="0044440E"/>
    <w:rsid w:val="00446297"/>
    <w:rsid w:val="00454769"/>
    <w:rsid w:val="00455C43"/>
    <w:rsid w:val="00463816"/>
    <w:rsid w:val="0046684F"/>
    <w:rsid w:val="0046758A"/>
    <w:rsid w:val="004677ED"/>
    <w:rsid w:val="00470502"/>
    <w:rsid w:val="0047194F"/>
    <w:rsid w:val="00476612"/>
    <w:rsid w:val="00476F02"/>
    <w:rsid w:val="00484C10"/>
    <w:rsid w:val="004923CA"/>
    <w:rsid w:val="0049343C"/>
    <w:rsid w:val="004938B0"/>
    <w:rsid w:val="00493BB8"/>
    <w:rsid w:val="004951F8"/>
    <w:rsid w:val="00495E0C"/>
    <w:rsid w:val="004B1A6B"/>
    <w:rsid w:val="004B1F12"/>
    <w:rsid w:val="004B4480"/>
    <w:rsid w:val="004B5169"/>
    <w:rsid w:val="004B59EF"/>
    <w:rsid w:val="004B6DF6"/>
    <w:rsid w:val="004B6E49"/>
    <w:rsid w:val="004C1806"/>
    <w:rsid w:val="004C34D6"/>
    <w:rsid w:val="004C44B8"/>
    <w:rsid w:val="004C5523"/>
    <w:rsid w:val="004D2C00"/>
    <w:rsid w:val="004D3197"/>
    <w:rsid w:val="004D52B0"/>
    <w:rsid w:val="004E36F3"/>
    <w:rsid w:val="004E562E"/>
    <w:rsid w:val="004F1A8E"/>
    <w:rsid w:val="00503181"/>
    <w:rsid w:val="0051098B"/>
    <w:rsid w:val="0051545D"/>
    <w:rsid w:val="005158CC"/>
    <w:rsid w:val="00516C7B"/>
    <w:rsid w:val="0052226F"/>
    <w:rsid w:val="005274E2"/>
    <w:rsid w:val="00530593"/>
    <w:rsid w:val="0053687D"/>
    <w:rsid w:val="005379C6"/>
    <w:rsid w:val="00541DFE"/>
    <w:rsid w:val="00544ACC"/>
    <w:rsid w:val="00545852"/>
    <w:rsid w:val="005465E1"/>
    <w:rsid w:val="00546948"/>
    <w:rsid w:val="00551334"/>
    <w:rsid w:val="00552B21"/>
    <w:rsid w:val="0055611B"/>
    <w:rsid w:val="00565F05"/>
    <w:rsid w:val="00570D73"/>
    <w:rsid w:val="00570EC8"/>
    <w:rsid w:val="00580AA2"/>
    <w:rsid w:val="00581D42"/>
    <w:rsid w:val="005832F1"/>
    <w:rsid w:val="00587CC7"/>
    <w:rsid w:val="00593C68"/>
    <w:rsid w:val="00597805"/>
    <w:rsid w:val="005A0EA0"/>
    <w:rsid w:val="005B12C2"/>
    <w:rsid w:val="005B77D2"/>
    <w:rsid w:val="005B782A"/>
    <w:rsid w:val="005C2C2A"/>
    <w:rsid w:val="005C2F36"/>
    <w:rsid w:val="005C5AE3"/>
    <w:rsid w:val="005C5AFD"/>
    <w:rsid w:val="005C5B94"/>
    <w:rsid w:val="005D3EF1"/>
    <w:rsid w:val="005D644A"/>
    <w:rsid w:val="005D64E9"/>
    <w:rsid w:val="005D6A7F"/>
    <w:rsid w:val="005D74B2"/>
    <w:rsid w:val="005E31FE"/>
    <w:rsid w:val="005E48FF"/>
    <w:rsid w:val="005E5390"/>
    <w:rsid w:val="005E5A0A"/>
    <w:rsid w:val="005F058E"/>
    <w:rsid w:val="005F5576"/>
    <w:rsid w:val="005F759E"/>
    <w:rsid w:val="00600166"/>
    <w:rsid w:val="0060078F"/>
    <w:rsid w:val="00601C39"/>
    <w:rsid w:val="006028D9"/>
    <w:rsid w:val="006043E9"/>
    <w:rsid w:val="00611CA4"/>
    <w:rsid w:val="00615C67"/>
    <w:rsid w:val="00617A06"/>
    <w:rsid w:val="006204B6"/>
    <w:rsid w:val="00621968"/>
    <w:rsid w:val="00623054"/>
    <w:rsid w:val="0062364F"/>
    <w:rsid w:val="006378FE"/>
    <w:rsid w:val="006423EA"/>
    <w:rsid w:val="00643412"/>
    <w:rsid w:val="00644005"/>
    <w:rsid w:val="006475DC"/>
    <w:rsid w:val="006516B6"/>
    <w:rsid w:val="00660A83"/>
    <w:rsid w:val="00663815"/>
    <w:rsid w:val="00666FB7"/>
    <w:rsid w:val="00671450"/>
    <w:rsid w:val="006714EB"/>
    <w:rsid w:val="00682285"/>
    <w:rsid w:val="00683094"/>
    <w:rsid w:val="006850D4"/>
    <w:rsid w:val="006859F5"/>
    <w:rsid w:val="00686075"/>
    <w:rsid w:val="00691908"/>
    <w:rsid w:val="006A14F9"/>
    <w:rsid w:val="006A3711"/>
    <w:rsid w:val="006B2991"/>
    <w:rsid w:val="006B35E1"/>
    <w:rsid w:val="006B6506"/>
    <w:rsid w:val="006C0E98"/>
    <w:rsid w:val="006C2434"/>
    <w:rsid w:val="006C3210"/>
    <w:rsid w:val="006C3EBE"/>
    <w:rsid w:val="006D31B1"/>
    <w:rsid w:val="006D38C9"/>
    <w:rsid w:val="006E1501"/>
    <w:rsid w:val="006E447D"/>
    <w:rsid w:val="006E69CB"/>
    <w:rsid w:val="00700453"/>
    <w:rsid w:val="00700C0A"/>
    <w:rsid w:val="0070142C"/>
    <w:rsid w:val="00712611"/>
    <w:rsid w:val="007209AF"/>
    <w:rsid w:val="00725CB1"/>
    <w:rsid w:val="00726C48"/>
    <w:rsid w:val="007270ED"/>
    <w:rsid w:val="007302D0"/>
    <w:rsid w:val="00735C19"/>
    <w:rsid w:val="007371E8"/>
    <w:rsid w:val="00740099"/>
    <w:rsid w:val="00742235"/>
    <w:rsid w:val="0074597D"/>
    <w:rsid w:val="00745FFE"/>
    <w:rsid w:val="00751C6C"/>
    <w:rsid w:val="00752C7A"/>
    <w:rsid w:val="00755DF9"/>
    <w:rsid w:val="00756DBD"/>
    <w:rsid w:val="007579F3"/>
    <w:rsid w:val="00766929"/>
    <w:rsid w:val="007725DB"/>
    <w:rsid w:val="00772602"/>
    <w:rsid w:val="007750DB"/>
    <w:rsid w:val="0077577E"/>
    <w:rsid w:val="007762F9"/>
    <w:rsid w:val="00776FD8"/>
    <w:rsid w:val="00782881"/>
    <w:rsid w:val="007831F1"/>
    <w:rsid w:val="00784D60"/>
    <w:rsid w:val="0078787D"/>
    <w:rsid w:val="00790CD8"/>
    <w:rsid w:val="007927C1"/>
    <w:rsid w:val="00793328"/>
    <w:rsid w:val="00795355"/>
    <w:rsid w:val="007A12EE"/>
    <w:rsid w:val="007A437F"/>
    <w:rsid w:val="007A778C"/>
    <w:rsid w:val="007B4D45"/>
    <w:rsid w:val="007B5B8E"/>
    <w:rsid w:val="007C2BFE"/>
    <w:rsid w:val="007C4284"/>
    <w:rsid w:val="007C5F38"/>
    <w:rsid w:val="007D12E4"/>
    <w:rsid w:val="007D58C6"/>
    <w:rsid w:val="007E1584"/>
    <w:rsid w:val="007E19FA"/>
    <w:rsid w:val="007E418B"/>
    <w:rsid w:val="007F07CA"/>
    <w:rsid w:val="007F3B52"/>
    <w:rsid w:val="007F5D86"/>
    <w:rsid w:val="0080075E"/>
    <w:rsid w:val="00806F46"/>
    <w:rsid w:val="0081137E"/>
    <w:rsid w:val="0081161A"/>
    <w:rsid w:val="00813AA0"/>
    <w:rsid w:val="00815539"/>
    <w:rsid w:val="008162D8"/>
    <w:rsid w:val="0082468D"/>
    <w:rsid w:val="00827DC6"/>
    <w:rsid w:val="008306CD"/>
    <w:rsid w:val="008312D6"/>
    <w:rsid w:val="00831E86"/>
    <w:rsid w:val="00835FAB"/>
    <w:rsid w:val="00836DEF"/>
    <w:rsid w:val="00840A53"/>
    <w:rsid w:val="00842499"/>
    <w:rsid w:val="00846E47"/>
    <w:rsid w:val="00852728"/>
    <w:rsid w:val="00854E60"/>
    <w:rsid w:val="008645F0"/>
    <w:rsid w:val="0086640D"/>
    <w:rsid w:val="00867702"/>
    <w:rsid w:val="00872456"/>
    <w:rsid w:val="00875D8F"/>
    <w:rsid w:val="00877131"/>
    <w:rsid w:val="00887E75"/>
    <w:rsid w:val="00894678"/>
    <w:rsid w:val="00895A0F"/>
    <w:rsid w:val="008A092E"/>
    <w:rsid w:val="008A0E41"/>
    <w:rsid w:val="008A4033"/>
    <w:rsid w:val="008C04B6"/>
    <w:rsid w:val="008C2080"/>
    <w:rsid w:val="008C54F5"/>
    <w:rsid w:val="008D1293"/>
    <w:rsid w:val="008E04E7"/>
    <w:rsid w:val="008E09F0"/>
    <w:rsid w:val="008E7C92"/>
    <w:rsid w:val="008F07E6"/>
    <w:rsid w:val="008F27E8"/>
    <w:rsid w:val="00900C49"/>
    <w:rsid w:val="0090273B"/>
    <w:rsid w:val="00910AC1"/>
    <w:rsid w:val="00912CEB"/>
    <w:rsid w:val="00915CCD"/>
    <w:rsid w:val="0092067F"/>
    <w:rsid w:val="009214F2"/>
    <w:rsid w:val="009236D8"/>
    <w:rsid w:val="00925C33"/>
    <w:rsid w:val="00927A4A"/>
    <w:rsid w:val="00927B03"/>
    <w:rsid w:val="009343AF"/>
    <w:rsid w:val="009351FC"/>
    <w:rsid w:val="0094031B"/>
    <w:rsid w:val="009406EA"/>
    <w:rsid w:val="00950055"/>
    <w:rsid w:val="009522FA"/>
    <w:rsid w:val="009578C3"/>
    <w:rsid w:val="00964B20"/>
    <w:rsid w:val="00965029"/>
    <w:rsid w:val="00970C92"/>
    <w:rsid w:val="00973AF8"/>
    <w:rsid w:val="009747F3"/>
    <w:rsid w:val="009865F3"/>
    <w:rsid w:val="00986947"/>
    <w:rsid w:val="00995F3B"/>
    <w:rsid w:val="00996F3A"/>
    <w:rsid w:val="009A1E84"/>
    <w:rsid w:val="009C1AAE"/>
    <w:rsid w:val="009C3719"/>
    <w:rsid w:val="009C60ED"/>
    <w:rsid w:val="009D073F"/>
    <w:rsid w:val="009D61B4"/>
    <w:rsid w:val="009E26E3"/>
    <w:rsid w:val="009E4017"/>
    <w:rsid w:val="009F00A7"/>
    <w:rsid w:val="009F074D"/>
    <w:rsid w:val="009F127D"/>
    <w:rsid w:val="009F2322"/>
    <w:rsid w:val="009F342B"/>
    <w:rsid w:val="009F5548"/>
    <w:rsid w:val="009F7503"/>
    <w:rsid w:val="00A06DCD"/>
    <w:rsid w:val="00A1037B"/>
    <w:rsid w:val="00A10E7E"/>
    <w:rsid w:val="00A15069"/>
    <w:rsid w:val="00A273FC"/>
    <w:rsid w:val="00A30D15"/>
    <w:rsid w:val="00A33EDE"/>
    <w:rsid w:val="00A3400D"/>
    <w:rsid w:val="00A36981"/>
    <w:rsid w:val="00A502F3"/>
    <w:rsid w:val="00A570E2"/>
    <w:rsid w:val="00A63A98"/>
    <w:rsid w:val="00A63E50"/>
    <w:rsid w:val="00A7014D"/>
    <w:rsid w:val="00A719D7"/>
    <w:rsid w:val="00A72558"/>
    <w:rsid w:val="00A738E9"/>
    <w:rsid w:val="00A75013"/>
    <w:rsid w:val="00A8193F"/>
    <w:rsid w:val="00A90C8D"/>
    <w:rsid w:val="00A92A51"/>
    <w:rsid w:val="00A9638F"/>
    <w:rsid w:val="00AA1390"/>
    <w:rsid w:val="00AA3A38"/>
    <w:rsid w:val="00AB5EB9"/>
    <w:rsid w:val="00AB659A"/>
    <w:rsid w:val="00AC20A0"/>
    <w:rsid w:val="00AC4682"/>
    <w:rsid w:val="00AC7853"/>
    <w:rsid w:val="00AE6723"/>
    <w:rsid w:val="00AF7B89"/>
    <w:rsid w:val="00B0015D"/>
    <w:rsid w:val="00B0250E"/>
    <w:rsid w:val="00B23C4B"/>
    <w:rsid w:val="00B31312"/>
    <w:rsid w:val="00B31C03"/>
    <w:rsid w:val="00B337D5"/>
    <w:rsid w:val="00B33EA9"/>
    <w:rsid w:val="00B35A80"/>
    <w:rsid w:val="00B35FDC"/>
    <w:rsid w:val="00B37BDC"/>
    <w:rsid w:val="00B41DD7"/>
    <w:rsid w:val="00B42648"/>
    <w:rsid w:val="00B42725"/>
    <w:rsid w:val="00B44C41"/>
    <w:rsid w:val="00B47236"/>
    <w:rsid w:val="00B51A25"/>
    <w:rsid w:val="00B55BED"/>
    <w:rsid w:val="00B600E1"/>
    <w:rsid w:val="00B65C1C"/>
    <w:rsid w:val="00B6766E"/>
    <w:rsid w:val="00B717BB"/>
    <w:rsid w:val="00B812E0"/>
    <w:rsid w:val="00B858D6"/>
    <w:rsid w:val="00B8764F"/>
    <w:rsid w:val="00B9225D"/>
    <w:rsid w:val="00B92311"/>
    <w:rsid w:val="00B93B28"/>
    <w:rsid w:val="00B94A98"/>
    <w:rsid w:val="00B975BE"/>
    <w:rsid w:val="00BA3EE7"/>
    <w:rsid w:val="00BA7856"/>
    <w:rsid w:val="00BB31FA"/>
    <w:rsid w:val="00BB735E"/>
    <w:rsid w:val="00BC3720"/>
    <w:rsid w:val="00BC3DDB"/>
    <w:rsid w:val="00BC5452"/>
    <w:rsid w:val="00BD2990"/>
    <w:rsid w:val="00BD7137"/>
    <w:rsid w:val="00BE23ED"/>
    <w:rsid w:val="00BE6703"/>
    <w:rsid w:val="00BF263B"/>
    <w:rsid w:val="00BF4353"/>
    <w:rsid w:val="00C002EE"/>
    <w:rsid w:val="00C06C57"/>
    <w:rsid w:val="00C1195C"/>
    <w:rsid w:val="00C17083"/>
    <w:rsid w:val="00C177B1"/>
    <w:rsid w:val="00C2294E"/>
    <w:rsid w:val="00C2461B"/>
    <w:rsid w:val="00C3004D"/>
    <w:rsid w:val="00C356BA"/>
    <w:rsid w:val="00C35A45"/>
    <w:rsid w:val="00C37AB7"/>
    <w:rsid w:val="00C43938"/>
    <w:rsid w:val="00C50510"/>
    <w:rsid w:val="00C52A21"/>
    <w:rsid w:val="00C52B2B"/>
    <w:rsid w:val="00C532F7"/>
    <w:rsid w:val="00C537E9"/>
    <w:rsid w:val="00C55131"/>
    <w:rsid w:val="00C55C68"/>
    <w:rsid w:val="00C62690"/>
    <w:rsid w:val="00C62E0C"/>
    <w:rsid w:val="00C6397D"/>
    <w:rsid w:val="00C63CF9"/>
    <w:rsid w:val="00C64E2B"/>
    <w:rsid w:val="00C66C09"/>
    <w:rsid w:val="00C875EA"/>
    <w:rsid w:val="00C92B17"/>
    <w:rsid w:val="00C96072"/>
    <w:rsid w:val="00CA0E06"/>
    <w:rsid w:val="00CA5C12"/>
    <w:rsid w:val="00CA7BE9"/>
    <w:rsid w:val="00CB0ADE"/>
    <w:rsid w:val="00CB2D15"/>
    <w:rsid w:val="00CB5E12"/>
    <w:rsid w:val="00CC5016"/>
    <w:rsid w:val="00CC7C4A"/>
    <w:rsid w:val="00CD2D9D"/>
    <w:rsid w:val="00CD2F7B"/>
    <w:rsid w:val="00CD6F70"/>
    <w:rsid w:val="00CE0DD2"/>
    <w:rsid w:val="00CE428E"/>
    <w:rsid w:val="00CE4478"/>
    <w:rsid w:val="00CE5D62"/>
    <w:rsid w:val="00CF6EBA"/>
    <w:rsid w:val="00CF741C"/>
    <w:rsid w:val="00D03851"/>
    <w:rsid w:val="00D079B5"/>
    <w:rsid w:val="00D10ECF"/>
    <w:rsid w:val="00D11291"/>
    <w:rsid w:val="00D11C3F"/>
    <w:rsid w:val="00D141AA"/>
    <w:rsid w:val="00D17E3A"/>
    <w:rsid w:val="00D24483"/>
    <w:rsid w:val="00D27BB6"/>
    <w:rsid w:val="00D3144B"/>
    <w:rsid w:val="00D32C2B"/>
    <w:rsid w:val="00D357D2"/>
    <w:rsid w:val="00D42212"/>
    <w:rsid w:val="00D4320C"/>
    <w:rsid w:val="00D4797B"/>
    <w:rsid w:val="00D54765"/>
    <w:rsid w:val="00D549ED"/>
    <w:rsid w:val="00D6429C"/>
    <w:rsid w:val="00D651CD"/>
    <w:rsid w:val="00D711B6"/>
    <w:rsid w:val="00D74074"/>
    <w:rsid w:val="00D76163"/>
    <w:rsid w:val="00D8056E"/>
    <w:rsid w:val="00D821A9"/>
    <w:rsid w:val="00D83BA8"/>
    <w:rsid w:val="00D84F62"/>
    <w:rsid w:val="00D873C2"/>
    <w:rsid w:val="00D95300"/>
    <w:rsid w:val="00D96E4E"/>
    <w:rsid w:val="00D97F44"/>
    <w:rsid w:val="00DA100A"/>
    <w:rsid w:val="00DA271A"/>
    <w:rsid w:val="00DA3453"/>
    <w:rsid w:val="00DA7387"/>
    <w:rsid w:val="00DA78CE"/>
    <w:rsid w:val="00DB2435"/>
    <w:rsid w:val="00DB485C"/>
    <w:rsid w:val="00DB6A7C"/>
    <w:rsid w:val="00DB6A8B"/>
    <w:rsid w:val="00DC2C22"/>
    <w:rsid w:val="00DC4848"/>
    <w:rsid w:val="00DC70B0"/>
    <w:rsid w:val="00DD06CA"/>
    <w:rsid w:val="00DD1963"/>
    <w:rsid w:val="00DE04BB"/>
    <w:rsid w:val="00DF58C3"/>
    <w:rsid w:val="00DF5D16"/>
    <w:rsid w:val="00DF5F42"/>
    <w:rsid w:val="00E020AA"/>
    <w:rsid w:val="00E05F03"/>
    <w:rsid w:val="00E11BC1"/>
    <w:rsid w:val="00E130FB"/>
    <w:rsid w:val="00E158DB"/>
    <w:rsid w:val="00E23FF4"/>
    <w:rsid w:val="00E3086F"/>
    <w:rsid w:val="00E31744"/>
    <w:rsid w:val="00E322A3"/>
    <w:rsid w:val="00E33A22"/>
    <w:rsid w:val="00E439CA"/>
    <w:rsid w:val="00E44123"/>
    <w:rsid w:val="00E51C1B"/>
    <w:rsid w:val="00E53B85"/>
    <w:rsid w:val="00E53D77"/>
    <w:rsid w:val="00E55A14"/>
    <w:rsid w:val="00E6149A"/>
    <w:rsid w:val="00E62ECF"/>
    <w:rsid w:val="00E66471"/>
    <w:rsid w:val="00E71FCE"/>
    <w:rsid w:val="00E727E0"/>
    <w:rsid w:val="00E7443C"/>
    <w:rsid w:val="00E751CE"/>
    <w:rsid w:val="00E77E26"/>
    <w:rsid w:val="00E838E3"/>
    <w:rsid w:val="00E84D94"/>
    <w:rsid w:val="00E87343"/>
    <w:rsid w:val="00E90549"/>
    <w:rsid w:val="00E95150"/>
    <w:rsid w:val="00E955D3"/>
    <w:rsid w:val="00E97093"/>
    <w:rsid w:val="00EA09C4"/>
    <w:rsid w:val="00EA1673"/>
    <w:rsid w:val="00EA6774"/>
    <w:rsid w:val="00EB1FE5"/>
    <w:rsid w:val="00EB3A2C"/>
    <w:rsid w:val="00EB419E"/>
    <w:rsid w:val="00EB4B94"/>
    <w:rsid w:val="00EC001B"/>
    <w:rsid w:val="00EC0CEB"/>
    <w:rsid w:val="00EC44C8"/>
    <w:rsid w:val="00EC65FA"/>
    <w:rsid w:val="00EC7800"/>
    <w:rsid w:val="00ED43EE"/>
    <w:rsid w:val="00EE4BFB"/>
    <w:rsid w:val="00EE6650"/>
    <w:rsid w:val="00EE7CBD"/>
    <w:rsid w:val="00EE7CFB"/>
    <w:rsid w:val="00EF0A92"/>
    <w:rsid w:val="00EF3FF6"/>
    <w:rsid w:val="00EF49B8"/>
    <w:rsid w:val="00EF73C9"/>
    <w:rsid w:val="00F05651"/>
    <w:rsid w:val="00F05CB4"/>
    <w:rsid w:val="00F0777F"/>
    <w:rsid w:val="00F21F4D"/>
    <w:rsid w:val="00F23EA7"/>
    <w:rsid w:val="00F26326"/>
    <w:rsid w:val="00F335F9"/>
    <w:rsid w:val="00F34161"/>
    <w:rsid w:val="00F3486B"/>
    <w:rsid w:val="00F35121"/>
    <w:rsid w:val="00F43388"/>
    <w:rsid w:val="00F43E4A"/>
    <w:rsid w:val="00F47B65"/>
    <w:rsid w:val="00F5711F"/>
    <w:rsid w:val="00F632B5"/>
    <w:rsid w:val="00F64FF9"/>
    <w:rsid w:val="00F65572"/>
    <w:rsid w:val="00F73C08"/>
    <w:rsid w:val="00F83FF9"/>
    <w:rsid w:val="00F869D0"/>
    <w:rsid w:val="00F9021F"/>
    <w:rsid w:val="00F9597C"/>
    <w:rsid w:val="00F96D2E"/>
    <w:rsid w:val="00FA0F9E"/>
    <w:rsid w:val="00FA1A91"/>
    <w:rsid w:val="00FA6E70"/>
    <w:rsid w:val="00FB4712"/>
    <w:rsid w:val="00FB5375"/>
    <w:rsid w:val="00FC2B3A"/>
    <w:rsid w:val="00FC3736"/>
    <w:rsid w:val="00FD3710"/>
    <w:rsid w:val="00FD42E7"/>
    <w:rsid w:val="00FD675D"/>
    <w:rsid w:val="00FE0D37"/>
    <w:rsid w:val="00FE1C3F"/>
    <w:rsid w:val="00FE2567"/>
    <w:rsid w:val="00FE33D3"/>
    <w:rsid w:val="00FF194A"/>
    <w:rsid w:val="00FF27F4"/>
    <w:rsid w:val="00FF4F89"/>
    <w:rsid w:val="00FF56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0A82"/>
    <w:rPr>
      <w:sz w:val="24"/>
      <w:szCs w:val="24"/>
    </w:rPr>
  </w:style>
  <w:style w:type="paragraph" w:styleId="Kop1">
    <w:name w:val="heading 1"/>
    <w:basedOn w:val="Standaard"/>
    <w:next w:val="Standaard"/>
    <w:qFormat/>
    <w:rsid w:val="00B65C1C"/>
    <w:pPr>
      <w:keepNext/>
      <w:numPr>
        <w:numId w:val="10"/>
      </w:numPr>
      <w:spacing w:line="360" w:lineRule="auto"/>
      <w:outlineLvl w:val="0"/>
    </w:pPr>
    <w:rPr>
      <w:rFonts w:ascii="Verdana" w:hAnsi="Verdana" w:cs="Arial"/>
      <w:b/>
      <w:bCs/>
      <w:kern w:val="32"/>
      <w:sz w:val="18"/>
      <w:szCs w:val="32"/>
    </w:rPr>
  </w:style>
  <w:style w:type="paragraph" w:styleId="Kop2">
    <w:name w:val="heading 2"/>
    <w:basedOn w:val="Standaard"/>
    <w:next w:val="Standaard"/>
    <w:qFormat/>
    <w:rsid w:val="00B65C1C"/>
    <w:pPr>
      <w:keepNext/>
      <w:numPr>
        <w:ilvl w:val="1"/>
        <w:numId w:val="10"/>
      </w:numPr>
      <w:spacing w:before="240" w:after="60"/>
      <w:outlineLvl w:val="1"/>
    </w:pPr>
    <w:rPr>
      <w:rFonts w:ascii="Arial" w:hAnsi="Arial" w:cs="Arial"/>
      <w:b/>
      <w:bCs/>
      <w:i/>
      <w:iCs/>
      <w:sz w:val="28"/>
      <w:szCs w:val="28"/>
    </w:rPr>
  </w:style>
  <w:style w:type="paragraph" w:styleId="Kop3">
    <w:name w:val="heading 3"/>
    <w:basedOn w:val="Standaard"/>
    <w:next w:val="Standaard"/>
    <w:qFormat/>
    <w:rsid w:val="00B65C1C"/>
    <w:pPr>
      <w:keepNext/>
      <w:numPr>
        <w:ilvl w:val="2"/>
        <w:numId w:val="10"/>
      </w:numPr>
      <w:spacing w:before="240" w:after="60"/>
      <w:outlineLvl w:val="2"/>
    </w:pPr>
    <w:rPr>
      <w:rFonts w:ascii="Arial" w:hAnsi="Arial" w:cs="Arial"/>
      <w:b/>
      <w:bCs/>
      <w:sz w:val="26"/>
      <w:szCs w:val="26"/>
    </w:rPr>
  </w:style>
  <w:style w:type="paragraph" w:styleId="Kop4">
    <w:name w:val="heading 4"/>
    <w:basedOn w:val="Standaard"/>
    <w:next w:val="Standaard"/>
    <w:qFormat/>
    <w:rsid w:val="00B65C1C"/>
    <w:pPr>
      <w:keepNext/>
      <w:numPr>
        <w:ilvl w:val="3"/>
        <w:numId w:val="10"/>
      </w:numPr>
      <w:spacing w:before="240" w:after="60"/>
      <w:outlineLvl w:val="3"/>
    </w:pPr>
    <w:rPr>
      <w:b/>
      <w:bCs/>
      <w:sz w:val="28"/>
      <w:szCs w:val="28"/>
    </w:rPr>
  </w:style>
  <w:style w:type="paragraph" w:styleId="Kop5">
    <w:name w:val="heading 5"/>
    <w:basedOn w:val="Standaard"/>
    <w:next w:val="Standaard"/>
    <w:qFormat/>
    <w:rsid w:val="00B65C1C"/>
    <w:pPr>
      <w:numPr>
        <w:ilvl w:val="4"/>
        <w:numId w:val="10"/>
      </w:numPr>
      <w:spacing w:before="240" w:after="60"/>
      <w:outlineLvl w:val="4"/>
    </w:pPr>
    <w:rPr>
      <w:b/>
      <w:bCs/>
      <w:i/>
      <w:iCs/>
      <w:sz w:val="26"/>
      <w:szCs w:val="26"/>
    </w:rPr>
  </w:style>
  <w:style w:type="paragraph" w:styleId="Kop6">
    <w:name w:val="heading 6"/>
    <w:basedOn w:val="Standaard"/>
    <w:next w:val="Standaard"/>
    <w:qFormat/>
    <w:rsid w:val="00B65C1C"/>
    <w:pPr>
      <w:numPr>
        <w:ilvl w:val="5"/>
        <w:numId w:val="10"/>
      </w:numPr>
      <w:spacing w:before="240" w:after="60"/>
      <w:outlineLvl w:val="5"/>
    </w:pPr>
    <w:rPr>
      <w:b/>
      <w:bCs/>
      <w:sz w:val="22"/>
      <w:szCs w:val="22"/>
    </w:rPr>
  </w:style>
  <w:style w:type="paragraph" w:styleId="Kop7">
    <w:name w:val="heading 7"/>
    <w:basedOn w:val="Standaard"/>
    <w:next w:val="Standaard"/>
    <w:qFormat/>
    <w:rsid w:val="00B65C1C"/>
    <w:pPr>
      <w:numPr>
        <w:ilvl w:val="6"/>
        <w:numId w:val="10"/>
      </w:numPr>
      <w:spacing w:before="240" w:after="60"/>
      <w:outlineLvl w:val="6"/>
    </w:pPr>
  </w:style>
  <w:style w:type="paragraph" w:styleId="Kop8">
    <w:name w:val="heading 8"/>
    <w:basedOn w:val="Standaard"/>
    <w:next w:val="Standaard"/>
    <w:qFormat/>
    <w:rsid w:val="00B65C1C"/>
    <w:pPr>
      <w:numPr>
        <w:ilvl w:val="7"/>
        <w:numId w:val="10"/>
      </w:numPr>
      <w:spacing w:before="240" w:after="60"/>
      <w:outlineLvl w:val="7"/>
    </w:pPr>
    <w:rPr>
      <w:i/>
      <w:iCs/>
    </w:rPr>
  </w:style>
  <w:style w:type="paragraph" w:styleId="Kop9">
    <w:name w:val="heading 9"/>
    <w:basedOn w:val="Standaard"/>
    <w:next w:val="Standaard"/>
    <w:qFormat/>
    <w:rsid w:val="00B65C1C"/>
    <w:pPr>
      <w:numPr>
        <w:ilvl w:val="8"/>
        <w:numId w:val="10"/>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812E0"/>
    <w:pPr>
      <w:autoSpaceDE w:val="0"/>
      <w:autoSpaceDN w:val="0"/>
      <w:adjustRightInd w:val="0"/>
    </w:pPr>
    <w:rPr>
      <w:color w:val="000000"/>
      <w:sz w:val="24"/>
      <w:szCs w:val="24"/>
    </w:rPr>
  </w:style>
  <w:style w:type="paragraph" w:styleId="Voetnoottekst">
    <w:name w:val="footnote text"/>
    <w:basedOn w:val="Standaard"/>
    <w:link w:val="VoetnoottekstChar"/>
    <w:semiHidden/>
    <w:rsid w:val="00B812E0"/>
    <w:rPr>
      <w:sz w:val="20"/>
      <w:szCs w:val="20"/>
    </w:rPr>
  </w:style>
  <w:style w:type="character" w:styleId="Voetnootmarkering">
    <w:name w:val="footnote reference"/>
    <w:basedOn w:val="Standaardalinea-lettertype"/>
    <w:semiHidden/>
    <w:rsid w:val="00B812E0"/>
    <w:rPr>
      <w:vertAlign w:val="superscript"/>
    </w:rPr>
  </w:style>
  <w:style w:type="paragraph" w:styleId="Ballontekst">
    <w:name w:val="Balloon Text"/>
    <w:basedOn w:val="Standaard"/>
    <w:semiHidden/>
    <w:rsid w:val="004938B0"/>
    <w:rPr>
      <w:rFonts w:ascii="Tahoma" w:hAnsi="Tahoma" w:cs="Tahoma"/>
      <w:sz w:val="16"/>
      <w:szCs w:val="16"/>
    </w:rPr>
  </w:style>
  <w:style w:type="character" w:styleId="Verwijzingopmerking">
    <w:name w:val="annotation reference"/>
    <w:basedOn w:val="Standaardalinea-lettertype"/>
    <w:semiHidden/>
    <w:rsid w:val="00181F2C"/>
    <w:rPr>
      <w:sz w:val="16"/>
      <w:szCs w:val="16"/>
    </w:rPr>
  </w:style>
  <w:style w:type="paragraph" w:styleId="Tekstopmerking">
    <w:name w:val="annotation text"/>
    <w:basedOn w:val="Standaard"/>
    <w:link w:val="TekstopmerkingChar"/>
    <w:semiHidden/>
    <w:rsid w:val="00181F2C"/>
    <w:rPr>
      <w:sz w:val="20"/>
      <w:szCs w:val="20"/>
    </w:rPr>
  </w:style>
  <w:style w:type="paragraph" w:styleId="Onderwerpvanopmerking">
    <w:name w:val="annotation subject"/>
    <w:basedOn w:val="Tekstopmerking"/>
    <w:next w:val="Tekstopmerking"/>
    <w:semiHidden/>
    <w:rsid w:val="00181F2C"/>
    <w:rPr>
      <w:b/>
      <w:bCs/>
    </w:rPr>
  </w:style>
  <w:style w:type="paragraph" w:customStyle="1" w:styleId="CharCharCharCharCharChar1">
    <w:name w:val="Char Char Char Char Char Char1"/>
    <w:basedOn w:val="Standaard"/>
    <w:rsid w:val="00973AF8"/>
    <w:pPr>
      <w:spacing w:after="160" w:line="240" w:lineRule="exact"/>
    </w:pPr>
    <w:rPr>
      <w:rFonts w:ascii="Tahoma" w:hAnsi="Tahoma" w:cs="Tahoma"/>
      <w:sz w:val="20"/>
      <w:szCs w:val="20"/>
      <w:lang w:val="en-US" w:eastAsia="en-US"/>
    </w:rPr>
  </w:style>
  <w:style w:type="paragraph" w:customStyle="1" w:styleId="CharCharChar">
    <w:name w:val="Char Char Char"/>
    <w:basedOn w:val="Standaard"/>
    <w:rsid w:val="006714EB"/>
    <w:pPr>
      <w:spacing w:after="160" w:line="240" w:lineRule="exact"/>
    </w:pPr>
    <w:rPr>
      <w:rFonts w:ascii="Tahoma" w:hAnsi="Tahoma"/>
      <w:sz w:val="20"/>
      <w:szCs w:val="20"/>
      <w:lang w:val="en-US" w:eastAsia="en-US"/>
    </w:rPr>
  </w:style>
  <w:style w:type="paragraph" w:customStyle="1" w:styleId="default0">
    <w:name w:val="default"/>
    <w:basedOn w:val="Standaard"/>
    <w:rsid w:val="00FF4F89"/>
    <w:pPr>
      <w:spacing w:before="100" w:beforeAutospacing="1" w:after="100" w:afterAutospacing="1"/>
    </w:pPr>
  </w:style>
  <w:style w:type="paragraph" w:customStyle="1" w:styleId="Lijstalinea1">
    <w:name w:val="Lijstalinea1"/>
    <w:basedOn w:val="Standaard"/>
    <w:rsid w:val="00135F9C"/>
    <w:pPr>
      <w:spacing w:line="240" w:lineRule="atLeast"/>
      <w:ind w:left="720"/>
      <w:contextualSpacing/>
    </w:pPr>
    <w:rPr>
      <w:rFonts w:ascii="Verdana" w:eastAsia="Calibri" w:hAnsi="Verdana" w:cs="Verdana"/>
      <w:sz w:val="18"/>
      <w:szCs w:val="18"/>
    </w:rPr>
  </w:style>
  <w:style w:type="character" w:customStyle="1" w:styleId="VoetnoottekstChar">
    <w:name w:val="Voetnoottekst Char"/>
    <w:basedOn w:val="Standaardalinea-lettertype"/>
    <w:link w:val="Voetnoottekst"/>
    <w:rsid w:val="00135F9C"/>
    <w:rPr>
      <w:lang w:val="nl-NL" w:eastAsia="nl-NL" w:bidi="ar-SA"/>
    </w:rPr>
  </w:style>
  <w:style w:type="paragraph" w:styleId="Voettekst">
    <w:name w:val="footer"/>
    <w:basedOn w:val="Standaard"/>
    <w:rsid w:val="002449C6"/>
    <w:pPr>
      <w:tabs>
        <w:tab w:val="center" w:pos="4536"/>
        <w:tab w:val="right" w:pos="9072"/>
      </w:tabs>
    </w:pPr>
  </w:style>
  <w:style w:type="character" w:styleId="Paginanummer">
    <w:name w:val="page number"/>
    <w:basedOn w:val="Standaardalinea-lettertype"/>
    <w:rsid w:val="002449C6"/>
  </w:style>
  <w:style w:type="paragraph" w:styleId="Koptekst">
    <w:name w:val="header"/>
    <w:basedOn w:val="Standaard"/>
    <w:rsid w:val="002449C6"/>
    <w:pPr>
      <w:tabs>
        <w:tab w:val="center" w:pos="4536"/>
        <w:tab w:val="right" w:pos="9072"/>
      </w:tabs>
    </w:pPr>
  </w:style>
  <w:style w:type="character" w:customStyle="1" w:styleId="FootnoteTextChar">
    <w:name w:val="Footnote Text Char"/>
    <w:basedOn w:val="Standaardalinea-lettertype"/>
    <w:rsid w:val="00176276"/>
    <w:rPr>
      <w:lang w:val="nl-NL" w:eastAsia="nl-NL" w:bidi="ar-SA"/>
    </w:rPr>
  </w:style>
  <w:style w:type="character" w:styleId="Nadruk">
    <w:name w:val="Emphasis"/>
    <w:basedOn w:val="Standaardalinea-lettertype"/>
    <w:qFormat/>
    <w:rsid w:val="00FD3710"/>
    <w:rPr>
      <w:i/>
      <w:iCs/>
    </w:rPr>
  </w:style>
  <w:style w:type="paragraph" w:styleId="Lijstalinea">
    <w:name w:val="List Paragraph"/>
    <w:basedOn w:val="Standaard"/>
    <w:uiPriority w:val="99"/>
    <w:qFormat/>
    <w:rsid w:val="00F64FF9"/>
    <w:pPr>
      <w:ind w:left="720"/>
      <w:contextualSpacing/>
    </w:pPr>
  </w:style>
  <w:style w:type="paragraph" w:styleId="Geenafstand">
    <w:name w:val="No Spacing"/>
    <w:uiPriority w:val="99"/>
    <w:qFormat/>
    <w:rsid w:val="0046684F"/>
    <w:rPr>
      <w:rFonts w:ascii="Verdana" w:hAnsi="Verdana" w:cs="Verdana"/>
      <w:sz w:val="18"/>
      <w:szCs w:val="18"/>
      <w:lang w:eastAsia="en-US"/>
    </w:rPr>
  </w:style>
  <w:style w:type="character" w:customStyle="1" w:styleId="TekstopmerkingChar">
    <w:name w:val="Tekst opmerking Char"/>
    <w:basedOn w:val="Standaardalinea-lettertype"/>
    <w:link w:val="Tekstopmerking"/>
    <w:semiHidden/>
    <w:rsid w:val="007D58C6"/>
  </w:style>
</w:styles>
</file>

<file path=word/webSettings.xml><?xml version="1.0" encoding="utf-8"?>
<w:webSettings xmlns:r="http://schemas.openxmlformats.org/officeDocument/2006/relationships" xmlns:w="http://schemas.openxmlformats.org/wordprocessingml/2006/main">
  <w:divs>
    <w:div w:id="30618559">
      <w:bodyDiv w:val="1"/>
      <w:marLeft w:val="0"/>
      <w:marRight w:val="0"/>
      <w:marTop w:val="0"/>
      <w:marBottom w:val="0"/>
      <w:divBdr>
        <w:top w:val="none" w:sz="0" w:space="0" w:color="auto"/>
        <w:left w:val="none" w:sz="0" w:space="0" w:color="auto"/>
        <w:bottom w:val="none" w:sz="0" w:space="0" w:color="auto"/>
        <w:right w:val="none" w:sz="0" w:space="0" w:color="auto"/>
      </w:divBdr>
      <w:divsChild>
        <w:div w:id="1582448184">
          <w:marLeft w:val="0"/>
          <w:marRight w:val="0"/>
          <w:marTop w:val="0"/>
          <w:marBottom w:val="0"/>
          <w:divBdr>
            <w:top w:val="none" w:sz="0" w:space="0" w:color="auto"/>
            <w:left w:val="none" w:sz="0" w:space="0" w:color="auto"/>
            <w:bottom w:val="none" w:sz="0" w:space="0" w:color="auto"/>
            <w:right w:val="none" w:sz="0" w:space="0" w:color="auto"/>
          </w:divBdr>
          <w:divsChild>
            <w:div w:id="11521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97439">
      <w:bodyDiv w:val="1"/>
      <w:marLeft w:val="0"/>
      <w:marRight w:val="0"/>
      <w:marTop w:val="0"/>
      <w:marBottom w:val="0"/>
      <w:divBdr>
        <w:top w:val="none" w:sz="0" w:space="0" w:color="auto"/>
        <w:left w:val="none" w:sz="0" w:space="0" w:color="auto"/>
        <w:bottom w:val="none" w:sz="0" w:space="0" w:color="auto"/>
        <w:right w:val="none" w:sz="0" w:space="0" w:color="auto"/>
      </w:divBdr>
    </w:div>
    <w:div w:id="378360763">
      <w:bodyDiv w:val="1"/>
      <w:marLeft w:val="0"/>
      <w:marRight w:val="0"/>
      <w:marTop w:val="0"/>
      <w:marBottom w:val="0"/>
      <w:divBdr>
        <w:top w:val="none" w:sz="0" w:space="0" w:color="auto"/>
        <w:left w:val="none" w:sz="0" w:space="0" w:color="auto"/>
        <w:bottom w:val="none" w:sz="0" w:space="0" w:color="auto"/>
        <w:right w:val="none" w:sz="0" w:space="0" w:color="auto"/>
      </w:divBdr>
    </w:div>
    <w:div w:id="490486973">
      <w:bodyDiv w:val="1"/>
      <w:marLeft w:val="0"/>
      <w:marRight w:val="0"/>
      <w:marTop w:val="0"/>
      <w:marBottom w:val="0"/>
      <w:divBdr>
        <w:top w:val="none" w:sz="0" w:space="0" w:color="auto"/>
        <w:left w:val="none" w:sz="0" w:space="0" w:color="auto"/>
        <w:bottom w:val="none" w:sz="0" w:space="0" w:color="auto"/>
        <w:right w:val="none" w:sz="0" w:space="0" w:color="auto"/>
      </w:divBdr>
      <w:divsChild>
        <w:div w:id="757411957">
          <w:marLeft w:val="0"/>
          <w:marRight w:val="0"/>
          <w:marTop w:val="0"/>
          <w:marBottom w:val="0"/>
          <w:divBdr>
            <w:top w:val="none" w:sz="0" w:space="0" w:color="auto"/>
            <w:left w:val="none" w:sz="0" w:space="0" w:color="auto"/>
            <w:bottom w:val="none" w:sz="0" w:space="0" w:color="auto"/>
            <w:right w:val="none" w:sz="0" w:space="0" w:color="auto"/>
          </w:divBdr>
        </w:div>
      </w:divsChild>
    </w:div>
    <w:div w:id="498929709">
      <w:bodyDiv w:val="1"/>
      <w:marLeft w:val="0"/>
      <w:marRight w:val="0"/>
      <w:marTop w:val="0"/>
      <w:marBottom w:val="0"/>
      <w:divBdr>
        <w:top w:val="none" w:sz="0" w:space="0" w:color="auto"/>
        <w:left w:val="none" w:sz="0" w:space="0" w:color="auto"/>
        <w:bottom w:val="none" w:sz="0" w:space="0" w:color="auto"/>
        <w:right w:val="none" w:sz="0" w:space="0" w:color="auto"/>
      </w:divBdr>
      <w:divsChild>
        <w:div w:id="1448426474">
          <w:marLeft w:val="0"/>
          <w:marRight w:val="0"/>
          <w:marTop w:val="0"/>
          <w:marBottom w:val="0"/>
          <w:divBdr>
            <w:top w:val="none" w:sz="0" w:space="0" w:color="auto"/>
            <w:left w:val="none" w:sz="0" w:space="0" w:color="auto"/>
            <w:bottom w:val="none" w:sz="0" w:space="0" w:color="auto"/>
            <w:right w:val="none" w:sz="0" w:space="0" w:color="auto"/>
          </w:divBdr>
        </w:div>
      </w:divsChild>
    </w:div>
    <w:div w:id="667640597">
      <w:bodyDiv w:val="1"/>
      <w:marLeft w:val="0"/>
      <w:marRight w:val="0"/>
      <w:marTop w:val="0"/>
      <w:marBottom w:val="0"/>
      <w:divBdr>
        <w:top w:val="none" w:sz="0" w:space="0" w:color="auto"/>
        <w:left w:val="none" w:sz="0" w:space="0" w:color="auto"/>
        <w:bottom w:val="none" w:sz="0" w:space="0" w:color="auto"/>
        <w:right w:val="none" w:sz="0" w:space="0" w:color="auto"/>
      </w:divBdr>
      <w:divsChild>
        <w:div w:id="17604045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42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2097">
      <w:bodyDiv w:val="1"/>
      <w:marLeft w:val="0"/>
      <w:marRight w:val="0"/>
      <w:marTop w:val="0"/>
      <w:marBottom w:val="0"/>
      <w:divBdr>
        <w:top w:val="none" w:sz="0" w:space="0" w:color="auto"/>
        <w:left w:val="none" w:sz="0" w:space="0" w:color="auto"/>
        <w:bottom w:val="none" w:sz="0" w:space="0" w:color="auto"/>
        <w:right w:val="none" w:sz="0" w:space="0" w:color="auto"/>
      </w:divBdr>
    </w:div>
    <w:div w:id="1261988190">
      <w:bodyDiv w:val="1"/>
      <w:marLeft w:val="0"/>
      <w:marRight w:val="0"/>
      <w:marTop w:val="0"/>
      <w:marBottom w:val="0"/>
      <w:divBdr>
        <w:top w:val="none" w:sz="0" w:space="0" w:color="auto"/>
        <w:left w:val="none" w:sz="0" w:space="0" w:color="auto"/>
        <w:bottom w:val="none" w:sz="0" w:space="0" w:color="auto"/>
        <w:right w:val="none" w:sz="0" w:space="0" w:color="auto"/>
      </w:divBdr>
      <w:divsChild>
        <w:div w:id="1064528268">
          <w:marLeft w:val="0"/>
          <w:marRight w:val="0"/>
          <w:marTop w:val="0"/>
          <w:marBottom w:val="0"/>
          <w:divBdr>
            <w:top w:val="none" w:sz="0" w:space="0" w:color="auto"/>
            <w:left w:val="none" w:sz="0" w:space="0" w:color="auto"/>
            <w:bottom w:val="none" w:sz="0" w:space="0" w:color="auto"/>
            <w:right w:val="none" w:sz="0" w:space="0" w:color="auto"/>
          </w:divBdr>
        </w:div>
      </w:divsChild>
    </w:div>
    <w:div w:id="1438864779">
      <w:bodyDiv w:val="1"/>
      <w:marLeft w:val="0"/>
      <w:marRight w:val="0"/>
      <w:marTop w:val="0"/>
      <w:marBottom w:val="0"/>
      <w:divBdr>
        <w:top w:val="none" w:sz="0" w:space="0" w:color="auto"/>
        <w:left w:val="none" w:sz="0" w:space="0" w:color="auto"/>
        <w:bottom w:val="none" w:sz="0" w:space="0" w:color="auto"/>
        <w:right w:val="none" w:sz="0" w:space="0" w:color="auto"/>
      </w:divBdr>
    </w:div>
    <w:div w:id="1580669766">
      <w:bodyDiv w:val="1"/>
      <w:marLeft w:val="0"/>
      <w:marRight w:val="0"/>
      <w:marTop w:val="0"/>
      <w:marBottom w:val="0"/>
      <w:divBdr>
        <w:top w:val="none" w:sz="0" w:space="0" w:color="auto"/>
        <w:left w:val="none" w:sz="0" w:space="0" w:color="auto"/>
        <w:bottom w:val="none" w:sz="0" w:space="0" w:color="auto"/>
        <w:right w:val="none" w:sz="0" w:space="0" w:color="auto"/>
      </w:divBdr>
    </w:div>
    <w:div w:id="1941447708">
      <w:bodyDiv w:val="1"/>
      <w:marLeft w:val="0"/>
      <w:marRight w:val="0"/>
      <w:marTop w:val="0"/>
      <w:marBottom w:val="0"/>
      <w:divBdr>
        <w:top w:val="none" w:sz="0" w:space="0" w:color="auto"/>
        <w:left w:val="none" w:sz="0" w:space="0" w:color="auto"/>
        <w:bottom w:val="none" w:sz="0" w:space="0" w:color="auto"/>
        <w:right w:val="none" w:sz="0" w:space="0" w:color="auto"/>
      </w:divBdr>
    </w:div>
    <w:div w:id="1971783666">
      <w:bodyDiv w:val="1"/>
      <w:marLeft w:val="0"/>
      <w:marRight w:val="0"/>
      <w:marTop w:val="0"/>
      <w:marBottom w:val="0"/>
      <w:divBdr>
        <w:top w:val="none" w:sz="0" w:space="0" w:color="auto"/>
        <w:left w:val="none" w:sz="0" w:space="0" w:color="auto"/>
        <w:bottom w:val="none" w:sz="0" w:space="0" w:color="auto"/>
        <w:right w:val="none" w:sz="0" w:space="0" w:color="auto"/>
      </w:divBdr>
    </w:div>
    <w:div w:id="1992057462">
      <w:bodyDiv w:val="1"/>
      <w:marLeft w:val="0"/>
      <w:marRight w:val="0"/>
      <w:marTop w:val="0"/>
      <w:marBottom w:val="0"/>
      <w:divBdr>
        <w:top w:val="none" w:sz="0" w:space="0" w:color="auto"/>
        <w:left w:val="none" w:sz="0" w:space="0" w:color="auto"/>
        <w:bottom w:val="none" w:sz="0" w:space="0" w:color="auto"/>
        <w:right w:val="none" w:sz="0" w:space="0" w:color="auto"/>
      </w:divBdr>
      <w:divsChild>
        <w:div w:id="1610042123">
          <w:marLeft w:val="0"/>
          <w:marRight w:val="0"/>
          <w:marTop w:val="0"/>
          <w:marBottom w:val="0"/>
          <w:divBdr>
            <w:top w:val="none" w:sz="0" w:space="0" w:color="auto"/>
            <w:left w:val="none" w:sz="0" w:space="0" w:color="auto"/>
            <w:bottom w:val="none" w:sz="0" w:space="0" w:color="auto"/>
            <w:right w:val="none" w:sz="0" w:space="0" w:color="auto"/>
          </w:divBdr>
          <w:divsChild>
            <w:div w:id="4660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4066</ap:Words>
  <ap:Characters>25920</ap:Characters>
  <ap:DocSecurity>0</ap:DocSecurity>
  <ap:Lines>216</ap:Lines>
  <ap:Paragraphs>59</ap:Paragraphs>
  <ap:ScaleCrop>false</ap:ScaleCrop>
  <ap:HeadingPairs>
    <vt:vector baseType="variant" size="2">
      <vt:variant>
        <vt:lpstr>Titel</vt:lpstr>
      </vt:variant>
      <vt:variant>
        <vt:i4>1</vt:i4>
      </vt:variant>
    </vt:vector>
  </ap:HeadingPairs>
  <ap:TitlesOfParts>
    <vt:vector baseType="lpstr" size="1">
      <vt:lpstr>Begrotingsregels 2007 - 2011</vt:lpstr>
    </vt:vector>
  </ap:TitlesOfParts>
  <ap:LinksUpToDate>false</ap:LinksUpToDate>
  <ap:CharactersWithSpaces>29927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2012-11-02T14:47:00.0000000Z</lastPrinted>
  <dcterms:created xsi:type="dcterms:W3CDTF">2012-12-06T12:35:00.0000000Z</dcterms:created>
  <dcterms:modified xsi:type="dcterms:W3CDTF">2012-12-07T12:44:00.0000000Z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0x010100F7FADF90B91B7646B3F94E8B98891E8E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