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F0" w:rsidP="009B388C" w:rsidRDefault="00EB43F0">
      <w:pPr>
        <w:rPr>
          <w:b/>
        </w:rPr>
      </w:pPr>
      <w:r>
        <w:rPr>
          <w:b/>
        </w:rPr>
        <w:t>Bijdrage de Nederlandsche Bank ten behoeve van het rondetafelgesprek met de commissie voor Europese Zaken van de Tweede Kamer</w:t>
      </w:r>
    </w:p>
    <w:p w:rsidR="00EB43F0" w:rsidP="009074A9" w:rsidRDefault="00EB43F0">
      <w:pPr>
        <w:widowControl/>
        <w:rPr>
          <w:b/>
          <w:szCs w:val="20"/>
          <w:lang w:eastAsia="nl-NL"/>
        </w:rPr>
      </w:pPr>
    </w:p>
    <w:p w:rsidRPr="009074A9" w:rsidR="00EB43F0" w:rsidP="009074A9" w:rsidRDefault="00EB43F0">
      <w:pPr>
        <w:widowControl/>
        <w:rPr>
          <w:szCs w:val="20"/>
          <w:u w:val="single"/>
          <w:lang w:eastAsia="nl-NL"/>
        </w:rPr>
      </w:pPr>
      <w:r w:rsidRPr="009074A9">
        <w:rPr>
          <w:b/>
          <w:szCs w:val="20"/>
          <w:u w:val="single"/>
          <w:lang w:eastAsia="nl-NL"/>
        </w:rPr>
        <w:t>Bankenunie</w:t>
      </w:r>
    </w:p>
    <w:p w:rsidRPr="009B388C" w:rsidR="00EB43F0" w:rsidP="009074A9" w:rsidRDefault="00EB43F0">
      <w:pPr>
        <w:pStyle w:val="ListParagraph"/>
        <w:widowControl/>
        <w:numPr>
          <w:ilvl w:val="0"/>
          <w:numId w:val="24"/>
        </w:numPr>
        <w:rPr>
          <w:szCs w:val="20"/>
          <w:lang w:eastAsia="nl-NL"/>
        </w:rPr>
      </w:pPr>
      <w:r w:rsidRPr="00A63E94">
        <w:rPr>
          <w:b/>
          <w:szCs w:val="20"/>
          <w:lang w:eastAsia="nl-NL"/>
        </w:rPr>
        <w:t>Een complete Europese bankenunie bestaat uit prudentieel toezic</w:t>
      </w:r>
      <w:r>
        <w:rPr>
          <w:b/>
          <w:szCs w:val="20"/>
          <w:lang w:eastAsia="nl-NL"/>
        </w:rPr>
        <w:t>ht, resolutiemechanismen en een</w:t>
      </w:r>
      <w:r w:rsidRPr="00A63E94">
        <w:rPr>
          <w:b/>
          <w:szCs w:val="20"/>
          <w:lang w:eastAsia="nl-NL"/>
        </w:rPr>
        <w:t xml:space="preserve"> </w:t>
      </w:r>
      <w:r>
        <w:rPr>
          <w:b/>
          <w:szCs w:val="20"/>
          <w:lang w:eastAsia="nl-NL"/>
        </w:rPr>
        <w:t xml:space="preserve">vooraf </w:t>
      </w:r>
      <w:r w:rsidRPr="00A63E94">
        <w:rPr>
          <w:b/>
          <w:szCs w:val="20"/>
          <w:lang w:eastAsia="nl-NL"/>
        </w:rPr>
        <w:t>door de sector gefinancierd depositogarantie- en resolutiefonds op Europees niveau.</w:t>
      </w:r>
      <w:r>
        <w:rPr>
          <w:szCs w:val="20"/>
          <w:lang w:eastAsia="nl-NL"/>
        </w:rPr>
        <w:t xml:space="preserve"> De bankenunie heeft tot doel de neerwaartse spiraal tussen</w:t>
      </w:r>
      <w:r w:rsidRPr="009B388C">
        <w:rPr>
          <w:szCs w:val="20"/>
          <w:lang w:eastAsia="nl-NL"/>
        </w:rPr>
        <w:t xml:space="preserve"> </w:t>
      </w:r>
      <w:r>
        <w:rPr>
          <w:szCs w:val="20"/>
          <w:lang w:eastAsia="nl-NL"/>
        </w:rPr>
        <w:t xml:space="preserve">banken en overheden te doorbreken, alsmede toezicht en </w:t>
      </w:r>
      <w:r w:rsidRPr="009B388C">
        <w:rPr>
          <w:szCs w:val="20"/>
          <w:lang w:eastAsia="nl-NL"/>
        </w:rPr>
        <w:t>crisismanagement</w:t>
      </w:r>
      <w:r>
        <w:rPr>
          <w:szCs w:val="20"/>
          <w:lang w:eastAsia="nl-NL"/>
        </w:rPr>
        <w:t xml:space="preserve"> bij grensoverschrijdende banken te versterken.</w:t>
      </w:r>
    </w:p>
    <w:p w:rsidRPr="008C593F" w:rsidR="00EB43F0" w:rsidP="009074A9" w:rsidRDefault="00EB43F0">
      <w:pPr>
        <w:pStyle w:val="ListParagraph"/>
        <w:numPr>
          <w:ilvl w:val="0"/>
          <w:numId w:val="24"/>
        </w:numPr>
        <w:rPr>
          <w:szCs w:val="22"/>
        </w:rPr>
      </w:pPr>
      <w:r>
        <w:rPr>
          <w:b/>
          <w:bCs/>
          <w:color w:val="000000"/>
          <w:szCs w:val="22"/>
        </w:rPr>
        <w:t xml:space="preserve">Het Europese toezicht zal niet effectief zijn als met name Europese resolutie niet gelijktijdig tot stand komt, omdat het ultieme instrument van het afwikkelen van een bank in de gereedschapskist ontbreekt. </w:t>
      </w:r>
      <w:r>
        <w:rPr>
          <w:color w:val="000000"/>
          <w:szCs w:val="22"/>
        </w:rPr>
        <w:t>Een halfbakken bankenunie is een verslechtering ten opzichte van de huidige situatie. DNB vindt dat de Europese Raad zich zou moeten committeren aan een routekaart naar een volwaardige bankenunie, waarin de tijdige en consistente invoering van een Europees resolutiemechanisme bestendigd wordt. De tijd tussen het overhevelen van toezicht en resolutie moet minimaal zijn en bij voorkeur gespecificeerd.</w:t>
      </w:r>
    </w:p>
    <w:p w:rsidR="00EB43F0" w:rsidP="009074A9" w:rsidRDefault="00EB43F0">
      <w:pPr>
        <w:pStyle w:val="ListParagraph"/>
        <w:numPr>
          <w:ilvl w:val="0"/>
          <w:numId w:val="24"/>
        </w:numPr>
        <w:rPr>
          <w:szCs w:val="22"/>
        </w:rPr>
      </w:pPr>
      <w:r w:rsidRPr="0092374A">
        <w:rPr>
          <w:b/>
          <w:szCs w:val="22"/>
        </w:rPr>
        <w:t>Om draagvlak te creëren voor een volwaardige bankenunie (inclusief risicodeling) is het van belang dat er helderheid komt over de huidige kwaliteit van bankbalansen van Europese banken.</w:t>
      </w:r>
      <w:r w:rsidRPr="009B388C">
        <w:rPr>
          <w:szCs w:val="22"/>
        </w:rPr>
        <w:t xml:space="preserve"> In ee</w:t>
      </w:r>
      <w:r>
        <w:rPr>
          <w:szCs w:val="22"/>
        </w:rPr>
        <w:t xml:space="preserve">n aantal landen in de eurozone </w:t>
      </w:r>
      <w:r w:rsidRPr="009B388C">
        <w:rPr>
          <w:szCs w:val="22"/>
        </w:rPr>
        <w:t>hebben zogenoemde Asset Quality Reviews (AQR) al voor helderheid gezorgd. DNB vindt dat deze AQR’s moeten worden uitgerold naar het bankwezen van de gehele Eurozone en moeten worden gevolgd door een stress test, zodat geen verborgen risico’s mee migreren naar de bankenunie.</w:t>
      </w:r>
      <w:r w:rsidRPr="009B388C">
        <w:rPr>
          <w:b/>
          <w:szCs w:val="22"/>
        </w:rPr>
        <w:t xml:space="preserve"> </w:t>
      </w:r>
      <w:r>
        <w:rPr>
          <w:color w:val="000000"/>
          <w:szCs w:val="22"/>
        </w:rPr>
        <w:t xml:space="preserve">De AQR en stress test zou door de </w:t>
      </w:r>
      <w:r w:rsidRPr="009B388C">
        <w:rPr>
          <w:szCs w:val="22"/>
        </w:rPr>
        <w:t xml:space="preserve">ECB </w:t>
      </w:r>
      <w:r>
        <w:rPr>
          <w:szCs w:val="22"/>
        </w:rPr>
        <w:t>moeten worden uitgevoerd</w:t>
      </w:r>
      <w:r w:rsidRPr="009B388C">
        <w:rPr>
          <w:szCs w:val="22"/>
        </w:rPr>
        <w:t xml:space="preserve">, gegeven haar bevoegdheden en verantwoordelijkheid als beoogde toezichthouder. De AQR en de stress test moeten zo snel mogelijk worden uitgevoerd, zo mogelijk voordat </w:t>
      </w:r>
      <w:r>
        <w:rPr>
          <w:szCs w:val="22"/>
        </w:rPr>
        <w:t xml:space="preserve">de Europese toezichthouder </w:t>
      </w:r>
      <w:r w:rsidRPr="009B388C">
        <w:rPr>
          <w:szCs w:val="22"/>
        </w:rPr>
        <w:t xml:space="preserve">in de loop van 2013 operationele toezichttaken op zich </w:t>
      </w:r>
      <w:r>
        <w:rPr>
          <w:szCs w:val="22"/>
        </w:rPr>
        <w:t>neemt</w:t>
      </w:r>
      <w:r w:rsidRPr="009B388C">
        <w:rPr>
          <w:szCs w:val="22"/>
        </w:rPr>
        <w:t xml:space="preserve">. </w:t>
      </w:r>
      <w:r>
        <w:rPr>
          <w:szCs w:val="22"/>
        </w:rPr>
        <w:t xml:space="preserve">Daarnaast moeten nieuwe onevenwichtigheden worden voorkomen, zie verderop. </w:t>
      </w:r>
    </w:p>
    <w:p w:rsidRPr="009B388C" w:rsidR="00EB43F0" w:rsidP="009074A9" w:rsidRDefault="00EB43F0">
      <w:pPr>
        <w:pStyle w:val="ListParagraph"/>
        <w:numPr>
          <w:ilvl w:val="0"/>
          <w:numId w:val="24"/>
        </w:numPr>
        <w:rPr>
          <w:szCs w:val="22"/>
        </w:rPr>
      </w:pPr>
      <w:r w:rsidRPr="0092374A">
        <w:rPr>
          <w:b/>
          <w:szCs w:val="22"/>
        </w:rPr>
        <w:t>Gezien de omvang van de Europese toezichttaak en de lokale aanwezigheid van ervaring en expertise kan effectief Europees toezicht alleen berusten op nauwe samenwerking tussen de ECB en de nationale toezichthouders (NSA’s). Dit betekent een grote mate van decentralisatie van de uitvoering van het toezicht.</w:t>
      </w:r>
      <w:r w:rsidRPr="009B388C">
        <w:rPr>
          <w:szCs w:val="22"/>
        </w:rPr>
        <w:t xml:space="preserve"> De ECB zal daarbij meer betrokken zijn naarmate een bank systeemrelevanter en financieel zwakker is. Tweedeling in het toezicht, waarbij de ECB uitsluitend en exclusief toezicht houdt op de systeemrelevante banken en de rest aan de NSA’s overlaat is niet wenselijk omdat dit het level playing field aantast en belangrijke financiële-stabiliteitsrisico’s buiten het radarscherm van de ECB laat.</w:t>
      </w:r>
    </w:p>
    <w:p w:rsidRPr="009B388C" w:rsidR="00EB43F0" w:rsidP="009074A9" w:rsidRDefault="00EB43F0">
      <w:pPr>
        <w:pStyle w:val="ListParagraph"/>
        <w:numPr>
          <w:ilvl w:val="0"/>
          <w:numId w:val="24"/>
        </w:numPr>
        <w:rPr>
          <w:color w:val="000000"/>
          <w:szCs w:val="22"/>
        </w:rPr>
      </w:pPr>
      <w:r w:rsidRPr="00112FB4">
        <w:rPr>
          <w:b/>
          <w:szCs w:val="22"/>
        </w:rPr>
        <w:t>Integratie van centrale bank en prudentieel toezicht brengt belangrijke synergievoordelen, maar kan leiden tot belangenconflicten tussen monetair beleid en toezicht. Om dit risico te mitigeren dient de s</w:t>
      </w:r>
      <w:r w:rsidRPr="00112FB4">
        <w:rPr>
          <w:b/>
          <w:color w:val="000000"/>
          <w:szCs w:val="22"/>
        </w:rPr>
        <w:t xml:space="preserve">tructuur van het toezichtsorgaan binnen de ECB </w:t>
      </w:r>
      <w:r w:rsidRPr="00112FB4">
        <w:rPr>
          <w:b/>
          <w:szCs w:val="22"/>
        </w:rPr>
        <w:t>zodanig te worden vormgegeven dat de onafhankelijkheid en reputatie van het monetaire beleid optimaal worden beschermd, zonder dat de synergie verloren gaat.</w:t>
      </w:r>
      <w:r w:rsidRPr="009B388C">
        <w:rPr>
          <w:szCs w:val="22"/>
        </w:rPr>
        <w:t xml:space="preserve"> </w:t>
      </w:r>
      <w:r>
        <w:rPr>
          <w:szCs w:val="22"/>
        </w:rPr>
        <w:t>D</w:t>
      </w:r>
      <w:r w:rsidRPr="009B388C">
        <w:rPr>
          <w:color w:val="000000"/>
          <w:szCs w:val="22"/>
        </w:rPr>
        <w:t xml:space="preserve">e </w:t>
      </w:r>
      <w:r>
        <w:rPr>
          <w:color w:val="000000"/>
          <w:szCs w:val="22"/>
        </w:rPr>
        <w:t xml:space="preserve">Europese Commissie stelt voor </w:t>
      </w:r>
      <w:r w:rsidRPr="009B388C">
        <w:rPr>
          <w:color w:val="000000"/>
          <w:szCs w:val="22"/>
        </w:rPr>
        <w:t>om onder de Governing Council een</w:t>
      </w:r>
      <w:r>
        <w:rPr>
          <w:color w:val="000000"/>
          <w:szCs w:val="22"/>
        </w:rPr>
        <w:t xml:space="preserve"> nieuw orgaan op te richten, de Supervisory Board, </w:t>
      </w:r>
      <w:r w:rsidRPr="009B388C">
        <w:rPr>
          <w:color w:val="000000"/>
          <w:szCs w:val="22"/>
        </w:rPr>
        <w:t>die namens de Governing Council toezichtbesluiten neemt</w:t>
      </w:r>
      <w:r>
        <w:rPr>
          <w:color w:val="000000"/>
          <w:szCs w:val="22"/>
        </w:rPr>
        <w:t xml:space="preserve">. Dit model, dat in lijn is met </w:t>
      </w:r>
      <w:r w:rsidRPr="009B388C">
        <w:rPr>
          <w:color w:val="000000"/>
          <w:szCs w:val="22"/>
        </w:rPr>
        <w:t xml:space="preserve">artikel 127 (6) en artikel 129(1) </w:t>
      </w:r>
      <w:r>
        <w:rPr>
          <w:color w:val="000000"/>
          <w:szCs w:val="22"/>
        </w:rPr>
        <w:t>TFEU (</w:t>
      </w:r>
      <w:r w:rsidRPr="009B388C">
        <w:rPr>
          <w:color w:val="000000"/>
          <w:szCs w:val="22"/>
        </w:rPr>
        <w:t>op grond waarvan de Governing Council eindverantwoordelijk blijft</w:t>
      </w:r>
      <w:r>
        <w:rPr>
          <w:color w:val="000000"/>
          <w:szCs w:val="22"/>
        </w:rPr>
        <w:t xml:space="preserve"> voor alle ECB-taken inclusief het toezicht)</w:t>
      </w:r>
      <w:r w:rsidRPr="009B388C">
        <w:rPr>
          <w:color w:val="000000"/>
          <w:szCs w:val="22"/>
        </w:rPr>
        <w:t>,</w:t>
      </w:r>
      <w:r>
        <w:rPr>
          <w:color w:val="000000"/>
          <w:szCs w:val="22"/>
        </w:rPr>
        <w:t xml:space="preserve"> </w:t>
      </w:r>
      <w:r w:rsidRPr="009B388C">
        <w:rPr>
          <w:color w:val="000000"/>
          <w:szCs w:val="22"/>
        </w:rPr>
        <w:t xml:space="preserve">biedt </w:t>
      </w:r>
      <w:r>
        <w:rPr>
          <w:color w:val="000000"/>
          <w:szCs w:val="22"/>
        </w:rPr>
        <w:t xml:space="preserve">volgens DNB </w:t>
      </w:r>
      <w:r w:rsidRPr="009B388C">
        <w:rPr>
          <w:color w:val="000000"/>
          <w:szCs w:val="22"/>
        </w:rPr>
        <w:t xml:space="preserve">voldoende waarborgen. </w:t>
      </w:r>
    </w:p>
    <w:p w:rsidRPr="00CC7ABC" w:rsidR="00EB43F0" w:rsidP="009074A9" w:rsidRDefault="00EB43F0">
      <w:pPr>
        <w:pStyle w:val="ListParagraph"/>
        <w:numPr>
          <w:ilvl w:val="0"/>
          <w:numId w:val="24"/>
        </w:numPr>
        <w:rPr>
          <w:szCs w:val="22"/>
        </w:rPr>
      </w:pPr>
      <w:r w:rsidRPr="00112FB4">
        <w:rPr>
          <w:b/>
          <w:szCs w:val="22"/>
        </w:rPr>
        <w:t>Vanuit het oogpunt van effectief toezicht en democratische legitimiteit, en gezien het belang van een onafhankelijke uitoefening van haar taken, is het passend dat de ECB achteraf volgens de hoogste standaarden verantwoording aflegt over de uitvoering van het haar toevertrouwde mandaat.</w:t>
      </w:r>
      <w:r w:rsidRPr="00112FB4">
        <w:rPr>
          <w:szCs w:val="22"/>
        </w:rPr>
        <w:t xml:space="preserve"> De verschillende rollen van de ECB als monetaire autoriteit en als toezichthouder vragen daarbij om een scheiding in de verantwoording over deze taken. Het ligt voor de hand dat de ECB verantwoording aflegt aan de betrokken instellingen, namelijk de (Europese) Raad van Ministers, de Europese Raad (van regeringsleiders) respectievelijk de Eurogroep, het Europese parlement, de Rekenkamer, en indien daarvoor gedaagd het Europese Hof van Justitie. Daarnaast moeten er mechanismen zijn waarlangs nationa</w:t>
      </w:r>
      <w:r>
        <w:rPr>
          <w:szCs w:val="22"/>
        </w:rPr>
        <w:t>le parlementen steeds terdege worden</w:t>
      </w:r>
      <w:r w:rsidRPr="00112FB4">
        <w:rPr>
          <w:szCs w:val="22"/>
        </w:rPr>
        <w:t xml:space="preserve"> geïnformeerd. </w:t>
      </w:r>
      <w:r>
        <w:rPr>
          <w:szCs w:val="22"/>
        </w:rPr>
        <w:t xml:space="preserve">Een mogelijkheid is dat </w:t>
      </w:r>
      <w:r w:rsidRPr="00112FB4">
        <w:rPr>
          <w:szCs w:val="22"/>
        </w:rPr>
        <w:t xml:space="preserve">verantwoordingsrapportages </w:t>
      </w:r>
      <w:r>
        <w:rPr>
          <w:szCs w:val="22"/>
        </w:rPr>
        <w:t xml:space="preserve">aan de Europese gremia met de nationale parlementen worden gedeeld. </w:t>
      </w:r>
      <w:r w:rsidRPr="00112FB4">
        <w:rPr>
          <w:szCs w:val="22"/>
        </w:rPr>
        <w:t>Voor taken die onder de nationale compe</w:t>
      </w:r>
      <w:r>
        <w:rPr>
          <w:szCs w:val="22"/>
        </w:rPr>
        <w:t>te</w:t>
      </w:r>
      <w:r w:rsidRPr="00112FB4">
        <w:rPr>
          <w:szCs w:val="22"/>
        </w:rPr>
        <w:t>ntie van NSA’s blijven vallen, blijven deze NSA’s verantwoording schuldig volgens hun nationale mechanismen, bijvoorbeeld een verantwoordingsplicht aan hun nationale ministers, parlementen en rechters.</w:t>
      </w:r>
      <w:r w:rsidRPr="00CC7ABC">
        <w:rPr>
          <w:szCs w:val="22"/>
        </w:rPr>
        <w:t xml:space="preserve"> </w:t>
      </w:r>
    </w:p>
    <w:p w:rsidR="00EB43F0" w:rsidP="009B388C" w:rsidRDefault="00EB43F0">
      <w:pPr>
        <w:rPr>
          <w:b/>
        </w:rPr>
      </w:pPr>
    </w:p>
    <w:p w:rsidRPr="00A63E94" w:rsidR="00EB43F0" w:rsidP="009B388C" w:rsidRDefault="00EB43F0">
      <w:pPr>
        <w:rPr>
          <w:b/>
          <w:u w:val="single"/>
        </w:rPr>
      </w:pPr>
      <w:r w:rsidRPr="00A63E94">
        <w:rPr>
          <w:b/>
          <w:u w:val="single"/>
        </w:rPr>
        <w:t>Begrotingsunie en coördinatie economisch beleid</w:t>
      </w:r>
    </w:p>
    <w:p w:rsidRPr="009B53A4" w:rsidR="00EB43F0" w:rsidP="009B388C" w:rsidRDefault="00EB43F0">
      <w:pPr>
        <w:pStyle w:val="ListParagraph"/>
        <w:numPr>
          <w:ilvl w:val="0"/>
          <w:numId w:val="23"/>
        </w:numPr>
      </w:pPr>
      <w:r w:rsidRPr="00A63E94">
        <w:rPr>
          <w:b/>
        </w:rPr>
        <w:t>Een bankenunie is een noodzakelijke, maar geen voldoende voorwaarde voor een stabiele monetaire unie. Daarnaast</w:t>
      </w:r>
      <w:r w:rsidRPr="00A63E94">
        <w:rPr>
          <w:b/>
          <w:color w:val="000000"/>
          <w:szCs w:val="22"/>
          <w:lang w:eastAsia="nl-NL"/>
        </w:rPr>
        <w:t xml:space="preserve"> is het nodig dat de schokbestendigheid van individuele EMU-landen wordt vergroot en dat onevenwichtigheden </w:t>
      </w:r>
      <w:r w:rsidRPr="00A63E94">
        <w:rPr>
          <w:b/>
        </w:rPr>
        <w:t>die in de EMU tot negatieve spillovers kunnen leiden in de toekomst worden voorkomen, danwel in een eerder stadium worden aangepakt.</w:t>
      </w:r>
      <w:r w:rsidRPr="009B53A4">
        <w:t xml:space="preserve"> Dit ook om te voorkomen dat </w:t>
      </w:r>
      <w:r w:rsidRPr="009B53A4">
        <w:rPr>
          <w:color w:val="000000"/>
          <w:szCs w:val="22"/>
          <w:lang w:eastAsia="nl-NL"/>
        </w:rPr>
        <w:t xml:space="preserve">de kosten van onhoudbaar beleid mede via de bankenunie worden verdeeld over alle EMU-landen. </w:t>
      </w:r>
      <w:r w:rsidRPr="009B53A4">
        <w:t>Om dit te bewerkstelligen is een sterkere governance structuur</w:t>
      </w:r>
      <w:r>
        <w:t xml:space="preserve">, waarin afspraken ook </w:t>
      </w:r>
      <w:r w:rsidRPr="009B53A4">
        <w:t>afdwingba</w:t>
      </w:r>
      <w:r>
        <w:t>ar</w:t>
      </w:r>
      <w:r w:rsidRPr="009B53A4">
        <w:t xml:space="preserve"> </w:t>
      </w:r>
      <w:r>
        <w:t>zijn,</w:t>
      </w:r>
      <w:r w:rsidRPr="009B53A4">
        <w:t xml:space="preserve"> essentieel. Dit betreft niet alleen het begrotingsbeleid, maar ook het macro-economische en financieel-economische beleid. </w:t>
      </w:r>
      <w:r>
        <w:t>Voor Nederland met haar open economie en grote, internationaal opererende financiële sector zijn beter afdwingbare regels van groot belang. Hierbij moet de kans</w:t>
      </w:r>
      <w:r w:rsidRPr="00D72639">
        <w:t xml:space="preserve"> zelf </w:t>
      </w:r>
      <w:r>
        <w:t>eens</w:t>
      </w:r>
      <w:r w:rsidRPr="00D72639">
        <w:t xml:space="preserve"> </w:t>
      </w:r>
      <w:r>
        <w:t xml:space="preserve">te </w:t>
      </w:r>
      <w:r w:rsidRPr="00D72639">
        <w:t xml:space="preserve">worden aangesproken door </w:t>
      </w:r>
      <w:r>
        <w:t xml:space="preserve">Europa worden afgewogen tegen de kans te worden </w:t>
      </w:r>
      <w:r w:rsidRPr="00D72639">
        <w:t>geraakt</w:t>
      </w:r>
      <w:r>
        <w:t xml:space="preserve"> door problemen in andere landen.</w:t>
      </w:r>
    </w:p>
    <w:p w:rsidRPr="009B53A4" w:rsidR="00EB43F0" w:rsidP="009B388C" w:rsidRDefault="00EB43F0">
      <w:pPr>
        <w:pStyle w:val="ListParagraph"/>
        <w:numPr>
          <w:ilvl w:val="0"/>
          <w:numId w:val="23"/>
        </w:numPr>
      </w:pPr>
      <w:r w:rsidRPr="00A63E94">
        <w:rPr>
          <w:b/>
        </w:rPr>
        <w:t xml:space="preserve">Vanuit het oogpunt van schokbestendigheid is de grootste uitdaging bij het begrotingsbeleid de schuldniveaus onder de 60% grens te brengen en te houden. </w:t>
      </w:r>
      <w:r w:rsidRPr="009B53A4">
        <w:t>Dit vereist dat begrotingsdiscipline in de eurozone beter afdwingbaar wordt, vooral preventief. Het Fiscal Compact is een stap in de goede richting, maar verdere stappen zijn nodig. Concreet is vooral uitbreiding van omg</w:t>
      </w:r>
      <w:r>
        <w:t>ekeerde meerderheidsbesluitvorming</w:t>
      </w:r>
      <w:r w:rsidRPr="009B53A4">
        <w:t xml:space="preserve"> naar de preventieve tak van het SGP en naar de schuldregel nodig. </w:t>
      </w:r>
    </w:p>
    <w:p w:rsidRPr="009B53A4" w:rsidR="00EB43F0" w:rsidP="009B388C" w:rsidRDefault="00EB43F0">
      <w:pPr>
        <w:pStyle w:val="ListParagraph"/>
        <w:numPr>
          <w:ilvl w:val="0"/>
          <w:numId w:val="23"/>
        </w:numPr>
      </w:pPr>
      <w:r w:rsidRPr="00A63E94">
        <w:rPr>
          <w:b/>
        </w:rPr>
        <w:t>Voor een stabiele EMU is het voorkomen van macro-economische onevenwichtigheden net zo belangrijk als budgettaire discipline.</w:t>
      </w:r>
      <w:r w:rsidRPr="009B53A4">
        <w:t xml:space="preserve"> De crisis heeft immers aangetoond dat macro-economische onevenwichtigheden op den duur de houdbaarheid van de overheidsfinanciën en de muntunie bedreigen. De grootste uitdaging bij macro-economisch beleid is het verhogen van het concurrentie- en groeivermogen en de economische flexibiliteit van de individuele EMU-landen. </w:t>
      </w:r>
      <w:r w:rsidRPr="009B53A4">
        <w:rPr>
          <w:color w:val="000000"/>
          <w:szCs w:val="22"/>
          <w:lang w:eastAsia="nl-NL"/>
        </w:rPr>
        <w:t xml:space="preserve">Hiertoe zouden op zijn minst de preventieve werking en de afdwingbaarheid van de </w:t>
      </w:r>
      <w:r w:rsidRPr="009B53A4">
        <w:t>macro-economische onevenwichtighedenprocedure (</w:t>
      </w:r>
      <w:r w:rsidRPr="009B53A4">
        <w:rPr>
          <w:color w:val="000000"/>
          <w:szCs w:val="22"/>
          <w:lang w:eastAsia="nl-NL"/>
        </w:rPr>
        <w:t xml:space="preserve">MEOP) moeten worden vergroot, door i) een meer onafhankelijke rol van de Europese Commissie, ii) </w:t>
      </w:r>
      <w:r w:rsidRPr="009B53A4">
        <w:t>omg</w:t>
      </w:r>
      <w:r>
        <w:t>ekeerde meerderheidsbesluitvorming</w:t>
      </w:r>
      <w:r w:rsidRPr="009B53A4">
        <w:t xml:space="preserve"> ook in de eerdere stadia van de procedure toe te passen</w:t>
      </w:r>
      <w:r w:rsidRPr="009B53A4">
        <w:rPr>
          <w:color w:val="000000"/>
          <w:szCs w:val="22"/>
          <w:lang w:eastAsia="nl-NL"/>
        </w:rPr>
        <w:t xml:space="preserve"> en iii) de MEOP-aanbevelingen als uitgangspunt te nemen voor eventuele individuele contracten tussen de EU en de lidstaten.</w:t>
      </w:r>
    </w:p>
    <w:p w:rsidRPr="009B53A4" w:rsidR="00EB43F0" w:rsidP="009B388C" w:rsidRDefault="00EB43F0">
      <w:pPr>
        <w:pStyle w:val="ListParagraph"/>
        <w:numPr>
          <w:ilvl w:val="0"/>
          <w:numId w:val="23"/>
        </w:numPr>
      </w:pPr>
      <w:r w:rsidRPr="00A63E94">
        <w:rPr>
          <w:b/>
          <w:szCs w:val="22"/>
        </w:rPr>
        <w:t>Eurobonds zijn geen geschikt crisisinstrument, maar kunnen wel een nuttig sluitstuk zijn van een stabiele monetaire unie.</w:t>
      </w:r>
      <w:r w:rsidRPr="009B53A4">
        <w:rPr>
          <w:szCs w:val="22"/>
        </w:rPr>
        <w:t xml:space="preserve"> Met Eurobonds mondt een liquiditeitsprobleem in een euroland niet meer onnodig uit in een solvabiliteitsprobleem. Ook werpen ze een dam op tegen besmettingsgevaar. Een</w:t>
      </w:r>
      <w:r w:rsidRPr="009B53A4">
        <w:t xml:space="preserve"> geloofwaardig tijdpad naar Eurobonds kan markten bovendien een perspectief bieden op een stabiele EMU-opzet en daarmee rust brengen. Van cruciaal belang is wel dat op het moment van introductie van Eurobonds de schuldniveaus zijn afgebouwd tot beneden de 60% en dat de economische governance in de EMU vergaand is versterkt, onder meer door de handhaving van begrotingsregels te beleggen bij een onafhankelijke Europese begrotingsautoriteit. Zonder versterkte handhaving worden met Eurobonds belangrijke morele risico’s geïntroduceerd, die kunnen uitmonden in permanente overdrachten binnen de EMU. </w:t>
      </w:r>
      <w:r>
        <w:t>De</w:t>
      </w:r>
      <w:r w:rsidRPr="009B53A4">
        <w:t xml:space="preserve"> </w:t>
      </w:r>
      <w:r>
        <w:t>begrotings</w:t>
      </w:r>
      <w:r w:rsidRPr="009B53A4">
        <w:t>autoriteit grijpt zonder tussenkomst van de Europese Raad in bij schending van de begrotingsregels, waarbij landen die de regels blijven overtreden in toenemende mate budgettaire soevereiniteit verliezen.</w:t>
      </w:r>
    </w:p>
    <w:p w:rsidRPr="009074A9" w:rsidR="00EB43F0" w:rsidP="009074A9" w:rsidRDefault="00EB43F0">
      <w:pPr>
        <w:rPr>
          <w:szCs w:val="22"/>
        </w:rPr>
      </w:pPr>
    </w:p>
    <w:sectPr w:rsidRPr="009074A9" w:rsidR="00EB43F0" w:rsidSect="002668CD">
      <w:pgSz w:w="11906" w:h="16838" w:code="9"/>
      <w:pgMar w:top="1418" w:right="1418" w:bottom="1418" w:left="1418" w:header="709" w:footer="709"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altName w:val="Tahom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53C24E0"/>
    <w:lvl w:ilvl="0">
      <w:start w:val="1"/>
      <w:numFmt w:val="bullet"/>
      <w:lvlText w:val=""/>
      <w:lvlJc w:val="left"/>
      <w:pPr>
        <w:tabs>
          <w:tab w:val="num" w:pos="643"/>
        </w:tabs>
        <w:ind w:left="643" w:hanging="360"/>
      </w:pPr>
      <w:rPr>
        <w:rFonts w:ascii="Symbol" w:hAnsi="Symbol" w:hint="default"/>
      </w:rPr>
    </w:lvl>
  </w:abstractNum>
  <w:abstractNum w:abstractNumId="1">
    <w:nsid w:val="03F61FDE"/>
    <w:multiLevelType w:val="multilevel"/>
    <w:tmpl w:val="0413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60358C4"/>
    <w:multiLevelType w:val="hybridMultilevel"/>
    <w:tmpl w:val="5D144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651860"/>
    <w:multiLevelType w:val="multilevel"/>
    <w:tmpl w:val="24C87DDA"/>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Symbol" w:hAnsi="Symbol" w:hint="default"/>
        <w:color w:val="auto"/>
        <w:sz w:val="22"/>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Symbol" w:hAnsi="Symbol"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4">
    <w:nsid w:val="1C0D5400"/>
    <w:multiLevelType w:val="multilevel"/>
    <w:tmpl w:val="0413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5">
    <w:nsid w:val="1CF755C8"/>
    <w:multiLevelType w:val="multilevel"/>
    <w:tmpl w:val="604EFAB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2B970175"/>
    <w:multiLevelType w:val="multilevel"/>
    <w:tmpl w:val="6DC2263A"/>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decimal"/>
      <w:lvlText w:val="%6."/>
      <w:lvlJc w:val="left"/>
      <w:pPr>
        <w:ind w:left="2160" w:hanging="360"/>
      </w:pPr>
      <w:rPr>
        <w:rFonts w:cs="Times New Roman" w:hint="default"/>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2C6D0B55"/>
    <w:multiLevelType w:val="hybridMultilevel"/>
    <w:tmpl w:val="CF7EA280"/>
    <w:lvl w:ilvl="0" w:tplc="57D85272">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45C73747"/>
    <w:multiLevelType w:val="hybridMultilevel"/>
    <w:tmpl w:val="CA440E8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4E694A1B"/>
    <w:multiLevelType w:val="hybridMultilevel"/>
    <w:tmpl w:val="6DC6C3F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59154479"/>
    <w:multiLevelType w:val="hybridMultilevel"/>
    <w:tmpl w:val="3DFAF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66615AD"/>
    <w:multiLevelType w:val="multilevel"/>
    <w:tmpl w:val="1BD06FA2"/>
    <w:lvl w:ilvl="0">
      <w:start w:val="1"/>
      <w:numFmt w:val="decimal"/>
      <w:isLgl/>
      <w:lvlText w:val="%1."/>
      <w:lvlJc w:val="left"/>
      <w:pPr>
        <w:ind w:left="360" w:hanging="360"/>
      </w:pPr>
      <w:rPr>
        <w:rFonts w:cs="Times New Roman" w:hint="default"/>
        <w:color w:val="auto"/>
      </w:rPr>
    </w:lvl>
    <w:lvl w:ilvl="1">
      <w:start w:val="1"/>
      <w:numFmt w:val="lowerLetter"/>
      <w:lvlText w:val="%2."/>
      <w:lvlJc w:val="left"/>
      <w:pPr>
        <w:ind w:left="720" w:hanging="360"/>
      </w:pPr>
      <w:rPr>
        <w:rFonts w:cs="Times New Roman" w:hint="default"/>
        <w:color w:val="auto"/>
      </w:rPr>
    </w:lvl>
    <w:lvl w:ilvl="2">
      <w:start w:val="1"/>
      <w:numFmt w:val="decimal"/>
      <w:lvlText w:val="%3."/>
      <w:lvlJc w:val="left"/>
      <w:pPr>
        <w:ind w:left="1080" w:hanging="360"/>
      </w:pPr>
      <w:rPr>
        <w:rFonts w:cs="Times New Roman" w:hint="default"/>
        <w:color w:val="auto"/>
        <w:sz w:val="22"/>
      </w:rPr>
    </w:lvl>
    <w:lvl w:ilvl="3">
      <w:start w:val="1"/>
      <w:numFmt w:val="lowerLetter"/>
      <w:lvlText w:val="%4."/>
      <w:lvlJc w:val="left"/>
      <w:pPr>
        <w:ind w:left="1440" w:hanging="360"/>
      </w:pPr>
      <w:rPr>
        <w:rFonts w:cs="Times New Roman" w:hint="default"/>
        <w:color w:val="auto"/>
        <w:sz w:val="22"/>
      </w:rPr>
    </w:lvl>
    <w:lvl w:ilvl="4">
      <w:start w:val="1"/>
      <w:numFmt w:val="decimal"/>
      <w:lvlText w:val="%5."/>
      <w:lvlJc w:val="left"/>
      <w:pPr>
        <w:ind w:left="1800" w:hanging="360"/>
      </w:pPr>
      <w:rPr>
        <w:rFonts w:cs="Times New Roman" w:hint="default"/>
        <w:color w:val="auto"/>
        <w:sz w:val="22"/>
      </w:rPr>
    </w:lvl>
    <w:lvl w:ilvl="5">
      <w:start w:val="1"/>
      <w:numFmt w:val="lowerLetter"/>
      <w:lvlText w:val="%6."/>
      <w:lvlJc w:val="left"/>
      <w:pPr>
        <w:ind w:left="2160" w:hanging="360"/>
      </w:pPr>
      <w:rPr>
        <w:rFonts w:cs="Times New Roman" w:hint="default"/>
        <w:color w:val="auto"/>
        <w:sz w:val="22"/>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73FB2DD2"/>
    <w:multiLevelType w:val="hybridMultilevel"/>
    <w:tmpl w:val="A5ECF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7464DD"/>
    <w:multiLevelType w:val="multilevel"/>
    <w:tmpl w:val="87847D04"/>
    <w:lvl w:ilvl="0">
      <w:start w:val="1"/>
      <w:numFmt w:val="decimal"/>
      <w:lvlText w:val="%1."/>
      <w:lvlJc w:val="left"/>
      <w:pPr>
        <w:tabs>
          <w:tab w:val="num" w:pos="720"/>
        </w:tabs>
        <w:ind w:left="720" w:hanging="720"/>
      </w:pPr>
      <w:rPr>
        <w:rFonts w:ascii="Times New Roman" w:hAnsi="Times New Roman" w:cs="Times New Roman" w:hint="default"/>
        <w:b/>
        <w:i w:val="0"/>
        <w:caps/>
        <w:smallCaps w:val="0"/>
        <w:color w:val="auto"/>
        <w:sz w:val="22"/>
      </w:rPr>
    </w:lvl>
    <w:lvl w:ilvl="1">
      <w:start w:val="1"/>
      <w:numFmt w:val="decimal"/>
      <w:lvlText w:val="%1.%2"/>
      <w:lvlJc w:val="left"/>
      <w:pPr>
        <w:tabs>
          <w:tab w:val="num" w:pos="720"/>
        </w:tabs>
        <w:ind w:left="720" w:hanging="720"/>
      </w:pPr>
      <w:rPr>
        <w:rFonts w:ascii="Times New Roman" w:hAnsi="Times New Roman" w:cs="Times New Roman" w:hint="default"/>
        <w:b/>
        <w:color w:val="auto"/>
        <w:sz w:val="22"/>
      </w:rPr>
    </w:lvl>
    <w:lvl w:ilvl="2">
      <w:start w:val="1"/>
      <w:numFmt w:val="decimal"/>
      <w:lvlText w:val="%1.%2.%3"/>
      <w:lvlJc w:val="left"/>
      <w:pPr>
        <w:tabs>
          <w:tab w:val="num" w:pos="720"/>
        </w:tabs>
        <w:ind w:left="720" w:hanging="720"/>
      </w:pPr>
      <w:rPr>
        <w:rFonts w:ascii="Times New Roman" w:hAnsi="Times New Roman" w:cs="Times New Roman" w:hint="default"/>
        <w:b w:val="0"/>
        <w:i/>
        <w:color w:val="auto"/>
        <w:sz w:val="22"/>
      </w:rPr>
    </w:lvl>
    <w:lvl w:ilvl="3">
      <w:start w:val="1"/>
      <w:numFmt w:val="decimal"/>
      <w:lvlText w:val="%1.%2.%3.%4"/>
      <w:lvlJc w:val="left"/>
      <w:pPr>
        <w:tabs>
          <w:tab w:val="num" w:pos="720"/>
        </w:tabs>
        <w:ind w:left="720" w:hanging="720"/>
      </w:pPr>
      <w:rPr>
        <w:rFonts w:ascii="Times New Roman" w:hAnsi="Times New Roman" w:cs="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cs="Times New Roman" w:hint="default"/>
        <w:b w:val="0"/>
        <w:i w:val="0"/>
        <w:color w:val="auto"/>
        <w:sz w:val="20"/>
      </w:rPr>
    </w:lvl>
    <w:lvl w:ilvl="5">
      <w:start w:val="1"/>
      <w:numFmt w:val="decimal"/>
      <w:lvlText w:val="%1.%2.%3.%4.%5.%6"/>
      <w:lvlJc w:val="left"/>
      <w:pPr>
        <w:tabs>
          <w:tab w:val="num" w:pos="1134"/>
        </w:tabs>
        <w:ind w:left="1134" w:hanging="1134"/>
      </w:pPr>
      <w:rPr>
        <w:rFonts w:ascii="Times New Roman" w:hAnsi="Times New Roman" w:cs="Times New Roman" w:hint="default"/>
        <w:b w:val="0"/>
        <w:i w:val="0"/>
        <w:sz w:val="20"/>
      </w:rPr>
    </w:lvl>
    <w:lvl w:ilvl="6">
      <w:start w:val="1"/>
      <w:numFmt w:val="decimal"/>
      <w:lvlText w:val="%1.%2.%3.%4.%5.%6.%7"/>
      <w:lvlJc w:val="left"/>
      <w:pPr>
        <w:tabs>
          <w:tab w:val="num" w:pos="1134"/>
        </w:tabs>
        <w:ind w:left="1134" w:hanging="1134"/>
      </w:pPr>
      <w:rPr>
        <w:rFonts w:ascii="Times New Roman" w:hAnsi="Times New Roman" w:cs="Times New Roman" w:hint="default"/>
        <w:b w:val="0"/>
        <w:i w:val="0"/>
        <w:sz w:val="20"/>
      </w:rPr>
    </w:lvl>
    <w:lvl w:ilvl="7">
      <w:start w:val="1"/>
      <w:numFmt w:val="decimal"/>
      <w:lvlText w:val="%1.%2.%3.%4.%5.%6.%7.%8"/>
      <w:lvlJc w:val="left"/>
      <w:pPr>
        <w:ind w:left="1134" w:hanging="1134"/>
      </w:pPr>
      <w:rPr>
        <w:rFonts w:ascii="Times" w:hAnsi="Times" w:cs="Times New Roman" w:hint="default"/>
        <w:b w:val="0"/>
        <w:i w:val="0"/>
        <w:sz w:val="16"/>
      </w:rPr>
    </w:lvl>
    <w:lvl w:ilvl="8">
      <w:start w:val="1"/>
      <w:numFmt w:val="decimal"/>
      <w:lvlText w:val="%1.%2.%3.%4.%5.%6.%7.%8.%9"/>
      <w:lvlJc w:val="left"/>
      <w:pPr>
        <w:ind w:left="1134" w:hanging="1134"/>
      </w:pPr>
      <w:rPr>
        <w:rFonts w:ascii="Times" w:hAnsi="Times" w:cs="Times New Roman" w:hint="default"/>
        <w:sz w:val="16"/>
      </w:rPr>
    </w:lvl>
  </w:abstractNum>
  <w:abstractNum w:abstractNumId="14">
    <w:nsid w:val="7AC64392"/>
    <w:multiLevelType w:val="hybridMultilevel"/>
    <w:tmpl w:val="87B82E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4"/>
  </w:num>
  <w:num w:numId="5">
    <w:abstractNumId w:val="8"/>
  </w:num>
  <w:num w:numId="6">
    <w:abstractNumId w:val="9"/>
  </w:num>
  <w:num w:numId="7">
    <w:abstractNumId w:val="7"/>
  </w:num>
  <w:num w:numId="8">
    <w:abstractNumId w:val="4"/>
  </w:num>
  <w:num w:numId="9">
    <w:abstractNumId w:val="0"/>
  </w:num>
  <w:num w:numId="10">
    <w:abstractNumId w:val="7"/>
    <w:lvlOverride w:ilvl="0">
      <w:startOverride w:val="1"/>
    </w:lvlOverride>
  </w:num>
  <w:num w:numId="11">
    <w:abstractNumId w:val="1"/>
  </w:num>
  <w:num w:numId="12">
    <w:abstractNumId w:val="5"/>
  </w:num>
  <w:num w:numId="13">
    <w:abstractNumId w:val="11"/>
  </w:num>
  <w:num w:numId="14">
    <w:abstractNumId w:val="6"/>
  </w:num>
  <w:num w:numId="15">
    <w:abstractNumId w:val="3"/>
  </w:num>
  <w:num w:numId="16">
    <w:abstractNumId w:val="13"/>
  </w:num>
  <w:num w:numId="17">
    <w:abstractNumId w:val="13"/>
  </w:num>
  <w:num w:numId="18">
    <w:abstractNumId w:val="13"/>
  </w:num>
  <w:num w:numId="19">
    <w:abstractNumId w:val="13"/>
  </w:num>
  <w:num w:numId="20">
    <w:abstractNumId w:val="11"/>
  </w:num>
  <w:num w:numId="21">
    <w:abstractNumId w:val="6"/>
  </w:num>
  <w:num w:numId="22">
    <w:abstractNumId w:val="3"/>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29F5"/>
    <w:rsid w:val="0001688E"/>
    <w:rsid w:val="00053D79"/>
    <w:rsid w:val="00054E5F"/>
    <w:rsid w:val="0006424E"/>
    <w:rsid w:val="000D47C5"/>
    <w:rsid w:val="000E378A"/>
    <w:rsid w:val="00112FB4"/>
    <w:rsid w:val="001213E9"/>
    <w:rsid w:val="00137847"/>
    <w:rsid w:val="00175D75"/>
    <w:rsid w:val="001B1F48"/>
    <w:rsid w:val="001E7C73"/>
    <w:rsid w:val="002229F5"/>
    <w:rsid w:val="002405B6"/>
    <w:rsid w:val="002668CD"/>
    <w:rsid w:val="0028001B"/>
    <w:rsid w:val="002F6F4F"/>
    <w:rsid w:val="00322035"/>
    <w:rsid w:val="0032796A"/>
    <w:rsid w:val="00344513"/>
    <w:rsid w:val="003E68CB"/>
    <w:rsid w:val="004075D1"/>
    <w:rsid w:val="00414DD3"/>
    <w:rsid w:val="004412AC"/>
    <w:rsid w:val="00481533"/>
    <w:rsid w:val="004C111B"/>
    <w:rsid w:val="004E4842"/>
    <w:rsid w:val="00503AEA"/>
    <w:rsid w:val="00504F80"/>
    <w:rsid w:val="00610E98"/>
    <w:rsid w:val="00665495"/>
    <w:rsid w:val="00692D0C"/>
    <w:rsid w:val="00753BB7"/>
    <w:rsid w:val="007A76D8"/>
    <w:rsid w:val="007A7D42"/>
    <w:rsid w:val="007D42DB"/>
    <w:rsid w:val="007E4009"/>
    <w:rsid w:val="00883250"/>
    <w:rsid w:val="008C5315"/>
    <w:rsid w:val="008C593F"/>
    <w:rsid w:val="008D724F"/>
    <w:rsid w:val="009074A9"/>
    <w:rsid w:val="0092374A"/>
    <w:rsid w:val="00956823"/>
    <w:rsid w:val="00957634"/>
    <w:rsid w:val="009749B8"/>
    <w:rsid w:val="009755E6"/>
    <w:rsid w:val="0099266C"/>
    <w:rsid w:val="00997BD8"/>
    <w:rsid w:val="009B388C"/>
    <w:rsid w:val="009B53A4"/>
    <w:rsid w:val="009E1D02"/>
    <w:rsid w:val="009E5601"/>
    <w:rsid w:val="00A63E94"/>
    <w:rsid w:val="00A76679"/>
    <w:rsid w:val="00AA30D5"/>
    <w:rsid w:val="00B13987"/>
    <w:rsid w:val="00B3417B"/>
    <w:rsid w:val="00B471AE"/>
    <w:rsid w:val="00BB2A42"/>
    <w:rsid w:val="00BB57A7"/>
    <w:rsid w:val="00C80B6E"/>
    <w:rsid w:val="00CB7D3E"/>
    <w:rsid w:val="00CC7ABC"/>
    <w:rsid w:val="00D007C2"/>
    <w:rsid w:val="00D110F2"/>
    <w:rsid w:val="00D72639"/>
    <w:rsid w:val="00D91507"/>
    <w:rsid w:val="00DA6D44"/>
    <w:rsid w:val="00DB1379"/>
    <w:rsid w:val="00DC21C7"/>
    <w:rsid w:val="00DD51EE"/>
    <w:rsid w:val="00E01918"/>
    <w:rsid w:val="00EB43F0"/>
    <w:rsid w:val="00F02D59"/>
    <w:rsid w:val="00F71B8E"/>
    <w:rsid w:val="00FA323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229F5"/>
    <w:pPr>
      <w:widowControl w:val="0"/>
      <w:spacing w:line="280" w:lineRule="atLeast"/>
    </w:pPr>
    <w:rPr>
      <w:szCs w:val="24"/>
      <w:lang w:eastAsia="en-US"/>
    </w:rPr>
  </w:style>
  <w:style w:type="paragraph" w:styleId="Heading1">
    <w:name w:val="heading 1"/>
    <w:basedOn w:val="Normal"/>
    <w:next w:val="Normal"/>
    <w:link w:val="Heading1Char"/>
    <w:uiPriority w:val="99"/>
    <w:qFormat/>
    <w:rsid w:val="003E68CB"/>
    <w:pPr>
      <w:widowControl/>
      <w:numPr>
        <w:numId w:val="17"/>
      </w:numPr>
      <w:spacing w:after="280"/>
      <w:outlineLvl w:val="0"/>
    </w:pPr>
    <w:rPr>
      <w:rFonts w:cs="Arial"/>
      <w:b/>
      <w:bCs/>
      <w:caps/>
      <w:kern w:val="32"/>
      <w:szCs w:val="32"/>
    </w:rPr>
  </w:style>
  <w:style w:type="paragraph" w:styleId="Heading2">
    <w:name w:val="heading 2"/>
    <w:basedOn w:val="Heading1"/>
    <w:next w:val="Normal"/>
    <w:link w:val="Heading2Char"/>
    <w:uiPriority w:val="99"/>
    <w:qFormat/>
    <w:rsid w:val="003E68CB"/>
    <w:pPr>
      <w:numPr>
        <w:ilvl w:val="1"/>
      </w:numPr>
      <w:outlineLvl w:val="1"/>
    </w:pPr>
    <w:rPr>
      <w:bCs w:val="0"/>
      <w:iCs/>
      <w:caps w:val="0"/>
      <w:szCs w:val="28"/>
    </w:rPr>
  </w:style>
  <w:style w:type="paragraph" w:styleId="Heading3">
    <w:name w:val="heading 3"/>
    <w:basedOn w:val="Heading2"/>
    <w:next w:val="Normal"/>
    <w:link w:val="Heading3Char"/>
    <w:uiPriority w:val="99"/>
    <w:qFormat/>
    <w:rsid w:val="003E68CB"/>
    <w:pPr>
      <w:keepNext/>
      <w:numPr>
        <w:ilvl w:val="2"/>
      </w:numPr>
      <w:spacing w:after="140"/>
      <w:outlineLvl w:val="2"/>
    </w:pPr>
    <w:rPr>
      <w:b w:val="0"/>
      <w:bCs/>
      <w:i/>
    </w:rPr>
  </w:style>
  <w:style w:type="paragraph" w:styleId="Heading4">
    <w:name w:val="heading 4"/>
    <w:basedOn w:val="Normal"/>
    <w:next w:val="Normal"/>
    <w:link w:val="Heading4Char"/>
    <w:uiPriority w:val="99"/>
    <w:qFormat/>
    <w:rsid w:val="003E68CB"/>
    <w:pPr>
      <w:keepLines/>
      <w:numPr>
        <w:ilvl w:val="3"/>
        <w:numId w:val="17"/>
      </w:numPr>
      <w:spacing w:after="140"/>
      <w:outlineLvl w:val="3"/>
    </w:pPr>
    <w:rPr>
      <w:bCs/>
      <w:szCs w:val="28"/>
    </w:rPr>
  </w:style>
  <w:style w:type="paragraph" w:styleId="Heading5">
    <w:name w:val="heading 5"/>
    <w:basedOn w:val="Normal"/>
    <w:next w:val="Normal"/>
    <w:link w:val="Heading5Char"/>
    <w:uiPriority w:val="99"/>
    <w:qFormat/>
    <w:rsid w:val="0099266C"/>
    <w:pPr>
      <w:keepNext/>
      <w:keepLines/>
      <w:numPr>
        <w:ilvl w:val="4"/>
        <w:numId w:val="17"/>
      </w:numPr>
      <w:spacing w:before="200"/>
      <w:outlineLvl w:val="4"/>
    </w:pPr>
    <w:rPr>
      <w:color w:val="243F60"/>
    </w:rPr>
  </w:style>
  <w:style w:type="paragraph" w:styleId="Heading6">
    <w:name w:val="heading 6"/>
    <w:basedOn w:val="Normal"/>
    <w:next w:val="Normal"/>
    <w:link w:val="Heading6Char"/>
    <w:uiPriority w:val="99"/>
    <w:qFormat/>
    <w:rsid w:val="00054E5F"/>
    <w:pPr>
      <w:keepNext/>
      <w:keepLines/>
      <w:numPr>
        <w:ilvl w:val="5"/>
        <w:numId w:val="17"/>
      </w:numPr>
      <w:spacing w:before="200"/>
      <w:outlineLvl w:val="5"/>
    </w:pPr>
    <w:rPr>
      <w:i/>
      <w:iCs/>
      <w:color w:val="243F60"/>
    </w:rPr>
  </w:style>
  <w:style w:type="paragraph" w:styleId="Heading7">
    <w:name w:val="heading 7"/>
    <w:basedOn w:val="Normal"/>
    <w:next w:val="Normal"/>
    <w:link w:val="Heading7Char"/>
    <w:uiPriority w:val="99"/>
    <w:qFormat/>
    <w:rsid w:val="00054E5F"/>
    <w:pPr>
      <w:keepNext/>
      <w:keepLines/>
      <w:numPr>
        <w:ilvl w:val="6"/>
        <w:numId w:val="17"/>
      </w:numPr>
      <w:spacing w:before="200"/>
      <w:outlineLvl w:val="6"/>
    </w:pPr>
    <w:rPr>
      <w:i/>
      <w:iCs/>
      <w:color w:val="404040"/>
    </w:rPr>
  </w:style>
  <w:style w:type="paragraph" w:styleId="Heading8">
    <w:name w:val="heading 8"/>
    <w:basedOn w:val="Normal"/>
    <w:next w:val="Normal"/>
    <w:link w:val="Heading8Char"/>
    <w:uiPriority w:val="99"/>
    <w:qFormat/>
    <w:rsid w:val="00054E5F"/>
    <w:pPr>
      <w:keepNext/>
      <w:keepLines/>
      <w:numPr>
        <w:ilvl w:val="7"/>
        <w:numId w:val="17"/>
      </w:numPr>
      <w:spacing w:before="200"/>
      <w:outlineLvl w:val="7"/>
    </w:pPr>
    <w:rPr>
      <w:color w:val="404040"/>
      <w:sz w:val="20"/>
      <w:szCs w:val="20"/>
    </w:rPr>
  </w:style>
  <w:style w:type="paragraph" w:styleId="Heading9">
    <w:name w:val="heading 9"/>
    <w:basedOn w:val="Normal"/>
    <w:next w:val="Normal"/>
    <w:link w:val="Heading9Char"/>
    <w:uiPriority w:val="99"/>
    <w:qFormat/>
    <w:rsid w:val="00054E5F"/>
    <w:pPr>
      <w:keepNext/>
      <w:keepLines/>
      <w:numPr>
        <w:ilvl w:val="8"/>
        <w:numId w:val="17"/>
      </w:numPr>
      <w:spacing w:before="200"/>
      <w:outlineLvl w:val="8"/>
    </w:pPr>
    <w:rPr>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8CB"/>
    <w:rPr>
      <w:rFonts w:eastAsia="Times New Roman" w:cs="Arial"/>
      <w:b/>
      <w:bCs/>
      <w:caps/>
      <w:kern w:val="32"/>
      <w:sz w:val="32"/>
      <w:szCs w:val="32"/>
      <w:lang w:val="nl-NL" w:eastAsia="en-US" w:bidi="ar-SA"/>
    </w:rPr>
  </w:style>
  <w:style w:type="character" w:customStyle="1" w:styleId="Heading2Char">
    <w:name w:val="Heading 2 Char"/>
    <w:basedOn w:val="DefaultParagraphFont"/>
    <w:link w:val="Heading2"/>
    <w:uiPriority w:val="99"/>
    <w:locked/>
    <w:rsid w:val="003E68CB"/>
    <w:rPr>
      <w:rFonts w:eastAsia="Times New Roman" w:cs="Arial"/>
      <w:b/>
      <w:iCs/>
      <w:kern w:val="32"/>
      <w:sz w:val="28"/>
      <w:szCs w:val="28"/>
    </w:rPr>
  </w:style>
  <w:style w:type="character" w:customStyle="1" w:styleId="Heading3Char">
    <w:name w:val="Heading 3 Char"/>
    <w:basedOn w:val="DefaultParagraphFont"/>
    <w:link w:val="Heading3"/>
    <w:uiPriority w:val="99"/>
    <w:locked/>
    <w:rsid w:val="001E7C73"/>
    <w:rPr>
      <w:rFonts w:eastAsia="Times New Roman" w:cs="Arial"/>
      <w:bCs/>
      <w:i/>
      <w:iCs/>
      <w:kern w:val="32"/>
      <w:sz w:val="28"/>
      <w:szCs w:val="28"/>
    </w:rPr>
  </w:style>
  <w:style w:type="character" w:customStyle="1" w:styleId="Heading4Char">
    <w:name w:val="Heading 4 Char"/>
    <w:basedOn w:val="DefaultParagraphFont"/>
    <w:link w:val="Heading4"/>
    <w:uiPriority w:val="99"/>
    <w:locked/>
    <w:rsid w:val="001E7C73"/>
    <w:rPr>
      <w:rFonts w:eastAsia="Times New Roman" w:cs="Times New Roman"/>
      <w:bCs/>
      <w:sz w:val="28"/>
      <w:szCs w:val="28"/>
    </w:rPr>
  </w:style>
  <w:style w:type="character" w:customStyle="1" w:styleId="Heading5Char">
    <w:name w:val="Heading 5 Char"/>
    <w:basedOn w:val="DefaultParagraphFont"/>
    <w:link w:val="Heading5"/>
    <w:uiPriority w:val="99"/>
    <w:semiHidden/>
    <w:locked/>
    <w:rsid w:val="001E7C73"/>
    <w:rPr>
      <w:rFonts w:ascii="Times New Roman" w:hAnsi="Times New Roman" w:cs="Times New Roman"/>
      <w:color w:val="243F60"/>
      <w:sz w:val="24"/>
      <w:szCs w:val="24"/>
    </w:rPr>
  </w:style>
  <w:style w:type="character" w:customStyle="1" w:styleId="Heading6Char">
    <w:name w:val="Heading 6 Char"/>
    <w:basedOn w:val="DefaultParagraphFont"/>
    <w:link w:val="Heading6"/>
    <w:uiPriority w:val="99"/>
    <w:semiHidden/>
    <w:locked/>
    <w:rsid w:val="00054E5F"/>
    <w:rPr>
      <w:rFonts w:ascii="Times New Roman" w:hAnsi="Times New Roman" w:cs="Times New Roman"/>
      <w:i/>
      <w:iCs/>
      <w:color w:val="243F60"/>
      <w:sz w:val="24"/>
      <w:szCs w:val="24"/>
    </w:rPr>
  </w:style>
  <w:style w:type="character" w:customStyle="1" w:styleId="Heading7Char">
    <w:name w:val="Heading 7 Char"/>
    <w:basedOn w:val="DefaultParagraphFont"/>
    <w:link w:val="Heading7"/>
    <w:uiPriority w:val="99"/>
    <w:semiHidden/>
    <w:locked/>
    <w:rsid w:val="00054E5F"/>
    <w:rPr>
      <w:rFonts w:ascii="Times New Roman" w:hAnsi="Times New Roman" w:cs="Times New Roman"/>
      <w:i/>
      <w:iCs/>
      <w:color w:val="404040"/>
      <w:sz w:val="24"/>
      <w:szCs w:val="24"/>
    </w:rPr>
  </w:style>
  <w:style w:type="character" w:customStyle="1" w:styleId="Heading8Char">
    <w:name w:val="Heading 8 Char"/>
    <w:basedOn w:val="DefaultParagraphFont"/>
    <w:link w:val="Heading8"/>
    <w:uiPriority w:val="99"/>
    <w:semiHidden/>
    <w:locked/>
    <w:rsid w:val="00054E5F"/>
    <w:rPr>
      <w:rFonts w:ascii="Times New Roman" w:hAnsi="Times New Roman" w:cs="Times New Roman"/>
      <w:color w:val="404040"/>
    </w:rPr>
  </w:style>
  <w:style w:type="character" w:customStyle="1" w:styleId="Heading9Char">
    <w:name w:val="Heading 9 Char"/>
    <w:basedOn w:val="DefaultParagraphFont"/>
    <w:link w:val="Heading9"/>
    <w:uiPriority w:val="99"/>
    <w:semiHidden/>
    <w:locked/>
    <w:rsid w:val="00054E5F"/>
    <w:rPr>
      <w:rFonts w:ascii="Times New Roman" w:hAnsi="Times New Roman" w:cs="Times New Roman"/>
      <w:i/>
      <w:iCs/>
      <w:color w:val="404040"/>
    </w:rPr>
  </w:style>
  <w:style w:type="paragraph" w:styleId="NoSpacing">
    <w:name w:val="No Spacing"/>
    <w:uiPriority w:val="99"/>
    <w:qFormat/>
    <w:rsid w:val="004E4842"/>
    <w:pPr>
      <w:contextualSpacing/>
    </w:pPr>
    <w:rPr>
      <w:sz w:val="20"/>
      <w:szCs w:val="20"/>
      <w:lang w:eastAsia="en-US"/>
    </w:rPr>
  </w:style>
  <w:style w:type="paragraph" w:styleId="Title">
    <w:name w:val="Title"/>
    <w:basedOn w:val="Normal"/>
    <w:next w:val="Normal"/>
    <w:link w:val="TitleChar"/>
    <w:uiPriority w:val="99"/>
    <w:qFormat/>
    <w:rsid w:val="0099266C"/>
    <w:pPr>
      <w:pBdr>
        <w:bottom w:val="single" w:sz="8" w:space="4" w:color="4F81BD"/>
      </w:pBdr>
      <w:spacing w:after="300" w:line="240" w:lineRule="auto"/>
    </w:pPr>
    <w:rPr>
      <w:color w:val="17365D"/>
      <w:spacing w:val="5"/>
      <w:kern w:val="28"/>
      <w:sz w:val="52"/>
      <w:szCs w:val="52"/>
    </w:rPr>
  </w:style>
  <w:style w:type="character" w:customStyle="1" w:styleId="TitleChar">
    <w:name w:val="Title Char"/>
    <w:basedOn w:val="DefaultParagraphFont"/>
    <w:link w:val="Title"/>
    <w:uiPriority w:val="99"/>
    <w:semiHidden/>
    <w:locked/>
    <w:rsid w:val="001E7C73"/>
    <w:rPr>
      <w:rFonts w:ascii="Times New Roman" w:hAnsi="Times New Roman" w:cs="Times New Roman"/>
      <w:color w:val="17365D"/>
      <w:spacing w:val="5"/>
      <w:kern w:val="28"/>
      <w:sz w:val="52"/>
      <w:szCs w:val="52"/>
    </w:rPr>
  </w:style>
  <w:style w:type="character" w:styleId="SubtleEmphasis">
    <w:name w:val="Subtle Emphasis"/>
    <w:basedOn w:val="DefaultParagraphFont"/>
    <w:uiPriority w:val="99"/>
    <w:qFormat/>
    <w:rsid w:val="0099266C"/>
    <w:rPr>
      <w:rFonts w:cs="Times New Roman"/>
      <w:i/>
      <w:iCs/>
      <w:color w:val="808080"/>
    </w:rPr>
  </w:style>
  <w:style w:type="paragraph" w:customStyle="1" w:styleId="Regelafstand15">
    <w:name w:val="Regelafstand 1.5"/>
    <w:basedOn w:val="Normal"/>
    <w:uiPriority w:val="99"/>
    <w:rsid w:val="0006424E"/>
    <w:pPr>
      <w:spacing w:line="360" w:lineRule="auto"/>
    </w:pPr>
  </w:style>
  <w:style w:type="paragraph" w:styleId="ListParagraph">
    <w:name w:val="List Paragraph"/>
    <w:basedOn w:val="Normal"/>
    <w:uiPriority w:val="99"/>
    <w:qFormat/>
    <w:rsid w:val="00414DD3"/>
    <w:pPr>
      <w:ind w:left="720"/>
    </w:pPr>
  </w:style>
  <w:style w:type="paragraph" w:styleId="ListBullet2">
    <w:name w:val="List Bullet 2"/>
    <w:basedOn w:val="Normal"/>
    <w:uiPriority w:val="99"/>
    <w:semiHidden/>
    <w:rsid w:val="00997BD8"/>
    <w:pPr>
      <w:numPr>
        <w:numId w:val="8"/>
      </w:numPr>
      <w:tabs>
        <w:tab w:val="num" w:pos="643"/>
      </w:tabs>
      <w:ind w:left="643"/>
    </w:pPr>
  </w:style>
  <w:style w:type="paragraph" w:customStyle="1" w:styleId="lijstnr">
    <w:name w:val="lijst nr"/>
    <w:basedOn w:val="Normal"/>
    <w:uiPriority w:val="99"/>
    <w:rsid w:val="003E68CB"/>
    <w:pPr>
      <w:numPr>
        <w:numId w:val="18"/>
      </w:numPr>
      <w:tabs>
        <w:tab w:val="clear" w:pos="720"/>
      </w:tabs>
      <w:ind w:left="360" w:hanging="360"/>
    </w:pPr>
  </w:style>
  <w:style w:type="paragraph" w:customStyle="1" w:styleId="Lijstabc">
    <w:name w:val="Lijst abc"/>
    <w:basedOn w:val="Normal"/>
    <w:uiPriority w:val="99"/>
    <w:rsid w:val="003E68CB"/>
    <w:pPr>
      <w:numPr>
        <w:numId w:val="19"/>
      </w:numPr>
      <w:tabs>
        <w:tab w:val="clear" w:pos="720"/>
      </w:tabs>
      <w:ind w:left="360" w:hanging="360"/>
    </w:pPr>
  </w:style>
  <w:style w:type="paragraph" w:customStyle="1" w:styleId="Lijstopsom">
    <w:name w:val="Lijst opsom"/>
    <w:basedOn w:val="Normal"/>
    <w:uiPriority w:val="99"/>
    <w:rsid w:val="003E68CB"/>
    <w:pPr>
      <w:numPr>
        <w:numId w:val="20"/>
      </w:numPr>
    </w:pPr>
  </w:style>
  <w:style w:type="character" w:styleId="CommentReference">
    <w:name w:val="annotation reference"/>
    <w:basedOn w:val="DefaultParagraphFont"/>
    <w:uiPriority w:val="99"/>
    <w:semiHidden/>
    <w:rsid w:val="007A7D42"/>
    <w:rPr>
      <w:rFonts w:cs="Times New Roman"/>
      <w:sz w:val="16"/>
      <w:szCs w:val="16"/>
    </w:rPr>
  </w:style>
  <w:style w:type="paragraph" w:styleId="CommentText">
    <w:name w:val="annotation text"/>
    <w:basedOn w:val="Normal"/>
    <w:link w:val="CommentTextChar"/>
    <w:uiPriority w:val="99"/>
    <w:semiHidden/>
    <w:rsid w:val="007A7D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7D42"/>
    <w:rPr>
      <w:rFonts w:cs="Times New Roman"/>
    </w:rPr>
  </w:style>
  <w:style w:type="paragraph" w:styleId="CommentSubject">
    <w:name w:val="annotation subject"/>
    <w:basedOn w:val="CommentText"/>
    <w:next w:val="CommentText"/>
    <w:link w:val="CommentSubjectChar"/>
    <w:uiPriority w:val="99"/>
    <w:semiHidden/>
    <w:rsid w:val="007A7D42"/>
    <w:rPr>
      <w:b/>
      <w:bCs/>
    </w:rPr>
  </w:style>
  <w:style w:type="character" w:customStyle="1" w:styleId="CommentSubjectChar">
    <w:name w:val="Comment Subject Char"/>
    <w:basedOn w:val="CommentTextChar"/>
    <w:link w:val="CommentSubject"/>
    <w:uiPriority w:val="99"/>
    <w:semiHidden/>
    <w:locked/>
    <w:rsid w:val="007A7D42"/>
    <w:rPr>
      <w:b/>
      <w:bCs/>
    </w:rPr>
  </w:style>
  <w:style w:type="paragraph" w:styleId="BalloonText">
    <w:name w:val="Balloon Text"/>
    <w:basedOn w:val="Normal"/>
    <w:link w:val="BalloonTextChar"/>
    <w:uiPriority w:val="99"/>
    <w:semiHidden/>
    <w:rsid w:val="007A7D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1265</ap:Words>
  <ap:Characters>6959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2012-11-22T14:16:00.0000000Z</lastPrinted>
  <dcterms:created xsi:type="dcterms:W3CDTF">2012-11-30T14:15:00.0000000Z</dcterms:created>
  <dcterms:modified xsi:type="dcterms:W3CDTF">2012-11-30T14:15:00.0000000Z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0x010100C24FD566F3B8E541916DCC73DDFF4F22</vt:lpwstr>
  </property>
</Properties>
</file>