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4531F5" w:rsidR="00FB1B22" w:rsidP="00B84092" w:rsidRDefault="00FB1B22">
      <w:pPr>
        <w:rPr>
          <w:rFonts w:ascii="Verdana" w:hAnsi="Verdana"/>
          <w:b/>
          <w:sz w:val="20"/>
          <w:szCs w:val="20"/>
        </w:rPr>
      </w:pPr>
      <w:r w:rsidRPr="004531F5">
        <w:rPr>
          <w:rFonts w:ascii="Verdana" w:hAnsi="Verdana"/>
          <w:b/>
          <w:sz w:val="20"/>
          <w:szCs w:val="20"/>
        </w:rPr>
        <w:t xml:space="preserve">Appreciatie </w:t>
      </w:r>
      <w:r w:rsidRPr="004531F5" w:rsidR="003352C8">
        <w:rPr>
          <w:rFonts w:ascii="Verdana" w:hAnsi="Verdana"/>
          <w:b/>
          <w:sz w:val="20"/>
          <w:szCs w:val="20"/>
        </w:rPr>
        <w:t xml:space="preserve">KPMG </w:t>
      </w:r>
      <w:r w:rsidRPr="004531F5">
        <w:rPr>
          <w:rFonts w:ascii="Verdana" w:hAnsi="Verdana"/>
          <w:b/>
          <w:sz w:val="20"/>
          <w:szCs w:val="20"/>
        </w:rPr>
        <w:t xml:space="preserve">rapport “Stapeling </w:t>
      </w:r>
      <w:r w:rsidR="00B22011">
        <w:rPr>
          <w:rFonts w:ascii="Verdana" w:hAnsi="Verdana"/>
          <w:b/>
          <w:sz w:val="20"/>
          <w:szCs w:val="20"/>
        </w:rPr>
        <w:t>R</w:t>
      </w:r>
      <w:r w:rsidRPr="004531F5">
        <w:rPr>
          <w:rFonts w:ascii="Verdana" w:hAnsi="Verdana"/>
          <w:b/>
          <w:sz w:val="20"/>
          <w:szCs w:val="20"/>
        </w:rPr>
        <w:t>egelgeving”</w:t>
      </w:r>
    </w:p>
    <w:p w:rsidRPr="004531F5" w:rsidR="00F50720" w:rsidP="00F50720" w:rsidRDefault="00FB1B22">
      <w:pPr>
        <w:rPr>
          <w:rFonts w:ascii="Verdana" w:hAnsi="Verdana"/>
          <w:sz w:val="20"/>
          <w:szCs w:val="20"/>
        </w:rPr>
      </w:pPr>
      <w:r w:rsidRPr="004531F5">
        <w:rPr>
          <w:rFonts w:ascii="Verdana" w:hAnsi="Verdana"/>
          <w:sz w:val="20"/>
          <w:szCs w:val="20"/>
        </w:rPr>
        <w:t xml:space="preserve">Het rapport </w:t>
      </w:r>
      <w:r w:rsidRPr="004531F5" w:rsidR="005637B2">
        <w:rPr>
          <w:rFonts w:ascii="Verdana" w:hAnsi="Verdana"/>
          <w:sz w:val="20"/>
          <w:szCs w:val="20"/>
        </w:rPr>
        <w:t xml:space="preserve">“Stapeling van regelgeving” (“het rapport”) </w:t>
      </w:r>
      <w:r w:rsidRPr="004531F5" w:rsidR="00F50720">
        <w:rPr>
          <w:rFonts w:ascii="Verdana" w:hAnsi="Verdana"/>
          <w:sz w:val="20"/>
          <w:szCs w:val="20"/>
        </w:rPr>
        <w:t xml:space="preserve">analyseert de impact van nieuwe regelgeving </w:t>
      </w:r>
      <w:r w:rsidRPr="004531F5" w:rsidR="00B80A10">
        <w:rPr>
          <w:rFonts w:ascii="Verdana" w:hAnsi="Verdana"/>
          <w:sz w:val="20"/>
          <w:szCs w:val="20"/>
        </w:rPr>
        <w:t>op</w:t>
      </w:r>
      <w:r w:rsidRPr="004531F5" w:rsidR="00F50720">
        <w:rPr>
          <w:rFonts w:ascii="Verdana" w:hAnsi="Verdana"/>
          <w:sz w:val="20"/>
          <w:szCs w:val="20"/>
        </w:rPr>
        <w:t xml:space="preserve"> het bancaire bedrijfsmodel en </w:t>
      </w:r>
      <w:r w:rsidRPr="004531F5" w:rsidR="00991FB5">
        <w:rPr>
          <w:rFonts w:ascii="Verdana" w:hAnsi="Verdana"/>
          <w:sz w:val="20"/>
          <w:szCs w:val="20"/>
        </w:rPr>
        <w:t xml:space="preserve">de bancaire </w:t>
      </w:r>
      <w:r w:rsidRPr="004531F5" w:rsidR="00F50720">
        <w:rPr>
          <w:rFonts w:ascii="Verdana" w:hAnsi="Verdana"/>
          <w:sz w:val="20"/>
          <w:szCs w:val="20"/>
        </w:rPr>
        <w:t>dienstverlening</w:t>
      </w:r>
      <w:r w:rsidRPr="004531F5">
        <w:rPr>
          <w:rFonts w:ascii="Verdana" w:hAnsi="Verdana"/>
          <w:sz w:val="20"/>
          <w:szCs w:val="20"/>
        </w:rPr>
        <w:t>.</w:t>
      </w:r>
      <w:r w:rsidRPr="004531F5" w:rsidR="00137BB9">
        <w:rPr>
          <w:rFonts w:ascii="Verdana" w:hAnsi="Verdana"/>
          <w:sz w:val="20"/>
          <w:szCs w:val="20"/>
        </w:rPr>
        <w:t xml:space="preserve"> </w:t>
      </w:r>
      <w:r w:rsidRPr="004531F5" w:rsidR="00F4573F">
        <w:rPr>
          <w:rFonts w:ascii="Verdana" w:hAnsi="Verdana"/>
          <w:sz w:val="20"/>
          <w:szCs w:val="20"/>
        </w:rPr>
        <w:t>Het onderzoek is in nauw overleg met de Nederlandse bancaire sector tot stand gekomen en identificeert in totaal 38 maatregelen.</w:t>
      </w:r>
      <w:r w:rsidRPr="004531F5" w:rsidR="00155175">
        <w:rPr>
          <w:rFonts w:ascii="Verdana" w:hAnsi="Verdana"/>
          <w:sz w:val="20"/>
          <w:szCs w:val="20"/>
        </w:rPr>
        <w:t xml:space="preserve"> </w:t>
      </w:r>
      <w:r w:rsidRPr="004531F5" w:rsidR="00F50720">
        <w:rPr>
          <w:rFonts w:ascii="Verdana" w:hAnsi="Verdana"/>
          <w:sz w:val="20"/>
          <w:szCs w:val="20"/>
        </w:rPr>
        <w:t xml:space="preserve">Ik zal kort de bevindingen van het rapport schetsen. </w:t>
      </w:r>
      <w:r w:rsidRPr="004531F5" w:rsidR="00ED6866">
        <w:rPr>
          <w:rFonts w:ascii="Verdana" w:hAnsi="Verdana"/>
          <w:sz w:val="20"/>
          <w:szCs w:val="20"/>
        </w:rPr>
        <w:t xml:space="preserve">Vervolgens zal ik deze bevindingen </w:t>
      </w:r>
      <w:r w:rsidRPr="004531F5" w:rsidR="005B7285">
        <w:rPr>
          <w:rFonts w:ascii="Verdana" w:hAnsi="Verdana"/>
          <w:sz w:val="20"/>
          <w:szCs w:val="20"/>
        </w:rPr>
        <w:t xml:space="preserve">en de onderliggende aannames </w:t>
      </w:r>
      <w:r w:rsidRPr="004531F5" w:rsidR="00ED6866">
        <w:rPr>
          <w:rFonts w:ascii="Verdana" w:hAnsi="Verdana"/>
          <w:sz w:val="20"/>
          <w:szCs w:val="20"/>
        </w:rPr>
        <w:t xml:space="preserve">duiden in de context van het </w:t>
      </w:r>
      <w:r w:rsidRPr="004531F5" w:rsidR="00F50720">
        <w:rPr>
          <w:rFonts w:ascii="Verdana" w:hAnsi="Verdana"/>
          <w:sz w:val="20"/>
          <w:szCs w:val="20"/>
        </w:rPr>
        <w:t xml:space="preserve">Nederlandse en Europese beleidsdebat. </w:t>
      </w:r>
    </w:p>
    <w:p w:rsidRPr="004531F5" w:rsidR="00F50720" w:rsidP="00B84092" w:rsidRDefault="00F50720">
      <w:pPr>
        <w:rPr>
          <w:rFonts w:ascii="Verdana" w:hAnsi="Verdana"/>
          <w:sz w:val="20"/>
          <w:szCs w:val="20"/>
        </w:rPr>
      </w:pPr>
    </w:p>
    <w:p w:rsidRPr="004531F5" w:rsidR="00F50720" w:rsidP="00B84092" w:rsidRDefault="00F50720">
      <w:pPr>
        <w:rPr>
          <w:rFonts w:ascii="Verdana" w:hAnsi="Verdana"/>
          <w:i/>
          <w:sz w:val="20"/>
          <w:szCs w:val="20"/>
        </w:rPr>
      </w:pPr>
      <w:r w:rsidRPr="004531F5">
        <w:rPr>
          <w:rFonts w:ascii="Verdana" w:hAnsi="Verdana"/>
          <w:i/>
          <w:sz w:val="20"/>
          <w:szCs w:val="20"/>
        </w:rPr>
        <w:t>Bevindingen rapport “Stapeling regelgeving”</w:t>
      </w:r>
    </w:p>
    <w:p w:rsidRPr="004531F5" w:rsidR="00436756" w:rsidP="00B84092" w:rsidRDefault="00436756">
      <w:pPr>
        <w:rPr>
          <w:rFonts w:ascii="Verdana" w:hAnsi="Verdana"/>
          <w:sz w:val="20"/>
          <w:szCs w:val="20"/>
        </w:rPr>
      </w:pPr>
      <w:r w:rsidRPr="004531F5">
        <w:rPr>
          <w:rFonts w:ascii="Verdana" w:hAnsi="Verdana"/>
          <w:sz w:val="20"/>
          <w:szCs w:val="20"/>
        </w:rPr>
        <w:t xml:space="preserve">Het rapport bevat zowel een kwantitatieve als een kwalitatieve analyse van de effecten van de </w:t>
      </w:r>
      <w:r w:rsidRPr="004531F5" w:rsidR="00991FB5">
        <w:rPr>
          <w:rFonts w:ascii="Verdana" w:hAnsi="Verdana"/>
          <w:sz w:val="20"/>
          <w:szCs w:val="20"/>
        </w:rPr>
        <w:t xml:space="preserve">nieuwe </w:t>
      </w:r>
      <w:r w:rsidRPr="004531F5">
        <w:rPr>
          <w:rFonts w:ascii="Verdana" w:hAnsi="Verdana"/>
          <w:sz w:val="20"/>
          <w:szCs w:val="20"/>
        </w:rPr>
        <w:t xml:space="preserve">maatregelen. </w:t>
      </w:r>
    </w:p>
    <w:p w:rsidRPr="004531F5" w:rsidR="00912CB9" w:rsidP="00F4573F" w:rsidRDefault="00912CB9">
      <w:pPr>
        <w:rPr>
          <w:rFonts w:ascii="Verdana" w:hAnsi="Verdana"/>
          <w:sz w:val="20"/>
          <w:szCs w:val="20"/>
        </w:rPr>
      </w:pPr>
    </w:p>
    <w:p w:rsidRPr="004531F5" w:rsidR="00912CB9" w:rsidP="00F4573F" w:rsidRDefault="00CD54A0">
      <w:pPr>
        <w:rPr>
          <w:rFonts w:ascii="Verdana" w:hAnsi="Verdana"/>
          <w:sz w:val="20"/>
          <w:szCs w:val="20"/>
        </w:rPr>
      </w:pPr>
      <w:r w:rsidRPr="004531F5">
        <w:rPr>
          <w:rFonts w:ascii="Verdana" w:hAnsi="Verdana"/>
          <w:sz w:val="20"/>
          <w:szCs w:val="20"/>
        </w:rPr>
        <w:t xml:space="preserve">In het </w:t>
      </w:r>
      <w:r w:rsidRPr="004531F5" w:rsidR="00451C17">
        <w:rPr>
          <w:rFonts w:ascii="Verdana" w:hAnsi="Verdana"/>
          <w:i/>
          <w:sz w:val="20"/>
          <w:szCs w:val="20"/>
        </w:rPr>
        <w:t>kwantitatieve</w:t>
      </w:r>
      <w:r w:rsidRPr="004531F5">
        <w:rPr>
          <w:rFonts w:ascii="Verdana" w:hAnsi="Verdana"/>
          <w:sz w:val="20"/>
          <w:szCs w:val="20"/>
        </w:rPr>
        <w:t xml:space="preserve"> deel wordt een schatting gemaakt van de effecten op de balans en het bedrijfsmodel van de Nederlandse bancaire sector </w:t>
      </w:r>
      <w:r w:rsidRPr="004531F5" w:rsidR="00F4573F">
        <w:rPr>
          <w:rFonts w:ascii="Verdana" w:hAnsi="Verdana"/>
          <w:sz w:val="20"/>
          <w:szCs w:val="20"/>
        </w:rPr>
        <w:t xml:space="preserve">als geheel van vier belangrijke maatregelen. Deze vier maatregelen zijn </w:t>
      </w:r>
      <w:r w:rsidRPr="004531F5">
        <w:rPr>
          <w:rFonts w:ascii="Verdana" w:hAnsi="Verdana"/>
          <w:sz w:val="20"/>
          <w:szCs w:val="20"/>
        </w:rPr>
        <w:t xml:space="preserve">het voldoen aan de Basel </w:t>
      </w:r>
      <w:r w:rsidRPr="004531F5" w:rsidR="00130F88">
        <w:rPr>
          <w:rFonts w:ascii="Verdana" w:hAnsi="Verdana"/>
          <w:sz w:val="20"/>
          <w:szCs w:val="20"/>
        </w:rPr>
        <w:t>III</w:t>
      </w:r>
      <w:r w:rsidRPr="004531F5">
        <w:rPr>
          <w:rFonts w:ascii="Verdana" w:hAnsi="Verdana"/>
          <w:sz w:val="20"/>
          <w:szCs w:val="20"/>
        </w:rPr>
        <w:t xml:space="preserve"> afspraken</w:t>
      </w:r>
      <w:r w:rsidRPr="004531F5" w:rsidR="00F4573F">
        <w:rPr>
          <w:rFonts w:ascii="Verdana" w:hAnsi="Verdana"/>
          <w:sz w:val="20"/>
          <w:szCs w:val="20"/>
        </w:rPr>
        <w:t>, de introductie</w:t>
      </w:r>
      <w:r w:rsidRPr="004531F5">
        <w:rPr>
          <w:rFonts w:ascii="Verdana" w:hAnsi="Verdana"/>
          <w:sz w:val="20"/>
          <w:szCs w:val="20"/>
        </w:rPr>
        <w:t xml:space="preserve"> van </w:t>
      </w:r>
      <w:r w:rsidRPr="004531F5" w:rsidR="00F4573F">
        <w:rPr>
          <w:rFonts w:ascii="Verdana" w:hAnsi="Verdana"/>
          <w:sz w:val="20"/>
          <w:szCs w:val="20"/>
        </w:rPr>
        <w:t xml:space="preserve">een </w:t>
      </w:r>
      <w:r w:rsidRPr="004531F5">
        <w:rPr>
          <w:rFonts w:ascii="Verdana" w:hAnsi="Verdana"/>
          <w:sz w:val="20"/>
          <w:szCs w:val="20"/>
        </w:rPr>
        <w:t xml:space="preserve">ex-ante </w:t>
      </w:r>
      <w:proofErr w:type="spellStart"/>
      <w:r w:rsidRPr="004531F5" w:rsidR="00F4573F">
        <w:rPr>
          <w:rFonts w:ascii="Verdana" w:hAnsi="Verdana"/>
          <w:sz w:val="20"/>
          <w:szCs w:val="20"/>
        </w:rPr>
        <w:t>gefinancieerd</w:t>
      </w:r>
      <w:proofErr w:type="spellEnd"/>
      <w:r w:rsidRPr="004531F5" w:rsidR="000B1C67">
        <w:rPr>
          <w:rFonts w:ascii="Verdana" w:hAnsi="Verdana"/>
          <w:sz w:val="20"/>
          <w:szCs w:val="20"/>
        </w:rPr>
        <w:t xml:space="preserve"> </w:t>
      </w:r>
      <w:proofErr w:type="spellStart"/>
      <w:r w:rsidRPr="004531F5">
        <w:rPr>
          <w:rFonts w:ascii="Verdana" w:hAnsi="Verdana"/>
          <w:sz w:val="20"/>
          <w:szCs w:val="20"/>
        </w:rPr>
        <w:t>depositogarantiestelsel</w:t>
      </w:r>
      <w:proofErr w:type="spellEnd"/>
      <w:r w:rsidRPr="004531F5">
        <w:rPr>
          <w:rFonts w:ascii="Verdana" w:hAnsi="Verdana"/>
          <w:sz w:val="20"/>
          <w:szCs w:val="20"/>
        </w:rPr>
        <w:t xml:space="preserve"> (DGS), de bankenbelasting en </w:t>
      </w:r>
      <w:r w:rsidRPr="004531F5" w:rsidR="00F4573F">
        <w:rPr>
          <w:rFonts w:ascii="Verdana" w:hAnsi="Verdana"/>
          <w:sz w:val="20"/>
          <w:szCs w:val="20"/>
        </w:rPr>
        <w:t xml:space="preserve">de introductie van </w:t>
      </w:r>
      <w:r w:rsidRPr="004531F5" w:rsidR="005F526C">
        <w:rPr>
          <w:rFonts w:ascii="Verdana" w:hAnsi="Verdana"/>
          <w:sz w:val="20"/>
          <w:szCs w:val="20"/>
        </w:rPr>
        <w:t xml:space="preserve">verplicht </w:t>
      </w:r>
      <w:r w:rsidRPr="004531F5">
        <w:rPr>
          <w:rFonts w:ascii="Verdana" w:hAnsi="Verdana"/>
          <w:sz w:val="20"/>
          <w:szCs w:val="20"/>
        </w:rPr>
        <w:t>converteerbare schuld (</w:t>
      </w:r>
      <w:r w:rsidRPr="004531F5" w:rsidR="007F05CD">
        <w:rPr>
          <w:rFonts w:ascii="Verdana" w:hAnsi="Verdana"/>
          <w:sz w:val="20"/>
          <w:szCs w:val="20"/>
        </w:rPr>
        <w:t xml:space="preserve">zogenaamd </w:t>
      </w:r>
      <w:r w:rsidRPr="004531F5">
        <w:rPr>
          <w:rFonts w:ascii="Verdana" w:hAnsi="Verdana"/>
          <w:sz w:val="20"/>
          <w:szCs w:val="20"/>
        </w:rPr>
        <w:t>‘bail-in debt’)</w:t>
      </w:r>
      <w:r w:rsidRPr="004531F5" w:rsidR="008D16CC">
        <w:rPr>
          <w:rFonts w:ascii="Verdana" w:hAnsi="Verdana"/>
          <w:sz w:val="20"/>
          <w:szCs w:val="20"/>
        </w:rPr>
        <w:t>.</w:t>
      </w:r>
      <w:r w:rsidRPr="004531F5">
        <w:rPr>
          <w:rStyle w:val="Voetnootmarkering"/>
          <w:rFonts w:ascii="Verdana" w:hAnsi="Verdana"/>
          <w:sz w:val="20"/>
          <w:szCs w:val="20"/>
        </w:rPr>
        <w:footnoteReference w:id="1"/>
      </w:r>
      <w:r w:rsidRPr="004531F5" w:rsidR="008D16CC">
        <w:rPr>
          <w:rFonts w:ascii="Verdana" w:hAnsi="Verdana"/>
          <w:sz w:val="20"/>
          <w:szCs w:val="20"/>
        </w:rPr>
        <w:t xml:space="preserve"> </w:t>
      </w:r>
      <w:r w:rsidRPr="004531F5" w:rsidR="00F4573F">
        <w:rPr>
          <w:rFonts w:ascii="Verdana" w:hAnsi="Verdana"/>
          <w:sz w:val="20"/>
          <w:szCs w:val="20"/>
        </w:rPr>
        <w:t>De</w:t>
      </w:r>
      <w:r w:rsidRPr="004531F5" w:rsidR="008C6E56">
        <w:rPr>
          <w:rFonts w:ascii="Verdana" w:hAnsi="Verdana"/>
          <w:sz w:val="20"/>
          <w:szCs w:val="20"/>
        </w:rPr>
        <w:t>ze</w:t>
      </w:r>
      <w:r w:rsidRPr="004531F5" w:rsidR="00F4573F">
        <w:rPr>
          <w:rFonts w:ascii="Verdana" w:hAnsi="Verdana"/>
          <w:sz w:val="20"/>
          <w:szCs w:val="20"/>
        </w:rPr>
        <w:t xml:space="preserve"> effecten worden bekeken v</w:t>
      </w:r>
      <w:r w:rsidRPr="004531F5" w:rsidR="007840E4">
        <w:rPr>
          <w:rFonts w:ascii="Verdana" w:hAnsi="Verdana"/>
          <w:sz w:val="20"/>
          <w:szCs w:val="20"/>
        </w:rPr>
        <w:t>anuit</w:t>
      </w:r>
      <w:r w:rsidRPr="004531F5" w:rsidR="00F4573F">
        <w:rPr>
          <w:rFonts w:ascii="Verdana" w:hAnsi="Verdana"/>
          <w:sz w:val="20"/>
          <w:szCs w:val="20"/>
        </w:rPr>
        <w:t xml:space="preserve"> een zogenaamd aanbodmodel. </w:t>
      </w:r>
      <w:r w:rsidRPr="004531F5" w:rsidR="008C6E56">
        <w:rPr>
          <w:rFonts w:ascii="Verdana" w:hAnsi="Verdana"/>
          <w:sz w:val="20"/>
          <w:szCs w:val="20"/>
        </w:rPr>
        <w:t>Dat</w:t>
      </w:r>
      <w:r w:rsidRPr="004531F5" w:rsidR="00F4573F">
        <w:rPr>
          <w:rFonts w:ascii="Verdana" w:hAnsi="Verdana"/>
          <w:sz w:val="20"/>
          <w:szCs w:val="20"/>
        </w:rPr>
        <w:t xml:space="preserve"> is een model waarin geen rekening wordt gehouden met de vraag naar kredieten van klanten of eventuele economische ontwikkelingen, maar enkel wordt gekeken naar de balansruimte voor banken om krediet en andere diensten a</w:t>
      </w:r>
      <w:r w:rsidRPr="004531F5" w:rsidR="008C6E56">
        <w:rPr>
          <w:rFonts w:ascii="Verdana" w:hAnsi="Verdana"/>
          <w:sz w:val="20"/>
          <w:szCs w:val="20"/>
        </w:rPr>
        <w:t xml:space="preserve">an te bieden. </w:t>
      </w:r>
      <w:r w:rsidRPr="004531F5" w:rsidR="007840E4">
        <w:rPr>
          <w:rFonts w:ascii="Verdana" w:hAnsi="Verdana"/>
          <w:sz w:val="20"/>
          <w:szCs w:val="20"/>
        </w:rPr>
        <w:t>De auteurs hebben hierbij, in</w:t>
      </w:r>
      <w:r w:rsidRPr="004531F5" w:rsidR="008C6E56">
        <w:rPr>
          <w:rFonts w:ascii="Verdana" w:hAnsi="Verdana"/>
          <w:sz w:val="20"/>
          <w:szCs w:val="20"/>
        </w:rPr>
        <w:t xml:space="preserve"> overleg met de Nederlandse banken gekeken hoe gecon</w:t>
      </w:r>
      <w:r w:rsidRPr="004531F5" w:rsidR="007840E4">
        <w:rPr>
          <w:rFonts w:ascii="Verdana" w:hAnsi="Verdana"/>
          <w:sz w:val="20"/>
          <w:szCs w:val="20"/>
        </w:rPr>
        <w:t>s</w:t>
      </w:r>
      <w:r w:rsidRPr="004531F5" w:rsidR="008C6E56">
        <w:rPr>
          <w:rFonts w:ascii="Verdana" w:hAnsi="Verdana"/>
          <w:sz w:val="20"/>
          <w:szCs w:val="20"/>
        </w:rPr>
        <w:t>tateerde fricties aan de aanbodzijde waarschijnlijk zouden worden opgelost.</w:t>
      </w:r>
    </w:p>
    <w:p w:rsidRPr="004531F5" w:rsidR="00912CB9" w:rsidP="00F4573F" w:rsidRDefault="00912CB9">
      <w:pPr>
        <w:rPr>
          <w:rFonts w:ascii="Verdana" w:hAnsi="Verdana"/>
          <w:sz w:val="20"/>
          <w:szCs w:val="20"/>
        </w:rPr>
      </w:pPr>
    </w:p>
    <w:p w:rsidRPr="004531F5" w:rsidR="00CD54A0" w:rsidP="00912CB9" w:rsidRDefault="00F4573F">
      <w:pPr>
        <w:rPr>
          <w:rFonts w:ascii="Verdana" w:hAnsi="Verdana"/>
          <w:sz w:val="20"/>
          <w:szCs w:val="20"/>
        </w:rPr>
      </w:pPr>
      <w:r w:rsidRPr="004531F5">
        <w:rPr>
          <w:rFonts w:ascii="Verdana" w:hAnsi="Verdana"/>
          <w:sz w:val="20"/>
          <w:szCs w:val="20"/>
        </w:rPr>
        <w:t>De veronderstellingen en balansmaatregelen betreffen een door de auteurs als “</w:t>
      </w:r>
      <w:r w:rsidRPr="004531F5">
        <w:rPr>
          <w:rFonts w:ascii="Verdana" w:hAnsi="Verdana"/>
          <w:i/>
          <w:sz w:val="20"/>
          <w:szCs w:val="20"/>
        </w:rPr>
        <w:t>meest waarschijnlijk</w:t>
      </w:r>
      <w:r w:rsidRPr="004531F5">
        <w:rPr>
          <w:rFonts w:ascii="Verdana" w:hAnsi="Verdana"/>
          <w:sz w:val="20"/>
          <w:szCs w:val="20"/>
        </w:rPr>
        <w:t xml:space="preserve">” gekenschetst scenario. Het rapport onderkent de onzekerheid waarmee de aannames in dit scenario zijn omgeven en verschaft ook een gevoeligheidsanalyse. </w:t>
      </w:r>
      <w:r w:rsidRPr="004531F5" w:rsidR="00405B7D">
        <w:rPr>
          <w:rFonts w:ascii="Verdana" w:hAnsi="Verdana"/>
          <w:sz w:val="20"/>
          <w:szCs w:val="20"/>
        </w:rPr>
        <w:t>Drie</w:t>
      </w:r>
      <w:r w:rsidRPr="004531F5" w:rsidR="008C6E56">
        <w:rPr>
          <w:rFonts w:ascii="Verdana" w:hAnsi="Verdana"/>
          <w:sz w:val="20"/>
          <w:szCs w:val="20"/>
        </w:rPr>
        <w:t xml:space="preserve"> belangrijke aannames van het geschetste scenario zijn dat de Nederlandse banken</w:t>
      </w:r>
      <w:r w:rsidRPr="004531F5" w:rsidR="00912CB9">
        <w:rPr>
          <w:rFonts w:ascii="Verdana" w:hAnsi="Verdana"/>
          <w:sz w:val="20"/>
          <w:szCs w:val="20"/>
        </w:rPr>
        <w:t xml:space="preserve"> </w:t>
      </w:r>
      <w:r w:rsidRPr="004531F5" w:rsidR="00155175">
        <w:rPr>
          <w:rFonts w:ascii="Verdana" w:hAnsi="Verdana"/>
          <w:sz w:val="20"/>
          <w:szCs w:val="20"/>
        </w:rPr>
        <w:t xml:space="preserve">i) </w:t>
      </w:r>
      <w:r w:rsidRPr="004531F5" w:rsidR="00CD54A0">
        <w:rPr>
          <w:rFonts w:ascii="Verdana" w:hAnsi="Verdana"/>
          <w:sz w:val="20"/>
          <w:szCs w:val="20"/>
        </w:rPr>
        <w:t xml:space="preserve">in 2013 </w:t>
      </w:r>
      <w:r w:rsidRPr="004531F5">
        <w:rPr>
          <w:rFonts w:ascii="Verdana" w:hAnsi="Verdana"/>
          <w:sz w:val="20"/>
          <w:szCs w:val="20"/>
        </w:rPr>
        <w:t xml:space="preserve">reeds </w:t>
      </w:r>
      <w:r w:rsidRPr="004531F5" w:rsidR="00A76E71">
        <w:rPr>
          <w:rFonts w:ascii="Verdana" w:hAnsi="Verdana"/>
          <w:sz w:val="20"/>
          <w:szCs w:val="20"/>
        </w:rPr>
        <w:t>tenminste v</w:t>
      </w:r>
      <w:r w:rsidRPr="004531F5" w:rsidR="00CD54A0">
        <w:rPr>
          <w:rFonts w:ascii="Verdana" w:hAnsi="Verdana"/>
          <w:sz w:val="20"/>
          <w:szCs w:val="20"/>
        </w:rPr>
        <w:t xml:space="preserve">oldoen aan </w:t>
      </w:r>
      <w:r w:rsidRPr="004531F5" w:rsidR="00451C17">
        <w:rPr>
          <w:rFonts w:ascii="Verdana" w:hAnsi="Verdana"/>
          <w:sz w:val="20"/>
          <w:szCs w:val="20"/>
        </w:rPr>
        <w:t>de</w:t>
      </w:r>
      <w:r w:rsidRPr="004531F5">
        <w:rPr>
          <w:rFonts w:ascii="Verdana" w:hAnsi="Verdana"/>
          <w:i/>
          <w:sz w:val="20"/>
          <w:szCs w:val="20"/>
        </w:rPr>
        <w:t xml:space="preserve"> </w:t>
      </w:r>
      <w:r w:rsidRPr="004531F5" w:rsidR="00451C17">
        <w:rPr>
          <w:rFonts w:ascii="Verdana" w:hAnsi="Verdana"/>
          <w:sz w:val="20"/>
          <w:szCs w:val="20"/>
        </w:rPr>
        <w:t>genoemde</w:t>
      </w:r>
      <w:r w:rsidRPr="004531F5">
        <w:rPr>
          <w:rFonts w:ascii="Verdana" w:hAnsi="Verdana"/>
          <w:i/>
          <w:sz w:val="20"/>
          <w:szCs w:val="20"/>
        </w:rPr>
        <w:t xml:space="preserve"> </w:t>
      </w:r>
      <w:r w:rsidRPr="004531F5" w:rsidR="00CD54A0">
        <w:rPr>
          <w:rFonts w:ascii="Verdana" w:hAnsi="Verdana"/>
          <w:sz w:val="20"/>
          <w:szCs w:val="20"/>
        </w:rPr>
        <w:t xml:space="preserve">Basel </w:t>
      </w:r>
      <w:r w:rsidRPr="004531F5" w:rsidR="00130F88">
        <w:rPr>
          <w:rFonts w:ascii="Verdana" w:hAnsi="Verdana"/>
          <w:sz w:val="20"/>
          <w:szCs w:val="20"/>
        </w:rPr>
        <w:t>III</w:t>
      </w:r>
      <w:r w:rsidRPr="004531F5" w:rsidR="00CD54A0">
        <w:rPr>
          <w:rFonts w:ascii="Verdana" w:hAnsi="Verdana"/>
          <w:sz w:val="20"/>
          <w:szCs w:val="20"/>
        </w:rPr>
        <w:t xml:space="preserve"> </w:t>
      </w:r>
      <w:r w:rsidRPr="004531F5" w:rsidR="00A76E71">
        <w:rPr>
          <w:rFonts w:ascii="Verdana" w:hAnsi="Verdana"/>
          <w:sz w:val="20"/>
          <w:szCs w:val="20"/>
        </w:rPr>
        <w:t>minimum</w:t>
      </w:r>
      <w:r w:rsidRPr="004531F5">
        <w:rPr>
          <w:rFonts w:ascii="Verdana" w:hAnsi="Verdana"/>
          <w:sz w:val="20"/>
          <w:szCs w:val="20"/>
        </w:rPr>
        <w:t>eisen</w:t>
      </w:r>
      <w:r w:rsidRPr="004531F5" w:rsidR="00405B7D">
        <w:rPr>
          <w:rFonts w:ascii="Verdana" w:hAnsi="Verdana"/>
          <w:sz w:val="20"/>
          <w:szCs w:val="20"/>
        </w:rPr>
        <w:t xml:space="preserve">, </w:t>
      </w:r>
      <w:proofErr w:type="spellStart"/>
      <w:r w:rsidRPr="004531F5" w:rsidR="007F05CD">
        <w:rPr>
          <w:rFonts w:ascii="Verdana" w:hAnsi="Verdana"/>
          <w:sz w:val="20"/>
          <w:szCs w:val="20"/>
        </w:rPr>
        <w:t>ii</w:t>
      </w:r>
      <w:proofErr w:type="spellEnd"/>
      <w:r w:rsidRPr="004531F5" w:rsidR="007F05CD">
        <w:rPr>
          <w:rFonts w:ascii="Verdana" w:hAnsi="Verdana"/>
          <w:sz w:val="20"/>
          <w:szCs w:val="20"/>
        </w:rPr>
        <w:t>)</w:t>
      </w:r>
      <w:r w:rsidRPr="004531F5" w:rsidR="00CD54A0">
        <w:rPr>
          <w:rFonts w:ascii="Verdana" w:hAnsi="Verdana"/>
          <w:sz w:val="20"/>
          <w:szCs w:val="20"/>
        </w:rPr>
        <w:t xml:space="preserve"> </w:t>
      </w:r>
      <w:r w:rsidRPr="004531F5">
        <w:rPr>
          <w:rFonts w:ascii="Verdana" w:hAnsi="Verdana"/>
          <w:sz w:val="20"/>
          <w:szCs w:val="20"/>
        </w:rPr>
        <w:t xml:space="preserve">in 2015 </w:t>
      </w:r>
      <w:r w:rsidRPr="004531F5" w:rsidR="00CD54A0">
        <w:rPr>
          <w:rFonts w:ascii="Verdana" w:hAnsi="Verdana"/>
          <w:sz w:val="20"/>
          <w:szCs w:val="20"/>
        </w:rPr>
        <w:t>een (volgens de banken door de financiële markten geëist) rendement van 8% op eigen vermogen</w:t>
      </w:r>
      <w:r w:rsidRPr="004531F5" w:rsidR="002430D8">
        <w:rPr>
          <w:rFonts w:ascii="Verdana" w:hAnsi="Verdana"/>
          <w:sz w:val="20"/>
          <w:szCs w:val="20"/>
        </w:rPr>
        <w:t xml:space="preserve"> </w:t>
      </w:r>
      <w:r w:rsidRPr="004531F5" w:rsidR="008C6E56">
        <w:rPr>
          <w:rFonts w:ascii="Verdana" w:hAnsi="Verdana"/>
          <w:sz w:val="20"/>
          <w:szCs w:val="20"/>
        </w:rPr>
        <w:t xml:space="preserve">kunnen </w:t>
      </w:r>
      <w:r w:rsidRPr="004531F5" w:rsidR="002430D8">
        <w:rPr>
          <w:rFonts w:ascii="Verdana" w:hAnsi="Verdana"/>
          <w:sz w:val="20"/>
          <w:szCs w:val="20"/>
        </w:rPr>
        <w:t>realiseren</w:t>
      </w:r>
      <w:r w:rsidRPr="004531F5" w:rsidR="00EC543E">
        <w:rPr>
          <w:rFonts w:ascii="Verdana" w:hAnsi="Verdana"/>
          <w:sz w:val="20"/>
          <w:szCs w:val="20"/>
        </w:rPr>
        <w:t xml:space="preserve"> en </w:t>
      </w:r>
      <w:proofErr w:type="spellStart"/>
      <w:r w:rsidRPr="004531F5" w:rsidR="00EC543E">
        <w:rPr>
          <w:rFonts w:ascii="Verdana" w:hAnsi="Verdana"/>
          <w:sz w:val="20"/>
          <w:szCs w:val="20"/>
        </w:rPr>
        <w:t>iii</w:t>
      </w:r>
      <w:proofErr w:type="spellEnd"/>
      <w:r w:rsidRPr="004531F5" w:rsidR="00EC543E">
        <w:rPr>
          <w:rFonts w:ascii="Verdana" w:hAnsi="Verdana"/>
          <w:sz w:val="20"/>
          <w:szCs w:val="20"/>
        </w:rPr>
        <w:t>) een eenmalige beperking van</w:t>
      </w:r>
      <w:r w:rsidRPr="004531F5" w:rsidR="00405B7D">
        <w:rPr>
          <w:rFonts w:ascii="Verdana" w:hAnsi="Verdana"/>
          <w:sz w:val="20"/>
          <w:szCs w:val="20"/>
        </w:rPr>
        <w:t xml:space="preserve"> de </w:t>
      </w:r>
      <w:proofErr w:type="spellStart"/>
      <w:r w:rsidRPr="004531F5" w:rsidR="00405B7D">
        <w:rPr>
          <w:rFonts w:ascii="Verdana" w:hAnsi="Verdana"/>
          <w:sz w:val="20"/>
          <w:szCs w:val="20"/>
        </w:rPr>
        <w:t>netto-kosten</w:t>
      </w:r>
      <w:proofErr w:type="spellEnd"/>
      <w:r w:rsidRPr="004531F5" w:rsidR="00405B7D">
        <w:rPr>
          <w:rFonts w:ascii="Verdana" w:hAnsi="Verdana"/>
          <w:sz w:val="20"/>
          <w:szCs w:val="20"/>
        </w:rPr>
        <w:t xml:space="preserve"> met 5%</w:t>
      </w:r>
      <w:r w:rsidRPr="004531F5" w:rsidR="00175482">
        <w:rPr>
          <w:rFonts w:ascii="Verdana" w:hAnsi="Verdana"/>
          <w:sz w:val="20"/>
          <w:szCs w:val="20"/>
        </w:rPr>
        <w:t xml:space="preserve"> doorvoeren.</w:t>
      </w:r>
    </w:p>
    <w:p w:rsidRPr="004531F5" w:rsidR="000149D7" w:rsidP="00B84092" w:rsidRDefault="00685CF7">
      <w:pPr>
        <w:rPr>
          <w:rFonts w:ascii="Verdana" w:hAnsi="Verdana"/>
          <w:sz w:val="20"/>
          <w:szCs w:val="20"/>
        </w:rPr>
      </w:pPr>
      <w:r w:rsidRPr="004531F5">
        <w:rPr>
          <w:rFonts w:ascii="Verdana" w:hAnsi="Verdana"/>
          <w:sz w:val="20"/>
          <w:szCs w:val="20"/>
        </w:rPr>
        <w:t xml:space="preserve"> </w:t>
      </w:r>
    </w:p>
    <w:p w:rsidRPr="004531F5" w:rsidR="005637B2" w:rsidP="00B84092" w:rsidRDefault="00B06B09">
      <w:pPr>
        <w:rPr>
          <w:rFonts w:ascii="Verdana" w:hAnsi="Verdana"/>
          <w:sz w:val="20"/>
          <w:szCs w:val="20"/>
        </w:rPr>
      </w:pPr>
      <w:r w:rsidRPr="004531F5">
        <w:rPr>
          <w:rFonts w:ascii="Verdana" w:hAnsi="Verdana"/>
          <w:sz w:val="20"/>
          <w:szCs w:val="20"/>
        </w:rPr>
        <w:t xml:space="preserve">De </w:t>
      </w:r>
      <w:r w:rsidRPr="004531F5" w:rsidR="00436756">
        <w:rPr>
          <w:rFonts w:ascii="Verdana" w:hAnsi="Verdana"/>
          <w:sz w:val="20"/>
          <w:szCs w:val="20"/>
        </w:rPr>
        <w:t xml:space="preserve">voornaamste </w:t>
      </w:r>
      <w:r w:rsidRPr="004531F5" w:rsidR="00E41B65">
        <w:rPr>
          <w:rFonts w:ascii="Verdana" w:hAnsi="Verdana"/>
          <w:sz w:val="20"/>
          <w:szCs w:val="20"/>
        </w:rPr>
        <w:t xml:space="preserve">conclusie </w:t>
      </w:r>
      <w:r w:rsidRPr="004531F5" w:rsidR="008B4422">
        <w:rPr>
          <w:rFonts w:ascii="Verdana" w:hAnsi="Verdana"/>
          <w:sz w:val="20"/>
          <w:szCs w:val="20"/>
        </w:rPr>
        <w:t xml:space="preserve">van het </w:t>
      </w:r>
      <w:r w:rsidRPr="004531F5" w:rsidR="005F526C">
        <w:rPr>
          <w:rFonts w:ascii="Verdana" w:hAnsi="Verdana"/>
          <w:sz w:val="20"/>
          <w:szCs w:val="20"/>
        </w:rPr>
        <w:t>kwantitatieve deel</w:t>
      </w:r>
      <w:r w:rsidRPr="004531F5" w:rsidR="00E41B65">
        <w:rPr>
          <w:rFonts w:ascii="Verdana" w:hAnsi="Verdana"/>
          <w:sz w:val="20"/>
          <w:szCs w:val="20"/>
        </w:rPr>
        <w:t xml:space="preserve"> </w:t>
      </w:r>
      <w:r w:rsidRPr="004531F5" w:rsidR="00436756">
        <w:rPr>
          <w:rFonts w:ascii="Verdana" w:hAnsi="Verdana"/>
          <w:sz w:val="20"/>
          <w:szCs w:val="20"/>
        </w:rPr>
        <w:t xml:space="preserve">is dat </w:t>
      </w:r>
      <w:r w:rsidRPr="004531F5">
        <w:rPr>
          <w:rFonts w:ascii="Verdana" w:hAnsi="Verdana"/>
          <w:sz w:val="20"/>
          <w:szCs w:val="20"/>
        </w:rPr>
        <w:t xml:space="preserve">effecten van </w:t>
      </w:r>
      <w:r w:rsidRPr="004531F5" w:rsidR="005B7285">
        <w:rPr>
          <w:rFonts w:ascii="Verdana" w:hAnsi="Verdana"/>
          <w:sz w:val="20"/>
          <w:szCs w:val="20"/>
        </w:rPr>
        <w:t>de doorgerekende maatregelen</w:t>
      </w:r>
      <w:r w:rsidRPr="004531F5" w:rsidR="00436756">
        <w:rPr>
          <w:rFonts w:ascii="Verdana" w:hAnsi="Verdana"/>
          <w:sz w:val="20"/>
          <w:szCs w:val="20"/>
        </w:rPr>
        <w:t xml:space="preserve"> </w:t>
      </w:r>
      <w:r w:rsidRPr="004531F5" w:rsidR="00E41B65">
        <w:rPr>
          <w:rFonts w:ascii="Verdana" w:hAnsi="Verdana"/>
          <w:sz w:val="20"/>
          <w:szCs w:val="20"/>
        </w:rPr>
        <w:t xml:space="preserve">op de balans </w:t>
      </w:r>
      <w:r w:rsidRPr="004531F5" w:rsidR="005B7285">
        <w:rPr>
          <w:rFonts w:ascii="Verdana" w:hAnsi="Verdana"/>
          <w:sz w:val="20"/>
          <w:szCs w:val="20"/>
        </w:rPr>
        <w:t>niet volledig</w:t>
      </w:r>
      <w:r w:rsidRPr="004531F5">
        <w:rPr>
          <w:rFonts w:ascii="Verdana" w:hAnsi="Verdana"/>
          <w:sz w:val="20"/>
          <w:szCs w:val="20"/>
        </w:rPr>
        <w:t xml:space="preserve"> te absorberen</w:t>
      </w:r>
      <w:r w:rsidRPr="004531F5" w:rsidR="00436756">
        <w:rPr>
          <w:rFonts w:ascii="Verdana" w:hAnsi="Verdana"/>
          <w:sz w:val="20"/>
          <w:szCs w:val="20"/>
        </w:rPr>
        <w:t xml:space="preserve"> </w:t>
      </w:r>
      <w:r w:rsidRPr="004531F5" w:rsidR="0047393F">
        <w:rPr>
          <w:rFonts w:ascii="Verdana" w:hAnsi="Verdana"/>
          <w:sz w:val="20"/>
          <w:szCs w:val="20"/>
        </w:rPr>
        <w:t>zullen</w:t>
      </w:r>
      <w:r w:rsidRPr="004531F5" w:rsidR="008B4422">
        <w:rPr>
          <w:rFonts w:ascii="Verdana" w:hAnsi="Verdana"/>
          <w:sz w:val="20"/>
          <w:szCs w:val="20"/>
        </w:rPr>
        <w:t xml:space="preserve"> </w:t>
      </w:r>
      <w:r w:rsidRPr="004531F5" w:rsidR="00436756">
        <w:rPr>
          <w:rFonts w:ascii="Verdana" w:hAnsi="Verdana"/>
          <w:sz w:val="20"/>
          <w:szCs w:val="20"/>
        </w:rPr>
        <w:t>zijn</w:t>
      </w:r>
      <w:r w:rsidRPr="004531F5" w:rsidR="00E41B65">
        <w:rPr>
          <w:rFonts w:ascii="Verdana" w:hAnsi="Verdana"/>
          <w:sz w:val="20"/>
          <w:szCs w:val="20"/>
        </w:rPr>
        <w:t xml:space="preserve"> via kostenbeperkingen en het inhouden van dividend door </w:t>
      </w:r>
      <w:r w:rsidRPr="004531F5" w:rsidR="008C6E56">
        <w:rPr>
          <w:rFonts w:ascii="Verdana" w:hAnsi="Verdana"/>
          <w:sz w:val="20"/>
          <w:szCs w:val="20"/>
        </w:rPr>
        <w:t xml:space="preserve">de </w:t>
      </w:r>
      <w:r w:rsidRPr="004531F5" w:rsidR="00E41B65">
        <w:rPr>
          <w:rFonts w:ascii="Verdana" w:hAnsi="Verdana"/>
          <w:sz w:val="20"/>
          <w:szCs w:val="20"/>
        </w:rPr>
        <w:t>banken</w:t>
      </w:r>
      <w:r w:rsidRPr="004531F5" w:rsidR="005B7285">
        <w:rPr>
          <w:rFonts w:ascii="Verdana" w:hAnsi="Verdana"/>
          <w:sz w:val="20"/>
          <w:szCs w:val="20"/>
        </w:rPr>
        <w:t>.</w:t>
      </w:r>
      <w:r w:rsidRPr="004531F5" w:rsidR="001578A0">
        <w:rPr>
          <w:rFonts w:ascii="Verdana" w:hAnsi="Verdana"/>
          <w:sz w:val="20"/>
          <w:szCs w:val="20"/>
        </w:rPr>
        <w:t xml:space="preserve"> Als gevolg hiervan zal</w:t>
      </w:r>
      <w:r w:rsidRPr="004531F5" w:rsidR="007B25DE">
        <w:rPr>
          <w:rFonts w:ascii="Verdana" w:hAnsi="Verdana"/>
          <w:sz w:val="20"/>
          <w:szCs w:val="20"/>
        </w:rPr>
        <w:t xml:space="preserve"> </w:t>
      </w:r>
      <w:r w:rsidRPr="004531F5" w:rsidR="0047393F">
        <w:rPr>
          <w:rFonts w:ascii="Verdana" w:hAnsi="Verdana"/>
          <w:sz w:val="20"/>
          <w:szCs w:val="20"/>
        </w:rPr>
        <w:t xml:space="preserve">volgens het rapport </w:t>
      </w:r>
      <w:r w:rsidRPr="004531F5" w:rsidR="001578A0">
        <w:rPr>
          <w:rFonts w:ascii="Verdana" w:hAnsi="Verdana"/>
          <w:sz w:val="20"/>
          <w:szCs w:val="20"/>
        </w:rPr>
        <w:t>in het meest waarschijnlijke scenario</w:t>
      </w:r>
      <w:r w:rsidRPr="004531F5" w:rsidR="00EA4921">
        <w:rPr>
          <w:rFonts w:ascii="Verdana" w:hAnsi="Verdana"/>
          <w:sz w:val="20"/>
          <w:szCs w:val="20"/>
        </w:rPr>
        <w:t xml:space="preserve"> de </w:t>
      </w:r>
      <w:r w:rsidRPr="004531F5" w:rsidR="00996A1D">
        <w:rPr>
          <w:rFonts w:ascii="Verdana" w:hAnsi="Verdana"/>
          <w:sz w:val="20"/>
          <w:szCs w:val="20"/>
        </w:rPr>
        <w:t xml:space="preserve">totale bancaire </w:t>
      </w:r>
      <w:r w:rsidRPr="004531F5" w:rsidR="00EA4921">
        <w:rPr>
          <w:rFonts w:ascii="Verdana" w:hAnsi="Verdana"/>
          <w:sz w:val="20"/>
          <w:szCs w:val="20"/>
        </w:rPr>
        <w:t>kredietverlening</w:t>
      </w:r>
      <w:r w:rsidRPr="004531F5" w:rsidR="00FB1B22">
        <w:rPr>
          <w:rFonts w:ascii="Verdana" w:hAnsi="Verdana"/>
          <w:sz w:val="20"/>
          <w:szCs w:val="20"/>
        </w:rPr>
        <w:t xml:space="preserve"> dalen met </w:t>
      </w:r>
      <w:r w:rsidRPr="004531F5" w:rsidR="00996A1D">
        <w:rPr>
          <w:rFonts w:ascii="Verdana" w:hAnsi="Verdana"/>
          <w:sz w:val="20"/>
          <w:szCs w:val="20"/>
        </w:rPr>
        <w:t xml:space="preserve">gemiddeld ca 50. miljard euro per jaar tot </w:t>
      </w:r>
      <w:r w:rsidRPr="004531F5" w:rsidR="00D86820">
        <w:rPr>
          <w:rFonts w:ascii="Verdana" w:hAnsi="Verdana"/>
          <w:sz w:val="20"/>
          <w:szCs w:val="20"/>
        </w:rPr>
        <w:t xml:space="preserve">cumulatief </w:t>
      </w:r>
      <w:r w:rsidRPr="004531F5" w:rsidR="000B1C67">
        <w:rPr>
          <w:rFonts w:ascii="Verdana" w:hAnsi="Verdana"/>
          <w:sz w:val="20"/>
          <w:szCs w:val="20"/>
        </w:rPr>
        <w:t xml:space="preserve">ca. </w:t>
      </w:r>
      <w:r w:rsidRPr="004531F5" w:rsidR="00EA4921">
        <w:rPr>
          <w:rFonts w:ascii="Verdana" w:hAnsi="Verdana"/>
          <w:sz w:val="20"/>
          <w:szCs w:val="20"/>
        </w:rPr>
        <w:t>200 miljard</w:t>
      </w:r>
      <w:r w:rsidRPr="004531F5" w:rsidR="005B7285">
        <w:rPr>
          <w:rFonts w:ascii="Verdana" w:hAnsi="Verdana"/>
          <w:sz w:val="20"/>
          <w:szCs w:val="20"/>
        </w:rPr>
        <w:t xml:space="preserve"> euro</w:t>
      </w:r>
      <w:r w:rsidRPr="004531F5" w:rsidR="00155175">
        <w:rPr>
          <w:rFonts w:ascii="Verdana" w:hAnsi="Verdana"/>
          <w:sz w:val="20"/>
          <w:szCs w:val="20"/>
        </w:rPr>
        <w:t xml:space="preserve"> in 2015</w:t>
      </w:r>
      <w:r w:rsidRPr="004531F5" w:rsidR="004F3AF9">
        <w:rPr>
          <w:rFonts w:ascii="Verdana" w:hAnsi="Verdana"/>
          <w:sz w:val="20"/>
          <w:szCs w:val="20"/>
        </w:rPr>
        <w:t xml:space="preserve"> (</w:t>
      </w:r>
      <w:r w:rsidRPr="004531F5" w:rsidR="00996A1D">
        <w:rPr>
          <w:rFonts w:ascii="Verdana" w:hAnsi="Verdana"/>
          <w:sz w:val="20"/>
          <w:szCs w:val="20"/>
        </w:rPr>
        <w:t xml:space="preserve">De banken zullen daarmee tezamen ca. </w:t>
      </w:r>
      <w:r w:rsidRPr="004531F5" w:rsidR="004F3AF9">
        <w:rPr>
          <w:rFonts w:ascii="Verdana" w:hAnsi="Verdana"/>
          <w:sz w:val="20"/>
          <w:szCs w:val="20"/>
        </w:rPr>
        <w:t>9%</w:t>
      </w:r>
      <w:r w:rsidRPr="004531F5" w:rsidR="00996A1D">
        <w:rPr>
          <w:rFonts w:ascii="Verdana" w:hAnsi="Verdana"/>
          <w:sz w:val="20"/>
          <w:szCs w:val="20"/>
        </w:rPr>
        <w:t xml:space="preserve"> kleiner zijn dan hun huidige balanstotaal</w:t>
      </w:r>
      <w:r w:rsidRPr="004531F5" w:rsidR="004F3AF9">
        <w:rPr>
          <w:rFonts w:ascii="Verdana" w:hAnsi="Verdana"/>
          <w:sz w:val="20"/>
          <w:szCs w:val="20"/>
        </w:rPr>
        <w:t>)</w:t>
      </w:r>
      <w:r w:rsidRPr="004531F5" w:rsidR="007B25DE">
        <w:rPr>
          <w:rFonts w:ascii="Verdana" w:hAnsi="Verdana"/>
          <w:sz w:val="20"/>
          <w:szCs w:val="20"/>
        </w:rPr>
        <w:t xml:space="preserve">. Dit </w:t>
      </w:r>
      <w:r w:rsidRPr="004531F5" w:rsidR="00302096">
        <w:rPr>
          <w:rFonts w:ascii="Verdana" w:hAnsi="Verdana"/>
          <w:sz w:val="20"/>
          <w:szCs w:val="20"/>
        </w:rPr>
        <w:t xml:space="preserve">effect </w:t>
      </w:r>
      <w:r w:rsidRPr="004531F5" w:rsidR="007B25DE">
        <w:rPr>
          <w:rFonts w:ascii="Verdana" w:hAnsi="Verdana"/>
          <w:sz w:val="20"/>
          <w:szCs w:val="20"/>
        </w:rPr>
        <w:t xml:space="preserve">wordt vooral veroorzaakt </w:t>
      </w:r>
      <w:r w:rsidRPr="004531F5" w:rsidR="00FB1B22">
        <w:rPr>
          <w:rFonts w:ascii="Verdana" w:hAnsi="Verdana"/>
          <w:sz w:val="20"/>
          <w:szCs w:val="20"/>
        </w:rPr>
        <w:t>door de</w:t>
      </w:r>
      <w:r w:rsidRPr="004531F5" w:rsidR="002B4257">
        <w:rPr>
          <w:rFonts w:ascii="Verdana" w:hAnsi="Verdana"/>
          <w:sz w:val="20"/>
          <w:szCs w:val="20"/>
        </w:rPr>
        <w:t xml:space="preserve"> moeite die banken zullen hebben hun financieringsprofiel aan te passen aan </w:t>
      </w:r>
      <w:r w:rsidRPr="004531F5" w:rsidR="00302096">
        <w:rPr>
          <w:rFonts w:ascii="Verdana" w:hAnsi="Verdana"/>
          <w:sz w:val="20"/>
          <w:szCs w:val="20"/>
        </w:rPr>
        <w:t xml:space="preserve">een van de </w:t>
      </w:r>
      <w:r w:rsidRPr="004531F5" w:rsidR="007840E4">
        <w:rPr>
          <w:rFonts w:ascii="Verdana" w:hAnsi="Verdana"/>
          <w:sz w:val="20"/>
          <w:szCs w:val="20"/>
        </w:rPr>
        <w:t xml:space="preserve">nieuwe </w:t>
      </w:r>
      <w:proofErr w:type="spellStart"/>
      <w:r w:rsidRPr="004531F5" w:rsidR="00302096">
        <w:rPr>
          <w:rFonts w:ascii="Verdana" w:hAnsi="Verdana"/>
          <w:sz w:val="20"/>
          <w:szCs w:val="20"/>
        </w:rPr>
        <w:t>Bazelse</w:t>
      </w:r>
      <w:proofErr w:type="spellEnd"/>
      <w:r w:rsidRPr="004531F5" w:rsidR="00302096">
        <w:rPr>
          <w:rFonts w:ascii="Verdana" w:hAnsi="Verdana"/>
          <w:sz w:val="20"/>
          <w:szCs w:val="20"/>
        </w:rPr>
        <w:t xml:space="preserve"> eisen, </w:t>
      </w:r>
      <w:r w:rsidRPr="004531F5" w:rsidR="002B4257">
        <w:rPr>
          <w:rFonts w:ascii="Verdana" w:hAnsi="Verdana"/>
          <w:sz w:val="20"/>
          <w:szCs w:val="20"/>
        </w:rPr>
        <w:t xml:space="preserve">de </w:t>
      </w:r>
      <w:r w:rsidRPr="004531F5" w:rsidR="000E28CE">
        <w:rPr>
          <w:rFonts w:ascii="Verdana" w:hAnsi="Verdana"/>
          <w:sz w:val="20"/>
          <w:szCs w:val="20"/>
        </w:rPr>
        <w:t>zogenaamde</w:t>
      </w:r>
      <w:r w:rsidRPr="004531F5" w:rsidR="00A00788">
        <w:rPr>
          <w:rFonts w:ascii="Verdana" w:hAnsi="Verdana"/>
          <w:sz w:val="20"/>
          <w:szCs w:val="20"/>
        </w:rPr>
        <w:t xml:space="preserve"> </w:t>
      </w:r>
      <w:r w:rsidRPr="004531F5" w:rsidR="005B7285">
        <w:rPr>
          <w:rFonts w:ascii="Verdana" w:hAnsi="Verdana"/>
          <w:sz w:val="20"/>
          <w:szCs w:val="20"/>
        </w:rPr>
        <w:t>“</w:t>
      </w:r>
      <w:r w:rsidRPr="004531F5" w:rsidR="008B4422">
        <w:rPr>
          <w:rFonts w:ascii="Verdana" w:hAnsi="Verdana"/>
          <w:sz w:val="20"/>
          <w:szCs w:val="20"/>
        </w:rPr>
        <w:t>n</w:t>
      </w:r>
      <w:r w:rsidRPr="004531F5" w:rsidR="005B7285">
        <w:rPr>
          <w:rFonts w:ascii="Verdana" w:hAnsi="Verdana"/>
          <w:sz w:val="20"/>
          <w:szCs w:val="20"/>
        </w:rPr>
        <w:t xml:space="preserve">et </w:t>
      </w:r>
      <w:r w:rsidRPr="004531F5" w:rsidR="008B4422">
        <w:rPr>
          <w:rFonts w:ascii="Verdana" w:hAnsi="Verdana"/>
          <w:sz w:val="20"/>
          <w:szCs w:val="20"/>
        </w:rPr>
        <w:t>s</w:t>
      </w:r>
      <w:r w:rsidRPr="004531F5" w:rsidR="005B7285">
        <w:rPr>
          <w:rFonts w:ascii="Verdana" w:hAnsi="Verdana"/>
          <w:sz w:val="20"/>
          <w:szCs w:val="20"/>
        </w:rPr>
        <w:t xml:space="preserve">table </w:t>
      </w:r>
      <w:r w:rsidRPr="004531F5" w:rsidR="008B4422">
        <w:rPr>
          <w:rFonts w:ascii="Verdana" w:hAnsi="Verdana"/>
          <w:sz w:val="20"/>
          <w:szCs w:val="20"/>
        </w:rPr>
        <w:t>f</w:t>
      </w:r>
      <w:r w:rsidRPr="004531F5" w:rsidR="005B7285">
        <w:rPr>
          <w:rFonts w:ascii="Verdana" w:hAnsi="Verdana"/>
          <w:sz w:val="20"/>
          <w:szCs w:val="20"/>
        </w:rPr>
        <w:t xml:space="preserve">unding </w:t>
      </w:r>
      <w:r w:rsidRPr="004531F5" w:rsidR="008B4422">
        <w:rPr>
          <w:rFonts w:ascii="Verdana" w:hAnsi="Verdana"/>
          <w:sz w:val="20"/>
          <w:szCs w:val="20"/>
        </w:rPr>
        <w:t>r</w:t>
      </w:r>
      <w:r w:rsidRPr="004531F5" w:rsidR="00FD5D6F">
        <w:rPr>
          <w:rFonts w:ascii="Verdana" w:hAnsi="Verdana"/>
          <w:sz w:val="20"/>
          <w:szCs w:val="20"/>
        </w:rPr>
        <w:t>atio”</w:t>
      </w:r>
      <w:r w:rsidRPr="004531F5" w:rsidR="00A00788">
        <w:rPr>
          <w:rFonts w:ascii="Verdana" w:hAnsi="Verdana"/>
          <w:sz w:val="20"/>
          <w:szCs w:val="20"/>
        </w:rPr>
        <w:t xml:space="preserve"> (NSFR)</w:t>
      </w:r>
      <w:r w:rsidRPr="004531F5" w:rsidR="007F05CD">
        <w:rPr>
          <w:rFonts w:ascii="Verdana" w:hAnsi="Verdana"/>
          <w:sz w:val="20"/>
          <w:szCs w:val="20"/>
        </w:rPr>
        <w:t>.</w:t>
      </w:r>
      <w:r w:rsidRPr="004531F5" w:rsidR="000E28CE">
        <w:rPr>
          <w:rFonts w:ascii="Verdana" w:hAnsi="Verdana"/>
          <w:sz w:val="20"/>
          <w:szCs w:val="20"/>
        </w:rPr>
        <w:t xml:space="preserve"> </w:t>
      </w:r>
      <w:r w:rsidRPr="004531F5" w:rsidR="007F05CD">
        <w:rPr>
          <w:rFonts w:ascii="Verdana" w:hAnsi="Verdana"/>
          <w:sz w:val="20"/>
          <w:szCs w:val="20"/>
        </w:rPr>
        <w:t xml:space="preserve">Deze </w:t>
      </w:r>
      <w:r w:rsidRPr="004531F5" w:rsidR="000E28CE">
        <w:rPr>
          <w:rFonts w:ascii="Verdana" w:hAnsi="Verdana"/>
          <w:sz w:val="20"/>
          <w:szCs w:val="20"/>
        </w:rPr>
        <w:t>vereist dat banken meer langlopende financiering aantrekken</w:t>
      </w:r>
      <w:r w:rsidRPr="004531F5" w:rsidR="00FD5D6F">
        <w:rPr>
          <w:rFonts w:ascii="Verdana" w:hAnsi="Verdana"/>
          <w:sz w:val="20"/>
          <w:szCs w:val="20"/>
        </w:rPr>
        <w:t xml:space="preserve">. </w:t>
      </w:r>
      <w:r w:rsidRPr="004531F5" w:rsidR="00302096">
        <w:rPr>
          <w:rFonts w:ascii="Verdana" w:hAnsi="Verdana"/>
          <w:sz w:val="20"/>
          <w:szCs w:val="20"/>
        </w:rPr>
        <w:t xml:space="preserve">De  banken zullen echter </w:t>
      </w:r>
      <w:r w:rsidRPr="004531F5" w:rsidR="00395B43">
        <w:rPr>
          <w:rFonts w:ascii="Verdana" w:hAnsi="Verdana"/>
          <w:sz w:val="20"/>
          <w:szCs w:val="20"/>
        </w:rPr>
        <w:t xml:space="preserve">volgens het rapport </w:t>
      </w:r>
      <w:r w:rsidRPr="004531F5" w:rsidR="007B25DE">
        <w:rPr>
          <w:rFonts w:ascii="Verdana" w:hAnsi="Verdana"/>
          <w:sz w:val="20"/>
          <w:szCs w:val="20"/>
        </w:rPr>
        <w:t>maar in beperkte mate</w:t>
      </w:r>
      <w:r w:rsidRPr="004531F5" w:rsidR="00D86820">
        <w:rPr>
          <w:rFonts w:ascii="Verdana" w:hAnsi="Verdana"/>
          <w:sz w:val="20"/>
          <w:szCs w:val="20"/>
        </w:rPr>
        <w:t xml:space="preserve"> </w:t>
      </w:r>
      <w:r w:rsidRPr="004531F5" w:rsidR="00302096">
        <w:rPr>
          <w:rFonts w:ascii="Verdana" w:hAnsi="Verdana"/>
          <w:sz w:val="20"/>
          <w:szCs w:val="20"/>
        </w:rPr>
        <w:t xml:space="preserve">meer langlopende financiering kunnen aantrekken, </w:t>
      </w:r>
      <w:r w:rsidRPr="004531F5" w:rsidR="00D86820">
        <w:rPr>
          <w:rFonts w:ascii="Verdana" w:hAnsi="Verdana"/>
          <w:sz w:val="20"/>
          <w:szCs w:val="20"/>
        </w:rPr>
        <w:t xml:space="preserve">waardoor de </w:t>
      </w:r>
      <w:r w:rsidRPr="004531F5" w:rsidR="007B25DE">
        <w:rPr>
          <w:rFonts w:ascii="Verdana" w:hAnsi="Verdana"/>
          <w:sz w:val="20"/>
          <w:szCs w:val="20"/>
        </w:rPr>
        <w:t>Nederlandse bancaire sector</w:t>
      </w:r>
      <w:r w:rsidRPr="004531F5" w:rsidR="003A4598">
        <w:rPr>
          <w:rFonts w:ascii="Verdana" w:hAnsi="Verdana"/>
          <w:sz w:val="20"/>
          <w:szCs w:val="20"/>
        </w:rPr>
        <w:t xml:space="preserve"> gedwongen </w:t>
      </w:r>
      <w:r w:rsidRPr="004531F5" w:rsidR="00D86820">
        <w:rPr>
          <w:rFonts w:ascii="Verdana" w:hAnsi="Verdana"/>
          <w:sz w:val="20"/>
          <w:szCs w:val="20"/>
        </w:rPr>
        <w:t xml:space="preserve">zal zijn </w:t>
      </w:r>
      <w:r w:rsidRPr="004531F5" w:rsidR="003A4598">
        <w:rPr>
          <w:rFonts w:ascii="Verdana" w:hAnsi="Verdana"/>
          <w:sz w:val="20"/>
          <w:szCs w:val="20"/>
        </w:rPr>
        <w:t>te krimpen</w:t>
      </w:r>
      <w:r w:rsidRPr="004531F5" w:rsidR="007B25DE">
        <w:rPr>
          <w:rFonts w:ascii="Verdana" w:hAnsi="Verdana"/>
          <w:sz w:val="20"/>
          <w:szCs w:val="20"/>
        </w:rPr>
        <w:t xml:space="preserve">. </w:t>
      </w:r>
    </w:p>
    <w:p w:rsidRPr="004531F5" w:rsidR="006E0411" w:rsidP="00B84092" w:rsidRDefault="006E0411">
      <w:pPr>
        <w:rPr>
          <w:rFonts w:ascii="Verdana" w:hAnsi="Verdana"/>
          <w:sz w:val="20"/>
          <w:szCs w:val="20"/>
        </w:rPr>
      </w:pPr>
    </w:p>
    <w:p w:rsidRPr="004531F5" w:rsidR="004E4DBF" w:rsidP="004E4DBF" w:rsidRDefault="004E4DBF">
      <w:pPr>
        <w:rPr>
          <w:rFonts w:ascii="Verdana" w:hAnsi="Verdana"/>
          <w:sz w:val="20"/>
          <w:szCs w:val="20"/>
        </w:rPr>
      </w:pPr>
      <w:r w:rsidRPr="004531F5">
        <w:rPr>
          <w:rFonts w:ascii="Verdana" w:hAnsi="Verdana"/>
          <w:sz w:val="20"/>
          <w:szCs w:val="20"/>
        </w:rPr>
        <w:t>Een ander prominent kwantitatief effect dat het rapport presenteert is een gemiddelde stijging van de rentetarieven voor klanten met ca. 0,8 tot 0,9</w:t>
      </w:r>
      <w:r w:rsidRPr="004531F5" w:rsidR="00107138">
        <w:rPr>
          <w:rFonts w:ascii="Verdana" w:hAnsi="Verdana"/>
          <w:sz w:val="20"/>
          <w:szCs w:val="20"/>
        </w:rPr>
        <w:t>%</w:t>
      </w:r>
      <w:r w:rsidRPr="004531F5">
        <w:rPr>
          <w:rFonts w:ascii="Verdana" w:hAnsi="Verdana"/>
          <w:sz w:val="20"/>
          <w:szCs w:val="20"/>
        </w:rPr>
        <w:t>.</w:t>
      </w:r>
      <w:r w:rsidRPr="004531F5" w:rsidR="007F05CD">
        <w:rPr>
          <w:rFonts w:ascii="Verdana" w:hAnsi="Verdana"/>
          <w:sz w:val="20"/>
          <w:szCs w:val="20"/>
        </w:rPr>
        <w:t xml:space="preserve"> </w:t>
      </w:r>
      <w:r w:rsidRPr="004531F5">
        <w:rPr>
          <w:rFonts w:ascii="Verdana" w:hAnsi="Verdana"/>
          <w:sz w:val="20"/>
          <w:szCs w:val="20"/>
        </w:rPr>
        <w:t>Dit wordt  allereerst veroorzaakt door het reeds genoemde streven een rendement van 8% op eigen vermogen</w:t>
      </w:r>
      <w:r w:rsidRPr="004531F5" w:rsidR="002430D8">
        <w:rPr>
          <w:rFonts w:ascii="Verdana" w:hAnsi="Verdana"/>
          <w:sz w:val="20"/>
          <w:szCs w:val="20"/>
        </w:rPr>
        <w:t xml:space="preserve"> te halen</w:t>
      </w:r>
      <w:r w:rsidRPr="004531F5">
        <w:rPr>
          <w:rFonts w:ascii="Verdana" w:hAnsi="Verdana"/>
          <w:sz w:val="20"/>
          <w:szCs w:val="20"/>
        </w:rPr>
        <w:t>.</w:t>
      </w:r>
      <w:r w:rsidRPr="004531F5" w:rsidR="00405B7D">
        <w:rPr>
          <w:rFonts w:ascii="Verdana" w:hAnsi="Verdana"/>
          <w:sz w:val="20"/>
          <w:szCs w:val="20"/>
        </w:rPr>
        <w:t xml:space="preserve"> </w:t>
      </w:r>
      <w:r w:rsidRPr="004531F5">
        <w:rPr>
          <w:rFonts w:ascii="Verdana" w:hAnsi="Verdana"/>
          <w:sz w:val="20"/>
          <w:szCs w:val="20"/>
        </w:rPr>
        <w:t xml:space="preserve">Daarnaast </w:t>
      </w:r>
      <w:r w:rsidRPr="004531F5" w:rsidR="002430D8">
        <w:rPr>
          <w:rFonts w:ascii="Verdana" w:hAnsi="Verdana"/>
          <w:sz w:val="20"/>
          <w:szCs w:val="20"/>
        </w:rPr>
        <w:t>wordt een kwart van de prijssti</w:t>
      </w:r>
      <w:r w:rsidRPr="004531F5">
        <w:rPr>
          <w:rFonts w:ascii="Verdana" w:hAnsi="Verdana"/>
          <w:sz w:val="20"/>
          <w:szCs w:val="20"/>
        </w:rPr>
        <w:t>j</w:t>
      </w:r>
      <w:r w:rsidRPr="004531F5" w:rsidR="002430D8">
        <w:rPr>
          <w:rFonts w:ascii="Verdana" w:hAnsi="Verdana"/>
          <w:sz w:val="20"/>
          <w:szCs w:val="20"/>
        </w:rPr>
        <w:t>g</w:t>
      </w:r>
      <w:r w:rsidRPr="004531F5">
        <w:rPr>
          <w:rFonts w:ascii="Verdana" w:hAnsi="Verdana"/>
          <w:sz w:val="20"/>
          <w:szCs w:val="20"/>
        </w:rPr>
        <w:t xml:space="preserve">ing veroorzaakt door de introductie van </w:t>
      </w:r>
      <w:r w:rsidRPr="004531F5" w:rsidR="00302096">
        <w:rPr>
          <w:rFonts w:ascii="Verdana" w:hAnsi="Verdana"/>
          <w:sz w:val="20"/>
          <w:szCs w:val="20"/>
        </w:rPr>
        <w:t xml:space="preserve">verplicht </w:t>
      </w:r>
      <w:r w:rsidRPr="004531F5">
        <w:rPr>
          <w:rFonts w:ascii="Verdana" w:hAnsi="Verdana"/>
          <w:sz w:val="20"/>
          <w:szCs w:val="20"/>
        </w:rPr>
        <w:t xml:space="preserve">converteerbare schuld. </w:t>
      </w:r>
      <w:r w:rsidRPr="004531F5" w:rsidR="00302096">
        <w:rPr>
          <w:rFonts w:ascii="Verdana" w:hAnsi="Verdana"/>
          <w:sz w:val="20"/>
          <w:szCs w:val="20"/>
        </w:rPr>
        <w:t>Bij verplicht converteerbare schuld</w:t>
      </w:r>
      <w:r w:rsidRPr="004531F5" w:rsidR="007F05CD">
        <w:rPr>
          <w:rFonts w:ascii="Verdana" w:hAnsi="Verdana"/>
          <w:sz w:val="20"/>
          <w:szCs w:val="20"/>
        </w:rPr>
        <w:t xml:space="preserve"> </w:t>
      </w:r>
      <w:r w:rsidRPr="004531F5" w:rsidR="00680069">
        <w:rPr>
          <w:rFonts w:ascii="Verdana" w:hAnsi="Verdana"/>
          <w:sz w:val="20"/>
          <w:szCs w:val="20"/>
        </w:rPr>
        <w:t xml:space="preserve">zal </w:t>
      </w:r>
      <w:r w:rsidRPr="004531F5">
        <w:rPr>
          <w:rFonts w:ascii="Verdana" w:hAnsi="Verdana"/>
          <w:sz w:val="20"/>
          <w:szCs w:val="20"/>
        </w:rPr>
        <w:lastRenderedPageBreak/>
        <w:t xml:space="preserve">vreemd vermogen </w:t>
      </w:r>
      <w:r w:rsidRPr="004531F5" w:rsidR="005457BF">
        <w:rPr>
          <w:rFonts w:ascii="Verdana" w:hAnsi="Verdana"/>
          <w:sz w:val="20"/>
          <w:szCs w:val="20"/>
        </w:rPr>
        <w:t xml:space="preserve">in het geval dat een bank in ernstige problemen komt geconverteerd worden naar eigen vermogen; vreemd vermogen verschaffers zullen door dit </w:t>
      </w:r>
      <w:r w:rsidRPr="004531F5">
        <w:rPr>
          <w:rFonts w:ascii="Verdana" w:hAnsi="Verdana"/>
          <w:sz w:val="20"/>
          <w:szCs w:val="20"/>
        </w:rPr>
        <w:t xml:space="preserve">toegenomen kredietrisico </w:t>
      </w:r>
      <w:r w:rsidRPr="004531F5" w:rsidR="005457BF">
        <w:rPr>
          <w:rFonts w:ascii="Verdana" w:hAnsi="Verdana"/>
          <w:sz w:val="20"/>
          <w:szCs w:val="20"/>
        </w:rPr>
        <w:t>een hogere vergoeding van de bank verlangen</w:t>
      </w:r>
      <w:r w:rsidRPr="004531F5">
        <w:rPr>
          <w:rFonts w:ascii="Verdana" w:hAnsi="Verdana"/>
          <w:sz w:val="20"/>
          <w:szCs w:val="20"/>
        </w:rPr>
        <w:t xml:space="preserve">, en deze vergoeding zal </w:t>
      </w:r>
      <w:r w:rsidRPr="004531F5" w:rsidR="005457BF">
        <w:rPr>
          <w:rFonts w:ascii="Verdana" w:hAnsi="Verdana"/>
          <w:sz w:val="20"/>
          <w:szCs w:val="20"/>
        </w:rPr>
        <w:t xml:space="preserve">door de bank </w:t>
      </w:r>
      <w:r w:rsidRPr="004531F5">
        <w:rPr>
          <w:rFonts w:ascii="Verdana" w:hAnsi="Verdana"/>
          <w:sz w:val="20"/>
          <w:szCs w:val="20"/>
        </w:rPr>
        <w:t>grotendeels aan de klanten worden doorberekend.</w:t>
      </w:r>
    </w:p>
    <w:p w:rsidRPr="004531F5" w:rsidR="004E4DBF" w:rsidP="00B84092" w:rsidRDefault="004E4DBF">
      <w:pPr>
        <w:rPr>
          <w:rFonts w:ascii="Verdana" w:hAnsi="Verdana"/>
          <w:sz w:val="20"/>
          <w:szCs w:val="20"/>
        </w:rPr>
      </w:pPr>
    </w:p>
    <w:p w:rsidRPr="004531F5" w:rsidR="00395B43" w:rsidP="00FD5D6F" w:rsidRDefault="003A4598">
      <w:pPr>
        <w:rPr>
          <w:rFonts w:ascii="Verdana" w:hAnsi="Verdana"/>
          <w:sz w:val="20"/>
          <w:szCs w:val="20"/>
        </w:rPr>
      </w:pPr>
      <w:r w:rsidRPr="004531F5">
        <w:rPr>
          <w:rFonts w:ascii="Verdana" w:hAnsi="Verdana"/>
          <w:sz w:val="20"/>
          <w:szCs w:val="20"/>
        </w:rPr>
        <w:t xml:space="preserve">Het </w:t>
      </w:r>
      <w:r w:rsidRPr="004531F5" w:rsidR="008B4422">
        <w:rPr>
          <w:rFonts w:ascii="Verdana" w:hAnsi="Verdana"/>
          <w:sz w:val="20"/>
          <w:szCs w:val="20"/>
        </w:rPr>
        <w:t xml:space="preserve">kwalitatieve </w:t>
      </w:r>
      <w:r w:rsidRPr="004531F5">
        <w:rPr>
          <w:rFonts w:ascii="Verdana" w:hAnsi="Verdana"/>
          <w:sz w:val="20"/>
          <w:szCs w:val="20"/>
        </w:rPr>
        <w:t xml:space="preserve">deel </w:t>
      </w:r>
      <w:r w:rsidRPr="004531F5" w:rsidR="008B4422">
        <w:rPr>
          <w:rFonts w:ascii="Verdana" w:hAnsi="Verdana"/>
          <w:sz w:val="20"/>
          <w:szCs w:val="20"/>
        </w:rPr>
        <w:t xml:space="preserve">van het rapport </w:t>
      </w:r>
      <w:r w:rsidRPr="004531F5">
        <w:rPr>
          <w:rFonts w:ascii="Verdana" w:hAnsi="Verdana"/>
          <w:sz w:val="20"/>
          <w:szCs w:val="20"/>
        </w:rPr>
        <w:t xml:space="preserve">geeft een inkijkje in </w:t>
      </w:r>
      <w:r w:rsidRPr="004531F5" w:rsidR="0047393F">
        <w:rPr>
          <w:rFonts w:ascii="Verdana" w:hAnsi="Verdana"/>
          <w:sz w:val="20"/>
          <w:szCs w:val="20"/>
        </w:rPr>
        <w:t xml:space="preserve">de </w:t>
      </w:r>
      <w:r w:rsidRPr="004531F5">
        <w:rPr>
          <w:rFonts w:ascii="Verdana" w:hAnsi="Verdana"/>
          <w:sz w:val="20"/>
          <w:szCs w:val="20"/>
        </w:rPr>
        <w:t xml:space="preserve">mogelijke </w:t>
      </w:r>
      <w:r w:rsidRPr="004531F5" w:rsidR="005900C2">
        <w:rPr>
          <w:rFonts w:ascii="Verdana" w:hAnsi="Verdana"/>
          <w:sz w:val="20"/>
          <w:szCs w:val="20"/>
        </w:rPr>
        <w:t>effecten van alle</w:t>
      </w:r>
      <w:r w:rsidRPr="004531F5" w:rsidR="00FD5D6F">
        <w:rPr>
          <w:rFonts w:ascii="Verdana" w:hAnsi="Verdana"/>
          <w:sz w:val="20"/>
          <w:szCs w:val="20"/>
        </w:rPr>
        <w:t xml:space="preserve"> </w:t>
      </w:r>
      <w:r w:rsidRPr="004531F5" w:rsidR="0047393F">
        <w:rPr>
          <w:rFonts w:ascii="Verdana" w:hAnsi="Verdana"/>
          <w:sz w:val="20"/>
          <w:szCs w:val="20"/>
        </w:rPr>
        <w:t xml:space="preserve">nieuwe </w:t>
      </w:r>
      <w:r w:rsidRPr="004531F5" w:rsidR="00FD5D6F">
        <w:rPr>
          <w:rFonts w:ascii="Verdana" w:hAnsi="Verdana"/>
          <w:sz w:val="20"/>
          <w:szCs w:val="20"/>
        </w:rPr>
        <w:t>maatregelen</w:t>
      </w:r>
      <w:r w:rsidRPr="004531F5">
        <w:rPr>
          <w:rFonts w:ascii="Verdana" w:hAnsi="Verdana"/>
          <w:sz w:val="20"/>
          <w:szCs w:val="20"/>
        </w:rPr>
        <w:t xml:space="preserve"> </w:t>
      </w:r>
      <w:r w:rsidRPr="004531F5" w:rsidR="00FD5D6F">
        <w:rPr>
          <w:rFonts w:ascii="Verdana" w:hAnsi="Verdana"/>
          <w:sz w:val="20"/>
          <w:szCs w:val="20"/>
        </w:rPr>
        <w:t xml:space="preserve">op het </w:t>
      </w:r>
      <w:r w:rsidRPr="004531F5" w:rsidR="002D2651">
        <w:rPr>
          <w:rFonts w:ascii="Verdana" w:hAnsi="Verdana"/>
          <w:sz w:val="20"/>
          <w:szCs w:val="20"/>
        </w:rPr>
        <w:t xml:space="preserve">bedrijfsmodel, het </w:t>
      </w:r>
      <w:r w:rsidRPr="004531F5" w:rsidR="00FD5D6F">
        <w:rPr>
          <w:rFonts w:ascii="Verdana" w:hAnsi="Verdana"/>
          <w:sz w:val="20"/>
          <w:szCs w:val="20"/>
        </w:rPr>
        <w:t xml:space="preserve">operationele model </w:t>
      </w:r>
      <w:r w:rsidRPr="004531F5" w:rsidR="002D2651">
        <w:rPr>
          <w:rFonts w:ascii="Verdana" w:hAnsi="Verdana"/>
          <w:sz w:val="20"/>
          <w:szCs w:val="20"/>
        </w:rPr>
        <w:t>(organisatie en processen binnen een bank, benodigde infrast</w:t>
      </w:r>
      <w:r w:rsidRPr="004531F5" w:rsidR="005900C2">
        <w:rPr>
          <w:rFonts w:ascii="Verdana" w:hAnsi="Verdana"/>
          <w:sz w:val="20"/>
          <w:szCs w:val="20"/>
        </w:rPr>
        <w:t xml:space="preserve">ructuur) en </w:t>
      </w:r>
      <w:r w:rsidRPr="004531F5" w:rsidR="00FD5D6F">
        <w:rPr>
          <w:rFonts w:ascii="Verdana" w:hAnsi="Verdana"/>
          <w:sz w:val="20"/>
          <w:szCs w:val="20"/>
        </w:rPr>
        <w:t>de verandercapaciteit van banken</w:t>
      </w:r>
      <w:r w:rsidRPr="004531F5" w:rsidR="005457BF">
        <w:rPr>
          <w:rFonts w:ascii="Verdana" w:hAnsi="Verdana"/>
          <w:sz w:val="20"/>
          <w:szCs w:val="20"/>
        </w:rPr>
        <w:t>. Het gaat tevens in op</w:t>
      </w:r>
      <w:r w:rsidRPr="004531F5" w:rsidR="005900C2">
        <w:rPr>
          <w:rFonts w:ascii="Verdana" w:hAnsi="Verdana"/>
          <w:sz w:val="20"/>
          <w:szCs w:val="20"/>
        </w:rPr>
        <w:t xml:space="preserve"> </w:t>
      </w:r>
      <w:r w:rsidRPr="004531F5" w:rsidR="00302096">
        <w:rPr>
          <w:rFonts w:ascii="Verdana" w:hAnsi="Verdana"/>
          <w:sz w:val="20"/>
          <w:szCs w:val="20"/>
        </w:rPr>
        <w:t xml:space="preserve">de gevolgen voor </w:t>
      </w:r>
      <w:r w:rsidRPr="004531F5" w:rsidR="005900C2">
        <w:rPr>
          <w:rFonts w:ascii="Verdana" w:hAnsi="Verdana"/>
          <w:sz w:val="20"/>
          <w:szCs w:val="20"/>
        </w:rPr>
        <w:t>klanten en de samenleving als geheel</w:t>
      </w:r>
      <w:r w:rsidRPr="004531F5" w:rsidR="00912CB9">
        <w:rPr>
          <w:rFonts w:ascii="Verdana" w:hAnsi="Verdana"/>
          <w:sz w:val="20"/>
          <w:szCs w:val="20"/>
        </w:rPr>
        <w:t>.</w:t>
      </w:r>
      <w:r w:rsidRPr="004531F5" w:rsidR="000403EB">
        <w:rPr>
          <w:rFonts w:ascii="Verdana" w:hAnsi="Verdana"/>
          <w:sz w:val="20"/>
          <w:szCs w:val="20"/>
        </w:rPr>
        <w:t xml:space="preserve"> </w:t>
      </w:r>
      <w:r w:rsidRPr="004531F5" w:rsidR="00395B43">
        <w:rPr>
          <w:rFonts w:ascii="Verdana" w:hAnsi="Verdana"/>
          <w:sz w:val="20"/>
          <w:szCs w:val="20"/>
        </w:rPr>
        <w:t>Voor banken geldt dat b</w:t>
      </w:r>
      <w:r w:rsidRPr="004531F5" w:rsidR="0090068B">
        <w:rPr>
          <w:rFonts w:ascii="Verdana" w:hAnsi="Verdana"/>
          <w:sz w:val="20"/>
          <w:szCs w:val="20"/>
        </w:rPr>
        <w:t>aten van de nieuwe</w:t>
      </w:r>
      <w:r w:rsidRPr="004531F5" w:rsidR="003A36AE">
        <w:rPr>
          <w:rFonts w:ascii="Verdana" w:hAnsi="Verdana"/>
          <w:sz w:val="20"/>
          <w:szCs w:val="20"/>
        </w:rPr>
        <w:t xml:space="preserve"> regelgeving</w:t>
      </w:r>
      <w:r w:rsidRPr="004531F5" w:rsidR="005637B2">
        <w:rPr>
          <w:rFonts w:ascii="Verdana" w:hAnsi="Verdana"/>
          <w:sz w:val="20"/>
          <w:szCs w:val="20"/>
        </w:rPr>
        <w:t xml:space="preserve"> kunnen worden</w:t>
      </w:r>
      <w:r w:rsidRPr="004531F5" w:rsidR="00395B43">
        <w:rPr>
          <w:rFonts w:ascii="Verdana" w:hAnsi="Verdana"/>
          <w:sz w:val="20"/>
          <w:szCs w:val="20"/>
        </w:rPr>
        <w:t xml:space="preserve"> ontle</w:t>
      </w:r>
      <w:r w:rsidRPr="004531F5" w:rsidR="005637B2">
        <w:rPr>
          <w:rFonts w:ascii="Verdana" w:hAnsi="Verdana"/>
          <w:sz w:val="20"/>
          <w:szCs w:val="20"/>
        </w:rPr>
        <w:t>end</w:t>
      </w:r>
      <w:r w:rsidRPr="004531F5" w:rsidR="00395B43">
        <w:rPr>
          <w:rFonts w:ascii="Verdana" w:hAnsi="Verdana"/>
          <w:sz w:val="20"/>
          <w:szCs w:val="20"/>
        </w:rPr>
        <w:t xml:space="preserve"> aan meer standaardisatie van </w:t>
      </w:r>
      <w:r w:rsidRPr="004531F5" w:rsidR="005457BF">
        <w:rPr>
          <w:rFonts w:ascii="Verdana" w:hAnsi="Verdana"/>
          <w:sz w:val="20"/>
          <w:szCs w:val="20"/>
        </w:rPr>
        <w:t xml:space="preserve">de </w:t>
      </w:r>
      <w:r w:rsidRPr="004531F5" w:rsidR="00EB3464">
        <w:rPr>
          <w:rFonts w:ascii="Verdana" w:hAnsi="Verdana"/>
          <w:sz w:val="20"/>
          <w:szCs w:val="20"/>
        </w:rPr>
        <w:t>organisatie, processen en producten</w:t>
      </w:r>
      <w:r w:rsidRPr="004531F5" w:rsidR="0090068B">
        <w:rPr>
          <w:rFonts w:ascii="Verdana" w:hAnsi="Verdana"/>
          <w:sz w:val="20"/>
          <w:szCs w:val="20"/>
        </w:rPr>
        <w:t xml:space="preserve">. </w:t>
      </w:r>
      <w:r w:rsidRPr="004531F5" w:rsidR="001578A0">
        <w:rPr>
          <w:rFonts w:ascii="Verdana" w:hAnsi="Verdana"/>
          <w:sz w:val="20"/>
          <w:szCs w:val="20"/>
        </w:rPr>
        <w:t xml:space="preserve">Er zijn </w:t>
      </w:r>
      <w:r w:rsidRPr="004531F5" w:rsidR="0047393F">
        <w:rPr>
          <w:rFonts w:ascii="Verdana" w:hAnsi="Verdana"/>
          <w:sz w:val="20"/>
          <w:szCs w:val="20"/>
        </w:rPr>
        <w:t xml:space="preserve">verder </w:t>
      </w:r>
      <w:r w:rsidRPr="004531F5" w:rsidR="00EB3464">
        <w:rPr>
          <w:rFonts w:ascii="Verdana" w:hAnsi="Verdana"/>
          <w:sz w:val="20"/>
          <w:szCs w:val="20"/>
        </w:rPr>
        <w:t>op termijn schaalvoordelen te bereiken</w:t>
      </w:r>
      <w:r w:rsidRPr="004531F5" w:rsidR="003A36AE">
        <w:rPr>
          <w:rFonts w:ascii="Verdana" w:hAnsi="Verdana"/>
          <w:sz w:val="20"/>
          <w:szCs w:val="20"/>
        </w:rPr>
        <w:t xml:space="preserve"> doordat veel regelgeving op Europees niveau wordt gemaakt. </w:t>
      </w:r>
      <w:r w:rsidRPr="004531F5" w:rsidR="00A3722B">
        <w:rPr>
          <w:rFonts w:ascii="Verdana" w:hAnsi="Verdana"/>
          <w:sz w:val="20"/>
          <w:szCs w:val="20"/>
        </w:rPr>
        <w:t xml:space="preserve">Wel zullen </w:t>
      </w:r>
      <w:r w:rsidRPr="004531F5" w:rsidR="0047393F">
        <w:rPr>
          <w:rFonts w:ascii="Verdana" w:hAnsi="Verdana"/>
          <w:sz w:val="20"/>
          <w:szCs w:val="20"/>
        </w:rPr>
        <w:t xml:space="preserve">de nieuwe </w:t>
      </w:r>
      <w:r w:rsidRPr="004531F5" w:rsidR="00A3722B">
        <w:rPr>
          <w:rFonts w:ascii="Verdana" w:hAnsi="Verdana"/>
          <w:sz w:val="20"/>
          <w:szCs w:val="20"/>
        </w:rPr>
        <w:t xml:space="preserve">eisen een zwaarder opgetuigde organisatie vereisen. </w:t>
      </w:r>
      <w:r w:rsidRPr="004531F5" w:rsidR="0090068B">
        <w:rPr>
          <w:rFonts w:ascii="Verdana" w:hAnsi="Verdana"/>
          <w:sz w:val="20"/>
          <w:szCs w:val="20"/>
        </w:rPr>
        <w:t>Ook</w:t>
      </w:r>
      <w:r w:rsidRPr="004531F5" w:rsidR="00EB3464">
        <w:rPr>
          <w:rFonts w:ascii="Verdana" w:hAnsi="Verdana"/>
          <w:sz w:val="20"/>
          <w:szCs w:val="20"/>
        </w:rPr>
        <w:t xml:space="preserve"> zullen </w:t>
      </w:r>
      <w:r w:rsidRPr="004531F5" w:rsidR="0047393F">
        <w:rPr>
          <w:rFonts w:ascii="Verdana" w:hAnsi="Verdana"/>
          <w:sz w:val="20"/>
          <w:szCs w:val="20"/>
        </w:rPr>
        <w:t xml:space="preserve">volgens het rapport </w:t>
      </w:r>
      <w:r w:rsidRPr="004531F5" w:rsidR="00EB3464">
        <w:rPr>
          <w:rFonts w:ascii="Verdana" w:hAnsi="Verdana"/>
          <w:sz w:val="20"/>
          <w:szCs w:val="20"/>
        </w:rPr>
        <w:t>alle op stapel staande veranderingen het management maar beperkte ruimte geven om nog andersoortige initiatieven</w:t>
      </w:r>
      <w:r w:rsidRPr="004531F5" w:rsidR="007840E4">
        <w:rPr>
          <w:rFonts w:ascii="Verdana" w:hAnsi="Verdana"/>
          <w:sz w:val="20"/>
          <w:szCs w:val="20"/>
        </w:rPr>
        <w:t xml:space="preserve"> uit te rollen</w:t>
      </w:r>
      <w:r w:rsidRPr="004531F5" w:rsidR="00EB3464">
        <w:rPr>
          <w:rFonts w:ascii="Verdana" w:hAnsi="Verdana"/>
          <w:sz w:val="20"/>
          <w:szCs w:val="20"/>
        </w:rPr>
        <w:t xml:space="preserve">, bijvoorbeeld in termen van betere dienstverlening richting klanten. </w:t>
      </w:r>
    </w:p>
    <w:p w:rsidRPr="004531F5" w:rsidR="00395B43" w:rsidP="00FD5D6F" w:rsidRDefault="00395B43">
      <w:pPr>
        <w:rPr>
          <w:rFonts w:ascii="Verdana" w:hAnsi="Verdana"/>
          <w:sz w:val="20"/>
          <w:szCs w:val="20"/>
        </w:rPr>
      </w:pPr>
    </w:p>
    <w:p w:rsidRPr="004531F5" w:rsidR="00FD5D6F" w:rsidP="00FD5D6F" w:rsidRDefault="00FD42E1">
      <w:pPr>
        <w:rPr>
          <w:rFonts w:ascii="Verdana" w:hAnsi="Verdana"/>
          <w:sz w:val="20"/>
          <w:szCs w:val="20"/>
        </w:rPr>
      </w:pPr>
      <w:r w:rsidRPr="004531F5">
        <w:rPr>
          <w:rFonts w:ascii="Verdana" w:hAnsi="Verdana"/>
          <w:sz w:val="20"/>
          <w:szCs w:val="20"/>
        </w:rPr>
        <w:t xml:space="preserve">Klanten zullen </w:t>
      </w:r>
      <w:r w:rsidRPr="004531F5" w:rsidR="0047393F">
        <w:rPr>
          <w:rFonts w:ascii="Verdana" w:hAnsi="Verdana"/>
          <w:sz w:val="20"/>
          <w:szCs w:val="20"/>
        </w:rPr>
        <w:t xml:space="preserve">verder </w:t>
      </w:r>
      <w:r w:rsidRPr="004531F5">
        <w:rPr>
          <w:rFonts w:ascii="Verdana" w:hAnsi="Verdana"/>
          <w:sz w:val="20"/>
          <w:szCs w:val="20"/>
        </w:rPr>
        <w:t>a</w:t>
      </w:r>
      <w:r w:rsidRPr="004531F5" w:rsidR="00395B43">
        <w:rPr>
          <w:rFonts w:ascii="Verdana" w:hAnsi="Verdana"/>
          <w:sz w:val="20"/>
          <w:szCs w:val="20"/>
        </w:rPr>
        <w:t xml:space="preserve">ls gevolg van standaardisatie via diverse sectorgebaseerde regels transparanter zicht </w:t>
      </w:r>
      <w:r w:rsidRPr="004531F5" w:rsidR="0047393F">
        <w:rPr>
          <w:rFonts w:ascii="Verdana" w:hAnsi="Verdana"/>
          <w:sz w:val="20"/>
          <w:szCs w:val="20"/>
        </w:rPr>
        <w:t xml:space="preserve">krijgen </w:t>
      </w:r>
      <w:r w:rsidRPr="004531F5" w:rsidR="00395B43">
        <w:rPr>
          <w:rFonts w:ascii="Verdana" w:hAnsi="Verdana"/>
          <w:sz w:val="20"/>
          <w:szCs w:val="20"/>
        </w:rPr>
        <w:t>op het aanbod van producten en diensten.</w:t>
      </w:r>
      <w:r w:rsidRPr="004531F5" w:rsidR="0078074A">
        <w:rPr>
          <w:rStyle w:val="Voetnootmarkering"/>
          <w:rFonts w:ascii="Verdana" w:hAnsi="Verdana"/>
          <w:sz w:val="20"/>
          <w:szCs w:val="20"/>
        </w:rPr>
        <w:footnoteReference w:id="2"/>
      </w:r>
      <w:r w:rsidRPr="004531F5" w:rsidR="0078074A">
        <w:rPr>
          <w:rFonts w:ascii="Verdana" w:hAnsi="Verdana"/>
          <w:sz w:val="20"/>
          <w:szCs w:val="20"/>
        </w:rPr>
        <w:t xml:space="preserve"> </w:t>
      </w:r>
      <w:r w:rsidRPr="004531F5" w:rsidR="00395B43">
        <w:rPr>
          <w:rFonts w:ascii="Verdana" w:hAnsi="Verdana"/>
          <w:sz w:val="20"/>
          <w:szCs w:val="20"/>
        </w:rPr>
        <w:t xml:space="preserve">Hier tegenover staat </w:t>
      </w:r>
      <w:r w:rsidRPr="004531F5" w:rsidR="0047393F">
        <w:rPr>
          <w:rFonts w:ascii="Verdana" w:hAnsi="Verdana"/>
          <w:sz w:val="20"/>
          <w:szCs w:val="20"/>
        </w:rPr>
        <w:t xml:space="preserve">volgens het rapport </w:t>
      </w:r>
      <w:r w:rsidRPr="004531F5" w:rsidR="00395B43">
        <w:rPr>
          <w:rFonts w:ascii="Verdana" w:hAnsi="Verdana"/>
          <w:sz w:val="20"/>
          <w:szCs w:val="20"/>
        </w:rPr>
        <w:t>wel een beper</w:t>
      </w:r>
      <w:r w:rsidRPr="004531F5" w:rsidR="00C12E2C">
        <w:rPr>
          <w:rFonts w:ascii="Verdana" w:hAnsi="Verdana"/>
          <w:sz w:val="20"/>
          <w:szCs w:val="20"/>
        </w:rPr>
        <w:t xml:space="preserve">king van </w:t>
      </w:r>
      <w:r w:rsidRPr="004531F5" w:rsidR="005637B2">
        <w:rPr>
          <w:rFonts w:ascii="Verdana" w:hAnsi="Verdana"/>
          <w:sz w:val="20"/>
          <w:szCs w:val="20"/>
        </w:rPr>
        <w:t xml:space="preserve">hun </w:t>
      </w:r>
      <w:r w:rsidRPr="004531F5" w:rsidR="00C12E2C">
        <w:rPr>
          <w:rFonts w:ascii="Verdana" w:hAnsi="Verdana"/>
          <w:sz w:val="20"/>
          <w:szCs w:val="20"/>
        </w:rPr>
        <w:t xml:space="preserve">keuzemogelijkheden. </w:t>
      </w:r>
      <w:r w:rsidRPr="004531F5">
        <w:rPr>
          <w:rFonts w:ascii="Verdana" w:hAnsi="Verdana"/>
          <w:sz w:val="20"/>
          <w:szCs w:val="20"/>
        </w:rPr>
        <w:t>Voor de samenleving als geheel stelt het rapport dat d</w:t>
      </w:r>
      <w:r w:rsidRPr="004531F5" w:rsidR="00C12E2C">
        <w:rPr>
          <w:rFonts w:ascii="Verdana" w:hAnsi="Verdana"/>
          <w:sz w:val="20"/>
          <w:szCs w:val="20"/>
        </w:rPr>
        <w:t>e</w:t>
      </w:r>
      <w:r w:rsidRPr="004531F5" w:rsidR="00B06B09">
        <w:rPr>
          <w:rFonts w:ascii="Verdana" w:hAnsi="Verdana"/>
          <w:sz w:val="20"/>
          <w:szCs w:val="20"/>
        </w:rPr>
        <w:t xml:space="preserve"> extra zekerheid en </w:t>
      </w:r>
      <w:r w:rsidRPr="004531F5" w:rsidR="003A36AE">
        <w:rPr>
          <w:rFonts w:ascii="Verdana" w:hAnsi="Verdana"/>
          <w:sz w:val="20"/>
          <w:szCs w:val="20"/>
        </w:rPr>
        <w:t xml:space="preserve">stabiliteit die het geheel aan maatregelen biedt </w:t>
      </w:r>
      <w:r w:rsidRPr="004531F5" w:rsidR="00B06B09">
        <w:rPr>
          <w:rFonts w:ascii="Verdana" w:hAnsi="Verdana"/>
          <w:sz w:val="20"/>
          <w:szCs w:val="20"/>
        </w:rPr>
        <w:t xml:space="preserve">op termijn </w:t>
      </w:r>
      <w:r w:rsidRPr="004531F5" w:rsidR="003A36AE">
        <w:rPr>
          <w:rFonts w:ascii="Verdana" w:hAnsi="Verdana"/>
          <w:sz w:val="20"/>
          <w:szCs w:val="20"/>
        </w:rPr>
        <w:t>zal</w:t>
      </w:r>
      <w:r w:rsidRPr="004531F5">
        <w:rPr>
          <w:rFonts w:ascii="Verdana" w:hAnsi="Verdana"/>
          <w:sz w:val="20"/>
          <w:szCs w:val="20"/>
        </w:rPr>
        <w:t xml:space="preserve"> </w:t>
      </w:r>
      <w:r w:rsidRPr="004531F5" w:rsidR="00B06B09">
        <w:rPr>
          <w:rFonts w:ascii="Verdana" w:hAnsi="Verdana"/>
          <w:sz w:val="20"/>
          <w:szCs w:val="20"/>
        </w:rPr>
        <w:t xml:space="preserve">bijdragen aan het </w:t>
      </w:r>
      <w:r w:rsidRPr="004531F5" w:rsidR="003A36AE">
        <w:rPr>
          <w:rFonts w:ascii="Verdana" w:hAnsi="Verdana"/>
          <w:sz w:val="20"/>
          <w:szCs w:val="20"/>
        </w:rPr>
        <w:t xml:space="preserve">herstel van </w:t>
      </w:r>
      <w:r w:rsidRPr="004531F5" w:rsidR="00B06B09">
        <w:rPr>
          <w:rFonts w:ascii="Verdana" w:hAnsi="Verdana"/>
          <w:sz w:val="20"/>
          <w:szCs w:val="20"/>
        </w:rPr>
        <w:t xml:space="preserve">vertrouwen </w:t>
      </w:r>
      <w:r w:rsidRPr="004531F5" w:rsidR="0090068B">
        <w:rPr>
          <w:rFonts w:ascii="Verdana" w:hAnsi="Verdana"/>
          <w:sz w:val="20"/>
          <w:szCs w:val="20"/>
        </w:rPr>
        <w:t xml:space="preserve">in de bancaire sector. </w:t>
      </w:r>
      <w:r w:rsidRPr="004531F5" w:rsidR="00B06B09">
        <w:rPr>
          <w:rFonts w:ascii="Verdana" w:hAnsi="Verdana"/>
          <w:sz w:val="20"/>
          <w:szCs w:val="20"/>
        </w:rPr>
        <w:t xml:space="preserve">Keerzijde van deze maatregelen is dat </w:t>
      </w:r>
      <w:r w:rsidRPr="004531F5" w:rsidR="0047393F">
        <w:rPr>
          <w:rFonts w:ascii="Verdana" w:hAnsi="Verdana"/>
          <w:sz w:val="20"/>
          <w:szCs w:val="20"/>
        </w:rPr>
        <w:t xml:space="preserve">de </w:t>
      </w:r>
      <w:r w:rsidRPr="004531F5" w:rsidR="00B06B09">
        <w:rPr>
          <w:rFonts w:ascii="Verdana" w:hAnsi="Verdana"/>
          <w:sz w:val="20"/>
          <w:szCs w:val="20"/>
        </w:rPr>
        <w:t xml:space="preserve">prijs </w:t>
      </w:r>
      <w:r w:rsidRPr="004531F5" w:rsidR="000403EB">
        <w:rPr>
          <w:rFonts w:ascii="Verdana" w:hAnsi="Verdana"/>
          <w:sz w:val="20"/>
          <w:szCs w:val="20"/>
        </w:rPr>
        <w:t xml:space="preserve">van </w:t>
      </w:r>
      <w:r w:rsidRPr="004531F5" w:rsidR="00B06B09">
        <w:rPr>
          <w:rFonts w:ascii="Verdana" w:hAnsi="Verdana"/>
          <w:sz w:val="20"/>
          <w:szCs w:val="20"/>
        </w:rPr>
        <w:t xml:space="preserve">bancaire producten </w:t>
      </w:r>
      <w:r w:rsidRPr="004531F5" w:rsidR="000403EB">
        <w:rPr>
          <w:rFonts w:ascii="Verdana" w:hAnsi="Verdana"/>
          <w:sz w:val="20"/>
          <w:szCs w:val="20"/>
        </w:rPr>
        <w:t xml:space="preserve">zal stijgen en de beschikbaarheid </w:t>
      </w:r>
      <w:r w:rsidRPr="004531F5" w:rsidR="0047393F">
        <w:rPr>
          <w:rFonts w:ascii="Verdana" w:hAnsi="Verdana"/>
          <w:sz w:val="20"/>
          <w:szCs w:val="20"/>
        </w:rPr>
        <w:t xml:space="preserve">ervan </w:t>
      </w:r>
      <w:r w:rsidRPr="004531F5" w:rsidR="000403EB">
        <w:rPr>
          <w:rFonts w:ascii="Verdana" w:hAnsi="Verdana"/>
          <w:sz w:val="20"/>
          <w:szCs w:val="20"/>
        </w:rPr>
        <w:t xml:space="preserve">zal dalen. De bancaire dienstverlening zal worden versoberd. </w:t>
      </w:r>
    </w:p>
    <w:p w:rsidRPr="004531F5" w:rsidR="00FD5D6F" w:rsidP="00B84092" w:rsidRDefault="00FD5D6F">
      <w:pPr>
        <w:rPr>
          <w:rFonts w:ascii="Verdana" w:hAnsi="Verdana"/>
          <w:sz w:val="20"/>
          <w:szCs w:val="20"/>
        </w:rPr>
      </w:pPr>
    </w:p>
    <w:p w:rsidRPr="004531F5" w:rsidR="00FB1B22" w:rsidP="00B84092" w:rsidRDefault="00162ECC">
      <w:pPr>
        <w:rPr>
          <w:rFonts w:ascii="Verdana" w:hAnsi="Verdana"/>
          <w:i/>
          <w:sz w:val="20"/>
          <w:szCs w:val="20"/>
        </w:rPr>
      </w:pPr>
      <w:r w:rsidRPr="004531F5">
        <w:rPr>
          <w:rFonts w:ascii="Verdana" w:hAnsi="Verdana"/>
          <w:i/>
          <w:sz w:val="20"/>
          <w:szCs w:val="20"/>
        </w:rPr>
        <w:t>Algemene r</w:t>
      </w:r>
      <w:r w:rsidRPr="004531F5" w:rsidR="00FB1B22">
        <w:rPr>
          <w:rFonts w:ascii="Verdana" w:hAnsi="Verdana"/>
          <w:i/>
          <w:sz w:val="20"/>
          <w:szCs w:val="20"/>
        </w:rPr>
        <w:t>eactie</w:t>
      </w:r>
      <w:r w:rsidRPr="004531F5">
        <w:rPr>
          <w:rFonts w:ascii="Verdana" w:hAnsi="Verdana"/>
          <w:i/>
          <w:sz w:val="20"/>
          <w:szCs w:val="20"/>
        </w:rPr>
        <w:t xml:space="preserve"> op</w:t>
      </w:r>
      <w:r w:rsidRPr="004531F5" w:rsidR="00FD42E1">
        <w:rPr>
          <w:rFonts w:ascii="Verdana" w:hAnsi="Verdana"/>
          <w:i/>
          <w:sz w:val="20"/>
          <w:szCs w:val="20"/>
        </w:rPr>
        <w:t xml:space="preserve"> het </w:t>
      </w:r>
      <w:r w:rsidRPr="004531F5">
        <w:rPr>
          <w:rFonts w:ascii="Verdana" w:hAnsi="Verdana"/>
          <w:i/>
          <w:sz w:val="20"/>
          <w:szCs w:val="20"/>
        </w:rPr>
        <w:t>rapport</w:t>
      </w:r>
    </w:p>
    <w:p w:rsidRPr="004531F5" w:rsidR="006312AC" w:rsidP="00162ECC" w:rsidRDefault="00FD42E1">
      <w:pPr>
        <w:rPr>
          <w:rFonts w:ascii="Verdana" w:hAnsi="Verdana"/>
          <w:sz w:val="20"/>
          <w:szCs w:val="20"/>
        </w:rPr>
      </w:pPr>
      <w:r w:rsidRPr="004531F5">
        <w:rPr>
          <w:rFonts w:ascii="Verdana" w:hAnsi="Verdana"/>
          <w:sz w:val="20"/>
          <w:szCs w:val="20"/>
        </w:rPr>
        <w:t xml:space="preserve">Het kabinet </w:t>
      </w:r>
      <w:r w:rsidRPr="004531F5" w:rsidR="006312AC">
        <w:rPr>
          <w:rFonts w:ascii="Verdana" w:hAnsi="Verdana"/>
          <w:sz w:val="20"/>
          <w:szCs w:val="20"/>
        </w:rPr>
        <w:t xml:space="preserve">spreekt zijn waardering uit voor het werk </w:t>
      </w:r>
      <w:r w:rsidRPr="004531F5" w:rsidR="003C237E">
        <w:rPr>
          <w:rFonts w:ascii="Verdana" w:hAnsi="Verdana"/>
          <w:sz w:val="20"/>
          <w:szCs w:val="20"/>
        </w:rPr>
        <w:t xml:space="preserve">van de auteurs om de effecten van </w:t>
      </w:r>
      <w:r w:rsidRPr="004531F5" w:rsidR="006312AC">
        <w:rPr>
          <w:rFonts w:ascii="Verdana" w:hAnsi="Verdana"/>
          <w:sz w:val="20"/>
          <w:szCs w:val="20"/>
        </w:rPr>
        <w:t>een groot aantal nieuwe</w:t>
      </w:r>
      <w:r w:rsidRPr="004531F5" w:rsidR="003C237E">
        <w:rPr>
          <w:rFonts w:ascii="Verdana" w:hAnsi="Verdana"/>
          <w:sz w:val="20"/>
          <w:szCs w:val="20"/>
        </w:rPr>
        <w:t xml:space="preserve"> maatregelen waar de </w:t>
      </w:r>
      <w:r w:rsidRPr="004531F5" w:rsidR="006312AC">
        <w:rPr>
          <w:rFonts w:ascii="Verdana" w:hAnsi="Verdana"/>
          <w:sz w:val="20"/>
          <w:szCs w:val="20"/>
        </w:rPr>
        <w:t xml:space="preserve">bancaire </w:t>
      </w:r>
      <w:r w:rsidRPr="004531F5" w:rsidR="003C237E">
        <w:rPr>
          <w:rFonts w:ascii="Verdana" w:hAnsi="Verdana"/>
          <w:sz w:val="20"/>
          <w:szCs w:val="20"/>
        </w:rPr>
        <w:t xml:space="preserve">sector </w:t>
      </w:r>
      <w:r w:rsidRPr="004531F5" w:rsidR="006312AC">
        <w:rPr>
          <w:rFonts w:ascii="Verdana" w:hAnsi="Verdana"/>
          <w:sz w:val="20"/>
          <w:szCs w:val="20"/>
        </w:rPr>
        <w:t>mee te maken krijgt</w:t>
      </w:r>
      <w:r w:rsidRPr="004531F5" w:rsidR="003C237E">
        <w:rPr>
          <w:rFonts w:ascii="Verdana" w:hAnsi="Verdana"/>
          <w:sz w:val="20"/>
          <w:szCs w:val="20"/>
        </w:rPr>
        <w:t xml:space="preserve"> op een </w:t>
      </w:r>
      <w:r w:rsidRPr="004531F5" w:rsidR="005457BF">
        <w:rPr>
          <w:rFonts w:ascii="Verdana" w:hAnsi="Verdana"/>
          <w:sz w:val="20"/>
          <w:szCs w:val="20"/>
        </w:rPr>
        <w:t xml:space="preserve">samenhangende </w:t>
      </w:r>
      <w:r w:rsidRPr="004531F5" w:rsidR="003C237E">
        <w:rPr>
          <w:rFonts w:ascii="Verdana" w:hAnsi="Verdana"/>
          <w:sz w:val="20"/>
          <w:szCs w:val="20"/>
        </w:rPr>
        <w:t xml:space="preserve">manier in beeld te brengen. </w:t>
      </w:r>
      <w:r w:rsidRPr="004531F5" w:rsidR="006312AC">
        <w:rPr>
          <w:rFonts w:ascii="Verdana" w:hAnsi="Verdana"/>
          <w:sz w:val="20"/>
          <w:szCs w:val="20"/>
        </w:rPr>
        <w:t>Het rapport is een waardevolle aanvulling op eerdere rapporten</w:t>
      </w:r>
      <w:r w:rsidRPr="004531F5" w:rsidR="00EE6E7A">
        <w:rPr>
          <w:rFonts w:ascii="Verdana" w:hAnsi="Verdana"/>
          <w:sz w:val="20"/>
          <w:szCs w:val="20"/>
        </w:rPr>
        <w:t xml:space="preserve"> over dit onderwerp, zoals de analyse</w:t>
      </w:r>
      <w:r w:rsidRPr="004531F5" w:rsidR="00D86820">
        <w:rPr>
          <w:rFonts w:ascii="Verdana" w:hAnsi="Verdana"/>
          <w:sz w:val="20"/>
          <w:szCs w:val="20"/>
        </w:rPr>
        <w:t>s</w:t>
      </w:r>
      <w:r w:rsidRPr="004531F5" w:rsidR="00EE6E7A">
        <w:rPr>
          <w:rFonts w:ascii="Verdana" w:hAnsi="Verdana"/>
          <w:sz w:val="20"/>
          <w:szCs w:val="20"/>
        </w:rPr>
        <w:t xml:space="preserve"> van het Basels Comité, DNB en CPB over de introductie van Basel </w:t>
      </w:r>
      <w:r w:rsidRPr="004531F5" w:rsidR="00130F88">
        <w:rPr>
          <w:rFonts w:ascii="Verdana" w:hAnsi="Verdana"/>
          <w:sz w:val="20"/>
          <w:szCs w:val="20"/>
        </w:rPr>
        <w:t>III</w:t>
      </w:r>
      <w:r w:rsidRPr="004531F5" w:rsidR="00EE6E7A">
        <w:rPr>
          <w:rFonts w:ascii="Verdana" w:hAnsi="Verdana"/>
          <w:sz w:val="20"/>
          <w:szCs w:val="20"/>
        </w:rPr>
        <w:t>/hogere kapitaalseisen.</w:t>
      </w:r>
      <w:r w:rsidRPr="004531F5" w:rsidR="00EE6E7A">
        <w:rPr>
          <w:rStyle w:val="Voetnootmarkering"/>
          <w:rFonts w:ascii="Verdana" w:hAnsi="Verdana"/>
          <w:sz w:val="20"/>
          <w:szCs w:val="20"/>
        </w:rPr>
        <w:footnoteReference w:id="3"/>
      </w:r>
    </w:p>
    <w:p w:rsidRPr="004531F5" w:rsidR="006312AC" w:rsidP="00162ECC" w:rsidRDefault="006312AC">
      <w:pPr>
        <w:rPr>
          <w:rFonts w:ascii="Verdana" w:hAnsi="Verdana"/>
          <w:sz w:val="20"/>
          <w:szCs w:val="20"/>
        </w:rPr>
      </w:pPr>
    </w:p>
    <w:p w:rsidR="00B21379" w:rsidP="00162ECC" w:rsidRDefault="00FF5091">
      <w:pPr>
        <w:rPr>
          <w:rFonts w:ascii="Verdana" w:hAnsi="Verdana"/>
          <w:sz w:val="20"/>
          <w:szCs w:val="20"/>
        </w:rPr>
      </w:pPr>
      <w:r w:rsidRPr="004531F5">
        <w:rPr>
          <w:rFonts w:ascii="Verdana" w:hAnsi="Verdana"/>
          <w:sz w:val="20"/>
          <w:szCs w:val="20"/>
        </w:rPr>
        <w:t xml:space="preserve">Het </w:t>
      </w:r>
      <w:r w:rsidRPr="004531F5" w:rsidR="00EE6E7A">
        <w:rPr>
          <w:rFonts w:ascii="Verdana" w:hAnsi="Verdana"/>
          <w:sz w:val="20"/>
          <w:szCs w:val="20"/>
        </w:rPr>
        <w:t xml:space="preserve">kabinet erkent dat de 38 maatregelen die het rapport op een rij zet veel van de banken vergen. Tegelijk is er ook veel misgegaan in de financiële crisis en kunnen de vele aan het licht gekomen problemen niet met </w:t>
      </w:r>
      <w:r w:rsidRPr="004531F5" w:rsidR="00CA3B48">
        <w:rPr>
          <w:rFonts w:ascii="Verdana" w:hAnsi="Verdana"/>
          <w:sz w:val="20"/>
          <w:szCs w:val="20"/>
        </w:rPr>
        <w:t>een</w:t>
      </w:r>
      <w:r w:rsidRPr="004531F5" w:rsidR="00EE6E7A">
        <w:rPr>
          <w:rFonts w:ascii="Verdana" w:hAnsi="Verdana"/>
          <w:sz w:val="20"/>
          <w:szCs w:val="20"/>
        </w:rPr>
        <w:t xml:space="preserve"> of </w:t>
      </w:r>
      <w:r w:rsidRPr="004531F5" w:rsidR="00CA3B48">
        <w:rPr>
          <w:rFonts w:ascii="Verdana" w:hAnsi="Verdana"/>
          <w:sz w:val="20"/>
          <w:szCs w:val="20"/>
        </w:rPr>
        <w:t>twee</w:t>
      </w:r>
      <w:r w:rsidRPr="004531F5" w:rsidR="00EE6E7A">
        <w:rPr>
          <w:rFonts w:ascii="Verdana" w:hAnsi="Verdana"/>
          <w:sz w:val="20"/>
          <w:szCs w:val="20"/>
        </w:rPr>
        <w:t xml:space="preserve"> simpele maatregelen worden afgedaan.</w:t>
      </w:r>
      <w:r w:rsidRPr="004531F5" w:rsidR="00051D07">
        <w:rPr>
          <w:rFonts w:ascii="Verdana" w:hAnsi="Verdana"/>
          <w:sz w:val="20"/>
          <w:szCs w:val="20"/>
        </w:rPr>
        <w:t xml:space="preserve"> Het gros van de maatregelen</w:t>
      </w:r>
      <w:r w:rsidRPr="004531F5" w:rsidR="003C237E">
        <w:rPr>
          <w:rFonts w:ascii="Verdana" w:hAnsi="Verdana"/>
          <w:sz w:val="20"/>
          <w:szCs w:val="20"/>
        </w:rPr>
        <w:t xml:space="preserve"> draagt</w:t>
      </w:r>
      <w:r w:rsidRPr="004531F5" w:rsidR="00395B43">
        <w:rPr>
          <w:rFonts w:ascii="Verdana" w:hAnsi="Verdana"/>
          <w:sz w:val="20"/>
          <w:szCs w:val="20"/>
        </w:rPr>
        <w:t xml:space="preserve"> ertoe bij dat </w:t>
      </w:r>
      <w:r w:rsidRPr="004531F5" w:rsidR="00162ECC">
        <w:rPr>
          <w:rFonts w:ascii="Verdana" w:hAnsi="Verdana"/>
          <w:sz w:val="20"/>
          <w:szCs w:val="20"/>
        </w:rPr>
        <w:t xml:space="preserve">het </w:t>
      </w:r>
      <w:r w:rsidRPr="004531F5" w:rsidR="00B84092">
        <w:rPr>
          <w:rFonts w:ascii="Verdana" w:hAnsi="Verdana"/>
          <w:sz w:val="20"/>
          <w:szCs w:val="20"/>
        </w:rPr>
        <w:t>financieel st</w:t>
      </w:r>
      <w:r w:rsidRPr="004531F5" w:rsidR="00395B43">
        <w:rPr>
          <w:rFonts w:ascii="Verdana" w:hAnsi="Verdana"/>
          <w:sz w:val="20"/>
          <w:szCs w:val="20"/>
        </w:rPr>
        <w:t>elsel zo wordt ingericht dat de kans op een nieuwe financiële crisis zo klein mogelijk wordt gemaakt</w:t>
      </w:r>
      <w:r w:rsidRPr="004531F5" w:rsidR="00C066F6">
        <w:rPr>
          <w:rFonts w:ascii="Verdana" w:hAnsi="Verdana"/>
          <w:sz w:val="20"/>
          <w:szCs w:val="20"/>
        </w:rPr>
        <w:t xml:space="preserve">, dat de kans dat een beroep op de </w:t>
      </w:r>
      <w:r w:rsidRPr="004531F5" w:rsidR="00162ECC">
        <w:rPr>
          <w:rFonts w:ascii="Verdana" w:hAnsi="Verdana"/>
          <w:sz w:val="20"/>
          <w:szCs w:val="20"/>
        </w:rPr>
        <w:t xml:space="preserve">belastingbetaler </w:t>
      </w:r>
      <w:r w:rsidRPr="004531F5" w:rsidR="00C066F6">
        <w:rPr>
          <w:rFonts w:ascii="Verdana" w:hAnsi="Verdana"/>
          <w:sz w:val="20"/>
          <w:szCs w:val="20"/>
        </w:rPr>
        <w:t xml:space="preserve">moet worden gedaan wordt geminimaliseerd, en dat de sector zich </w:t>
      </w:r>
      <w:r w:rsidRPr="004531F5" w:rsidR="006312AC">
        <w:rPr>
          <w:rFonts w:ascii="Verdana" w:hAnsi="Verdana"/>
          <w:sz w:val="20"/>
          <w:szCs w:val="20"/>
        </w:rPr>
        <w:t xml:space="preserve">primair </w:t>
      </w:r>
      <w:r w:rsidRPr="004531F5" w:rsidR="00C066F6">
        <w:rPr>
          <w:rFonts w:ascii="Verdana" w:hAnsi="Verdana"/>
          <w:sz w:val="20"/>
          <w:szCs w:val="20"/>
        </w:rPr>
        <w:t>richt op het belang van haar klanten</w:t>
      </w:r>
      <w:r w:rsidRPr="004531F5" w:rsidR="00B84092">
        <w:rPr>
          <w:rFonts w:ascii="Verdana" w:hAnsi="Verdana"/>
          <w:sz w:val="20"/>
          <w:szCs w:val="20"/>
        </w:rPr>
        <w:t>.</w:t>
      </w:r>
      <w:r w:rsidRPr="004531F5">
        <w:rPr>
          <w:rFonts w:ascii="Verdana" w:hAnsi="Verdana"/>
          <w:sz w:val="20"/>
          <w:szCs w:val="20"/>
        </w:rPr>
        <w:t xml:space="preserve"> </w:t>
      </w:r>
      <w:r w:rsidRPr="004531F5" w:rsidR="00EE6E7A">
        <w:rPr>
          <w:rFonts w:ascii="Verdana" w:hAnsi="Verdana"/>
          <w:sz w:val="20"/>
          <w:szCs w:val="20"/>
        </w:rPr>
        <w:t>Verder hoeven h</w:t>
      </w:r>
      <w:r w:rsidRPr="004531F5">
        <w:rPr>
          <w:rFonts w:ascii="Verdana" w:hAnsi="Verdana"/>
          <w:sz w:val="20"/>
          <w:szCs w:val="20"/>
        </w:rPr>
        <w:t xml:space="preserve">ervormingen van de financiële sector </w:t>
      </w:r>
      <w:r w:rsidRPr="004531F5" w:rsidR="00162ECC">
        <w:rPr>
          <w:rFonts w:ascii="Verdana" w:hAnsi="Verdana"/>
          <w:sz w:val="20"/>
          <w:szCs w:val="20"/>
        </w:rPr>
        <w:t xml:space="preserve">ook </w:t>
      </w:r>
      <w:r w:rsidRPr="004531F5" w:rsidR="00991CA9">
        <w:rPr>
          <w:rFonts w:ascii="Verdana" w:hAnsi="Verdana"/>
          <w:sz w:val="20"/>
          <w:szCs w:val="20"/>
        </w:rPr>
        <w:t xml:space="preserve">zeker </w:t>
      </w:r>
      <w:r w:rsidRPr="004531F5" w:rsidR="00162ECC">
        <w:rPr>
          <w:rFonts w:ascii="Verdana" w:hAnsi="Verdana"/>
          <w:sz w:val="20"/>
          <w:szCs w:val="20"/>
        </w:rPr>
        <w:t xml:space="preserve">niet schadelijk </w:t>
      </w:r>
      <w:r w:rsidRPr="004531F5" w:rsidR="00ED6866">
        <w:rPr>
          <w:rFonts w:ascii="Verdana" w:hAnsi="Verdana"/>
          <w:sz w:val="20"/>
          <w:szCs w:val="20"/>
        </w:rPr>
        <w:t xml:space="preserve">te zijn voor de economie. </w:t>
      </w:r>
      <w:r w:rsidRPr="004531F5" w:rsidR="00CA3B48">
        <w:rPr>
          <w:rFonts w:ascii="Verdana" w:hAnsi="Verdana"/>
          <w:sz w:val="20"/>
          <w:szCs w:val="20"/>
        </w:rPr>
        <w:t>De</w:t>
      </w:r>
      <w:r w:rsidRPr="004531F5" w:rsidR="00EE6E7A">
        <w:rPr>
          <w:rFonts w:ascii="Verdana" w:hAnsi="Verdana"/>
          <w:sz w:val="20"/>
          <w:szCs w:val="20"/>
        </w:rPr>
        <w:t xml:space="preserve"> bovengenoemde</w:t>
      </w:r>
      <w:r w:rsidRPr="004531F5" w:rsidR="00162ECC">
        <w:rPr>
          <w:rFonts w:ascii="Verdana" w:hAnsi="Verdana"/>
          <w:sz w:val="20"/>
          <w:szCs w:val="20"/>
        </w:rPr>
        <w:t xml:space="preserve"> </w:t>
      </w:r>
      <w:r w:rsidRPr="004531F5" w:rsidR="00EE6E7A">
        <w:rPr>
          <w:rFonts w:ascii="Verdana" w:hAnsi="Verdana"/>
          <w:sz w:val="20"/>
          <w:szCs w:val="20"/>
        </w:rPr>
        <w:t>onderzoek</w:t>
      </w:r>
      <w:r w:rsidRPr="004531F5" w:rsidR="00CA3B48">
        <w:rPr>
          <w:rFonts w:ascii="Verdana" w:hAnsi="Verdana"/>
          <w:sz w:val="20"/>
          <w:szCs w:val="20"/>
        </w:rPr>
        <w:t>en</w:t>
      </w:r>
      <w:r w:rsidRPr="004531F5" w:rsidR="00EE6E7A">
        <w:rPr>
          <w:rFonts w:ascii="Verdana" w:hAnsi="Verdana"/>
          <w:sz w:val="20"/>
          <w:szCs w:val="20"/>
        </w:rPr>
        <w:t xml:space="preserve"> door </w:t>
      </w:r>
      <w:r w:rsidRPr="004531F5" w:rsidR="00ED6866">
        <w:rPr>
          <w:rFonts w:ascii="Verdana" w:hAnsi="Verdana"/>
          <w:sz w:val="20"/>
          <w:szCs w:val="20"/>
        </w:rPr>
        <w:t xml:space="preserve">het </w:t>
      </w:r>
      <w:proofErr w:type="spellStart"/>
      <w:r w:rsidRPr="004531F5" w:rsidR="00ED6866">
        <w:rPr>
          <w:rFonts w:ascii="Verdana" w:hAnsi="Verdana"/>
          <w:sz w:val="20"/>
          <w:szCs w:val="20"/>
        </w:rPr>
        <w:t>Basel</w:t>
      </w:r>
      <w:r w:rsidRPr="004531F5" w:rsidR="00EE6E7A">
        <w:rPr>
          <w:rFonts w:ascii="Verdana" w:hAnsi="Verdana"/>
          <w:sz w:val="20"/>
          <w:szCs w:val="20"/>
        </w:rPr>
        <w:t>s</w:t>
      </w:r>
      <w:proofErr w:type="spellEnd"/>
      <w:r w:rsidRPr="004531F5" w:rsidR="00ED6866">
        <w:rPr>
          <w:rFonts w:ascii="Verdana" w:hAnsi="Verdana"/>
          <w:sz w:val="20"/>
          <w:szCs w:val="20"/>
        </w:rPr>
        <w:t xml:space="preserve"> Comit</w:t>
      </w:r>
      <w:r w:rsidRPr="004531F5" w:rsidR="00EE6E7A">
        <w:rPr>
          <w:rFonts w:ascii="Verdana" w:hAnsi="Verdana"/>
          <w:sz w:val="20"/>
          <w:szCs w:val="20"/>
        </w:rPr>
        <w:t>é</w:t>
      </w:r>
      <w:r w:rsidRPr="004531F5" w:rsidR="00162ECC">
        <w:rPr>
          <w:rFonts w:ascii="Verdana" w:hAnsi="Verdana"/>
          <w:sz w:val="20"/>
          <w:szCs w:val="20"/>
        </w:rPr>
        <w:t xml:space="preserve">, DNB en CPB laten </w:t>
      </w:r>
      <w:r w:rsidRPr="004531F5" w:rsidR="00EE6E7A">
        <w:rPr>
          <w:rFonts w:ascii="Verdana" w:hAnsi="Verdana"/>
          <w:sz w:val="20"/>
          <w:szCs w:val="20"/>
        </w:rPr>
        <w:t xml:space="preserve">elk </w:t>
      </w:r>
      <w:r w:rsidRPr="004531F5" w:rsidR="00162ECC">
        <w:rPr>
          <w:rFonts w:ascii="Verdana" w:hAnsi="Verdana"/>
          <w:sz w:val="20"/>
          <w:szCs w:val="20"/>
        </w:rPr>
        <w:t xml:space="preserve">zien dat </w:t>
      </w:r>
      <w:r w:rsidRPr="004531F5" w:rsidR="00137BB9">
        <w:rPr>
          <w:rFonts w:ascii="Verdana" w:hAnsi="Verdana"/>
          <w:sz w:val="20"/>
          <w:szCs w:val="20"/>
        </w:rPr>
        <w:t xml:space="preserve">bij de </w:t>
      </w:r>
      <w:r w:rsidRPr="004531F5" w:rsidR="00162ECC">
        <w:rPr>
          <w:rFonts w:ascii="Verdana" w:hAnsi="Verdana"/>
          <w:sz w:val="20"/>
          <w:szCs w:val="20"/>
        </w:rPr>
        <w:t>introductie van Basel</w:t>
      </w:r>
      <w:r w:rsidRPr="004531F5" w:rsidR="00137BB9">
        <w:rPr>
          <w:rFonts w:ascii="Verdana" w:hAnsi="Verdana"/>
          <w:sz w:val="20"/>
          <w:szCs w:val="20"/>
        </w:rPr>
        <w:t xml:space="preserve"> </w:t>
      </w:r>
      <w:r w:rsidRPr="004531F5" w:rsidR="00130F88">
        <w:rPr>
          <w:rFonts w:ascii="Verdana" w:hAnsi="Verdana"/>
          <w:sz w:val="20"/>
          <w:szCs w:val="20"/>
        </w:rPr>
        <w:t>III</w:t>
      </w:r>
      <w:r w:rsidRPr="004531F5" w:rsidR="00C066F6">
        <w:rPr>
          <w:rFonts w:ascii="Verdana" w:hAnsi="Verdana"/>
          <w:sz w:val="20"/>
          <w:szCs w:val="20"/>
        </w:rPr>
        <w:t xml:space="preserve"> </w:t>
      </w:r>
      <w:r w:rsidRPr="004531F5" w:rsidR="00137BB9">
        <w:rPr>
          <w:rFonts w:ascii="Verdana" w:hAnsi="Verdana"/>
          <w:sz w:val="20"/>
          <w:szCs w:val="20"/>
        </w:rPr>
        <w:t xml:space="preserve">de baten </w:t>
      </w:r>
      <w:r w:rsidRPr="004531F5" w:rsidR="00EE6E7A">
        <w:rPr>
          <w:rFonts w:ascii="Verdana" w:hAnsi="Verdana"/>
          <w:sz w:val="20"/>
          <w:szCs w:val="20"/>
        </w:rPr>
        <w:t xml:space="preserve">van een stabielere bancaire sector op de lange termijn </w:t>
      </w:r>
      <w:r w:rsidRPr="004531F5" w:rsidR="005457BF">
        <w:rPr>
          <w:rFonts w:ascii="Verdana" w:hAnsi="Verdana"/>
          <w:sz w:val="20"/>
          <w:szCs w:val="20"/>
        </w:rPr>
        <w:t xml:space="preserve">duidelijk </w:t>
      </w:r>
      <w:r w:rsidRPr="004531F5" w:rsidR="00137BB9">
        <w:rPr>
          <w:rFonts w:ascii="Verdana" w:hAnsi="Verdana"/>
          <w:sz w:val="20"/>
          <w:szCs w:val="20"/>
        </w:rPr>
        <w:t>opwegen tegen de kosten</w:t>
      </w:r>
      <w:r w:rsidRPr="004531F5" w:rsidR="00162ECC">
        <w:rPr>
          <w:rFonts w:ascii="Verdana" w:hAnsi="Verdana"/>
          <w:sz w:val="20"/>
          <w:szCs w:val="20"/>
        </w:rPr>
        <w:t>.</w:t>
      </w:r>
      <w:r w:rsidR="003A265F">
        <w:rPr>
          <w:rFonts w:ascii="Verdana" w:hAnsi="Verdana"/>
          <w:sz w:val="20"/>
          <w:szCs w:val="20"/>
        </w:rPr>
        <w:t xml:space="preserve"> </w:t>
      </w:r>
    </w:p>
    <w:p w:rsidRPr="004531F5" w:rsidR="003A265F" w:rsidP="00162ECC" w:rsidRDefault="003A265F">
      <w:pPr>
        <w:rPr>
          <w:rFonts w:ascii="Verdana" w:hAnsi="Verdana"/>
          <w:sz w:val="20"/>
          <w:szCs w:val="20"/>
        </w:rPr>
      </w:pPr>
    </w:p>
    <w:p w:rsidRPr="004531F5" w:rsidR="00FB1B22" w:rsidP="00162ECC" w:rsidRDefault="00FF5091">
      <w:pPr>
        <w:rPr>
          <w:rFonts w:ascii="Verdana" w:hAnsi="Verdana"/>
          <w:sz w:val="20"/>
          <w:szCs w:val="20"/>
        </w:rPr>
      </w:pPr>
      <w:r w:rsidRPr="004531F5">
        <w:rPr>
          <w:rFonts w:ascii="Verdana" w:hAnsi="Verdana"/>
          <w:sz w:val="20"/>
          <w:szCs w:val="20"/>
        </w:rPr>
        <w:t xml:space="preserve">De </w:t>
      </w:r>
      <w:r w:rsidRPr="004531F5" w:rsidR="007840E4">
        <w:rPr>
          <w:rFonts w:ascii="Verdana" w:hAnsi="Verdana"/>
          <w:sz w:val="20"/>
          <w:szCs w:val="20"/>
        </w:rPr>
        <w:t xml:space="preserve">door de auteurs </w:t>
      </w:r>
      <w:r w:rsidRPr="004531F5" w:rsidR="005457BF">
        <w:rPr>
          <w:rFonts w:ascii="Verdana" w:hAnsi="Verdana"/>
          <w:sz w:val="20"/>
          <w:szCs w:val="20"/>
        </w:rPr>
        <w:t xml:space="preserve">berekende </w:t>
      </w:r>
      <w:r w:rsidRPr="004531F5">
        <w:rPr>
          <w:rFonts w:ascii="Verdana" w:hAnsi="Verdana"/>
          <w:sz w:val="20"/>
          <w:szCs w:val="20"/>
        </w:rPr>
        <w:t xml:space="preserve">impact van de maatregelen op </w:t>
      </w:r>
      <w:r w:rsidRPr="004531F5" w:rsidR="005457BF">
        <w:rPr>
          <w:rFonts w:ascii="Verdana" w:hAnsi="Verdana"/>
          <w:sz w:val="20"/>
          <w:szCs w:val="20"/>
        </w:rPr>
        <w:t xml:space="preserve">de omvang van de </w:t>
      </w:r>
      <w:r w:rsidRPr="004531F5">
        <w:rPr>
          <w:rFonts w:ascii="Verdana" w:hAnsi="Verdana"/>
          <w:sz w:val="20"/>
          <w:szCs w:val="20"/>
        </w:rPr>
        <w:t xml:space="preserve">kredietverlening en </w:t>
      </w:r>
      <w:r w:rsidRPr="004531F5" w:rsidR="005457BF">
        <w:rPr>
          <w:rFonts w:ascii="Verdana" w:hAnsi="Verdana"/>
          <w:sz w:val="20"/>
          <w:szCs w:val="20"/>
        </w:rPr>
        <w:t xml:space="preserve">de </w:t>
      </w:r>
      <w:r w:rsidRPr="004531F5">
        <w:rPr>
          <w:rFonts w:ascii="Verdana" w:hAnsi="Verdana"/>
          <w:sz w:val="20"/>
          <w:szCs w:val="20"/>
        </w:rPr>
        <w:t>tarieven is niettemin fors.</w:t>
      </w:r>
      <w:r w:rsidRPr="004531F5" w:rsidR="005907DC">
        <w:rPr>
          <w:rFonts w:ascii="Verdana" w:hAnsi="Verdana"/>
          <w:sz w:val="20"/>
          <w:szCs w:val="20"/>
        </w:rPr>
        <w:t xml:space="preserve"> In </w:t>
      </w:r>
      <w:r w:rsidRPr="004531F5" w:rsidR="007840E4">
        <w:rPr>
          <w:rFonts w:ascii="Verdana" w:hAnsi="Verdana"/>
          <w:sz w:val="20"/>
          <w:szCs w:val="20"/>
        </w:rPr>
        <w:t xml:space="preserve">het </w:t>
      </w:r>
      <w:r w:rsidRPr="004531F5" w:rsidR="005907DC">
        <w:rPr>
          <w:rFonts w:ascii="Verdana" w:hAnsi="Verdana"/>
          <w:sz w:val="20"/>
          <w:szCs w:val="20"/>
        </w:rPr>
        <w:t xml:space="preserve">onderstaande wil ik daarom enkele belangrijke aannames </w:t>
      </w:r>
      <w:r w:rsidRPr="004531F5" w:rsidR="00897FD1">
        <w:rPr>
          <w:rFonts w:ascii="Verdana" w:hAnsi="Verdana"/>
          <w:sz w:val="20"/>
          <w:szCs w:val="20"/>
        </w:rPr>
        <w:t xml:space="preserve">die aan deze berekeningen ten grondslag liggen </w:t>
      </w:r>
      <w:r w:rsidRPr="004531F5" w:rsidR="005907DC">
        <w:rPr>
          <w:rFonts w:ascii="Verdana" w:hAnsi="Verdana"/>
          <w:sz w:val="20"/>
          <w:szCs w:val="20"/>
        </w:rPr>
        <w:t xml:space="preserve">in de </w:t>
      </w:r>
      <w:r w:rsidRPr="004531F5" w:rsidR="005907DC">
        <w:rPr>
          <w:rFonts w:ascii="Verdana" w:hAnsi="Verdana"/>
          <w:sz w:val="20"/>
          <w:szCs w:val="20"/>
        </w:rPr>
        <w:lastRenderedPageBreak/>
        <w:t>relevante context plaatsen.</w:t>
      </w:r>
      <w:r w:rsidRPr="004531F5" w:rsidR="000E28CE">
        <w:rPr>
          <w:rFonts w:ascii="Verdana" w:hAnsi="Verdana"/>
          <w:sz w:val="20"/>
          <w:szCs w:val="20"/>
        </w:rPr>
        <w:t xml:space="preserve"> Ik ga </w:t>
      </w:r>
      <w:r w:rsidRPr="004531F5" w:rsidR="00B34AB6">
        <w:rPr>
          <w:rFonts w:ascii="Verdana" w:hAnsi="Verdana"/>
          <w:sz w:val="20"/>
          <w:szCs w:val="20"/>
        </w:rPr>
        <w:t xml:space="preserve">eerst in </w:t>
      </w:r>
      <w:r w:rsidRPr="004531F5" w:rsidR="000E28CE">
        <w:rPr>
          <w:rFonts w:ascii="Verdana" w:hAnsi="Verdana"/>
          <w:sz w:val="20"/>
          <w:szCs w:val="20"/>
        </w:rPr>
        <w:t xml:space="preserve">op de aannames </w:t>
      </w:r>
      <w:r w:rsidRPr="004531F5" w:rsidR="00E91B66">
        <w:rPr>
          <w:rFonts w:ascii="Verdana" w:hAnsi="Verdana"/>
          <w:sz w:val="20"/>
          <w:szCs w:val="20"/>
        </w:rPr>
        <w:t xml:space="preserve">over </w:t>
      </w:r>
      <w:r w:rsidRPr="004531F5" w:rsidR="000E28CE">
        <w:rPr>
          <w:rFonts w:ascii="Verdana" w:hAnsi="Verdana"/>
          <w:sz w:val="20"/>
          <w:szCs w:val="20"/>
        </w:rPr>
        <w:t>de NSFR</w:t>
      </w:r>
      <w:r w:rsidRPr="004531F5" w:rsidR="00B34AB6">
        <w:rPr>
          <w:rFonts w:ascii="Verdana" w:hAnsi="Verdana"/>
          <w:sz w:val="20"/>
          <w:szCs w:val="20"/>
        </w:rPr>
        <w:t xml:space="preserve">. Volgens het rapport is </w:t>
      </w:r>
      <w:r w:rsidRPr="004531F5" w:rsidR="005457BF">
        <w:rPr>
          <w:rFonts w:ascii="Verdana" w:hAnsi="Verdana"/>
          <w:sz w:val="20"/>
          <w:szCs w:val="20"/>
        </w:rPr>
        <w:t xml:space="preserve">deze </w:t>
      </w:r>
      <w:r w:rsidRPr="004531F5" w:rsidR="00B34AB6">
        <w:rPr>
          <w:rFonts w:ascii="Verdana" w:hAnsi="Verdana"/>
          <w:sz w:val="20"/>
          <w:szCs w:val="20"/>
        </w:rPr>
        <w:t xml:space="preserve">de voornaamste </w:t>
      </w:r>
      <w:r w:rsidRPr="004531F5" w:rsidR="007840E4">
        <w:rPr>
          <w:rFonts w:ascii="Verdana" w:hAnsi="Verdana"/>
          <w:sz w:val="20"/>
          <w:szCs w:val="20"/>
        </w:rPr>
        <w:t xml:space="preserve">oorzaak </w:t>
      </w:r>
      <w:r w:rsidRPr="004531F5" w:rsidR="00B34AB6">
        <w:rPr>
          <w:rFonts w:ascii="Verdana" w:hAnsi="Verdana"/>
          <w:sz w:val="20"/>
          <w:szCs w:val="20"/>
        </w:rPr>
        <w:t>achter d</w:t>
      </w:r>
      <w:r w:rsidRPr="004531F5" w:rsidR="00CA3B48">
        <w:rPr>
          <w:rFonts w:ascii="Verdana" w:hAnsi="Verdana"/>
          <w:sz w:val="20"/>
          <w:szCs w:val="20"/>
        </w:rPr>
        <w:t xml:space="preserve">e afname van de kredietverlening met 200 miljard euro. </w:t>
      </w:r>
      <w:r w:rsidRPr="004531F5" w:rsidR="00E91B66">
        <w:rPr>
          <w:rFonts w:ascii="Verdana" w:hAnsi="Verdana"/>
          <w:sz w:val="20"/>
          <w:szCs w:val="20"/>
        </w:rPr>
        <w:t>Vervolgens zal ik enkele kanttekeningen</w:t>
      </w:r>
      <w:r w:rsidRPr="004531F5" w:rsidR="00756B77">
        <w:rPr>
          <w:rFonts w:ascii="Verdana" w:hAnsi="Verdana"/>
          <w:sz w:val="20"/>
          <w:szCs w:val="20"/>
        </w:rPr>
        <w:t xml:space="preserve"> </w:t>
      </w:r>
      <w:r w:rsidRPr="004531F5" w:rsidR="00CA3B48">
        <w:rPr>
          <w:rFonts w:ascii="Verdana" w:hAnsi="Verdana"/>
          <w:sz w:val="20"/>
          <w:szCs w:val="20"/>
        </w:rPr>
        <w:t>plaatsen bij</w:t>
      </w:r>
      <w:r w:rsidRPr="004531F5" w:rsidR="00756B77">
        <w:rPr>
          <w:rFonts w:ascii="Verdana" w:hAnsi="Verdana"/>
          <w:sz w:val="20"/>
          <w:szCs w:val="20"/>
        </w:rPr>
        <w:t xml:space="preserve"> </w:t>
      </w:r>
      <w:r w:rsidRPr="004531F5" w:rsidR="00A478DC">
        <w:rPr>
          <w:rFonts w:ascii="Verdana" w:hAnsi="Verdana"/>
          <w:sz w:val="20"/>
          <w:szCs w:val="20"/>
        </w:rPr>
        <w:t xml:space="preserve">de aannames </w:t>
      </w:r>
      <w:r w:rsidRPr="004531F5" w:rsidR="00756B77">
        <w:rPr>
          <w:rFonts w:ascii="Verdana" w:hAnsi="Verdana"/>
          <w:sz w:val="20"/>
          <w:szCs w:val="20"/>
        </w:rPr>
        <w:t>ten aanzien van</w:t>
      </w:r>
      <w:r w:rsidRPr="004531F5" w:rsidR="00E91B66">
        <w:rPr>
          <w:rFonts w:ascii="Verdana" w:hAnsi="Verdana"/>
          <w:sz w:val="20"/>
          <w:szCs w:val="20"/>
        </w:rPr>
        <w:t xml:space="preserve"> </w:t>
      </w:r>
      <w:r w:rsidRPr="004531F5" w:rsidR="000E28CE">
        <w:rPr>
          <w:rFonts w:ascii="Verdana" w:hAnsi="Verdana"/>
          <w:sz w:val="20"/>
          <w:szCs w:val="20"/>
        </w:rPr>
        <w:t>converteerbare schuld</w:t>
      </w:r>
      <w:r w:rsidRPr="004531F5" w:rsidR="00733BE2">
        <w:rPr>
          <w:rFonts w:ascii="Verdana" w:hAnsi="Verdana"/>
          <w:sz w:val="20"/>
          <w:szCs w:val="20"/>
        </w:rPr>
        <w:t xml:space="preserve"> en </w:t>
      </w:r>
      <w:r w:rsidRPr="004531F5" w:rsidR="005457BF">
        <w:rPr>
          <w:rFonts w:ascii="Verdana" w:hAnsi="Verdana"/>
          <w:sz w:val="20"/>
          <w:szCs w:val="20"/>
        </w:rPr>
        <w:t xml:space="preserve">de </w:t>
      </w:r>
      <w:r w:rsidRPr="004531F5" w:rsidR="0034405C">
        <w:rPr>
          <w:rFonts w:ascii="Verdana" w:hAnsi="Verdana"/>
          <w:sz w:val="20"/>
          <w:szCs w:val="20"/>
        </w:rPr>
        <w:t>netto</w:t>
      </w:r>
      <w:r w:rsidRPr="004531F5" w:rsidR="00A00788">
        <w:rPr>
          <w:rFonts w:ascii="Verdana" w:hAnsi="Verdana"/>
          <w:sz w:val="20"/>
          <w:szCs w:val="20"/>
        </w:rPr>
        <w:t xml:space="preserve"> </w:t>
      </w:r>
      <w:r w:rsidRPr="004531F5" w:rsidR="0034405C">
        <w:rPr>
          <w:rFonts w:ascii="Verdana" w:hAnsi="Verdana"/>
          <w:sz w:val="20"/>
          <w:szCs w:val="20"/>
        </w:rPr>
        <w:t>kostenreductie</w:t>
      </w:r>
      <w:r w:rsidRPr="004531F5" w:rsidR="000E28CE">
        <w:rPr>
          <w:rFonts w:ascii="Verdana" w:hAnsi="Verdana"/>
          <w:sz w:val="20"/>
          <w:szCs w:val="20"/>
        </w:rPr>
        <w:t>.</w:t>
      </w:r>
      <w:r w:rsidRPr="004531F5" w:rsidR="00756B77">
        <w:rPr>
          <w:rFonts w:ascii="Verdana" w:hAnsi="Verdana"/>
          <w:sz w:val="20"/>
          <w:szCs w:val="20"/>
        </w:rPr>
        <w:t xml:space="preserve"> </w:t>
      </w:r>
      <w:r w:rsidRPr="004531F5" w:rsidR="00874A5B">
        <w:rPr>
          <w:rFonts w:ascii="Verdana" w:hAnsi="Verdana"/>
          <w:sz w:val="20"/>
          <w:szCs w:val="20"/>
        </w:rPr>
        <w:t xml:space="preserve">Deze aannames </w:t>
      </w:r>
      <w:r w:rsidRPr="004531F5" w:rsidR="007840E4">
        <w:rPr>
          <w:rFonts w:ascii="Verdana" w:hAnsi="Verdana"/>
          <w:sz w:val="20"/>
          <w:szCs w:val="20"/>
        </w:rPr>
        <w:t xml:space="preserve">spelen een belangrijke rol in de berekende </w:t>
      </w:r>
      <w:r w:rsidRPr="004531F5" w:rsidR="00874A5B">
        <w:rPr>
          <w:rFonts w:ascii="Verdana" w:hAnsi="Verdana"/>
          <w:sz w:val="20"/>
          <w:szCs w:val="20"/>
        </w:rPr>
        <w:t>forse verhoging van tarieven voor klanten.</w:t>
      </w:r>
    </w:p>
    <w:p w:rsidRPr="004531F5" w:rsidR="00051D07" w:rsidP="006E0411" w:rsidRDefault="00051D07">
      <w:pPr>
        <w:rPr>
          <w:rFonts w:ascii="Verdana" w:hAnsi="Verdana"/>
          <w:i/>
          <w:sz w:val="20"/>
          <w:szCs w:val="20"/>
        </w:rPr>
      </w:pPr>
    </w:p>
    <w:p w:rsidRPr="004531F5" w:rsidR="00897FD1" w:rsidP="00897FD1" w:rsidRDefault="005907DC">
      <w:pPr>
        <w:rPr>
          <w:rFonts w:ascii="Verdana" w:hAnsi="Verdana"/>
          <w:sz w:val="20"/>
          <w:szCs w:val="20"/>
        </w:rPr>
      </w:pPr>
      <w:r w:rsidRPr="004531F5">
        <w:rPr>
          <w:rFonts w:ascii="Verdana" w:hAnsi="Verdana"/>
          <w:i/>
          <w:sz w:val="20"/>
          <w:szCs w:val="20"/>
        </w:rPr>
        <w:t xml:space="preserve">Aannames ten aanzien van </w:t>
      </w:r>
      <w:r w:rsidRPr="004531F5" w:rsidR="00A00788">
        <w:rPr>
          <w:rFonts w:ascii="Verdana" w:hAnsi="Verdana"/>
          <w:i/>
          <w:sz w:val="20"/>
          <w:szCs w:val="20"/>
        </w:rPr>
        <w:t>n</w:t>
      </w:r>
      <w:r w:rsidRPr="004531F5" w:rsidR="0067208D">
        <w:rPr>
          <w:rFonts w:ascii="Verdana" w:hAnsi="Verdana"/>
          <w:i/>
          <w:sz w:val="20"/>
          <w:szCs w:val="20"/>
        </w:rPr>
        <w:t xml:space="preserve">et </w:t>
      </w:r>
      <w:r w:rsidRPr="004531F5" w:rsidR="00A00788">
        <w:rPr>
          <w:rFonts w:ascii="Verdana" w:hAnsi="Verdana"/>
          <w:i/>
          <w:sz w:val="20"/>
          <w:szCs w:val="20"/>
        </w:rPr>
        <w:t>s</w:t>
      </w:r>
      <w:r w:rsidRPr="004531F5" w:rsidR="0067208D">
        <w:rPr>
          <w:rFonts w:ascii="Verdana" w:hAnsi="Verdana"/>
          <w:i/>
          <w:sz w:val="20"/>
          <w:szCs w:val="20"/>
        </w:rPr>
        <w:t xml:space="preserve">table </w:t>
      </w:r>
      <w:r w:rsidRPr="004531F5" w:rsidR="00A00788">
        <w:rPr>
          <w:rFonts w:ascii="Verdana" w:hAnsi="Verdana"/>
          <w:i/>
          <w:sz w:val="20"/>
          <w:szCs w:val="20"/>
        </w:rPr>
        <w:t>f</w:t>
      </w:r>
      <w:r w:rsidRPr="004531F5" w:rsidR="0067208D">
        <w:rPr>
          <w:rFonts w:ascii="Verdana" w:hAnsi="Verdana"/>
          <w:i/>
          <w:sz w:val="20"/>
          <w:szCs w:val="20"/>
        </w:rPr>
        <w:t xml:space="preserve">unding </w:t>
      </w:r>
      <w:r w:rsidRPr="004531F5" w:rsidR="00A00788">
        <w:rPr>
          <w:rFonts w:ascii="Verdana" w:hAnsi="Verdana"/>
          <w:i/>
          <w:sz w:val="20"/>
          <w:szCs w:val="20"/>
        </w:rPr>
        <w:t>r</w:t>
      </w:r>
      <w:r w:rsidRPr="004531F5" w:rsidR="008F4568">
        <w:rPr>
          <w:rFonts w:ascii="Verdana" w:hAnsi="Verdana"/>
          <w:i/>
          <w:sz w:val="20"/>
          <w:szCs w:val="20"/>
        </w:rPr>
        <w:t>atio</w:t>
      </w:r>
      <w:r w:rsidRPr="004531F5" w:rsidR="000E28CE">
        <w:rPr>
          <w:rFonts w:ascii="Verdana" w:hAnsi="Verdana"/>
          <w:i/>
          <w:sz w:val="20"/>
          <w:szCs w:val="20"/>
        </w:rPr>
        <w:t xml:space="preserve"> (NSFR)</w:t>
      </w:r>
    </w:p>
    <w:p w:rsidRPr="004531F5" w:rsidR="0056239A" w:rsidP="00897FD1" w:rsidRDefault="000E28CE">
      <w:pPr>
        <w:rPr>
          <w:rFonts w:ascii="Verdana" w:hAnsi="Verdana"/>
          <w:sz w:val="20"/>
          <w:szCs w:val="20"/>
        </w:rPr>
      </w:pPr>
      <w:r w:rsidRPr="004531F5">
        <w:rPr>
          <w:rFonts w:ascii="Verdana" w:hAnsi="Verdana"/>
          <w:sz w:val="20"/>
          <w:szCs w:val="20"/>
        </w:rPr>
        <w:t xml:space="preserve">Zoals hierboven </w:t>
      </w:r>
      <w:r w:rsidRPr="004531F5" w:rsidR="008428A2">
        <w:rPr>
          <w:rFonts w:ascii="Verdana" w:hAnsi="Verdana"/>
          <w:sz w:val="20"/>
          <w:szCs w:val="20"/>
        </w:rPr>
        <w:t xml:space="preserve">aangegeven </w:t>
      </w:r>
      <w:r w:rsidRPr="004531F5">
        <w:rPr>
          <w:rFonts w:ascii="Verdana" w:hAnsi="Verdana"/>
          <w:sz w:val="20"/>
          <w:szCs w:val="20"/>
        </w:rPr>
        <w:t xml:space="preserve">zal volgens het rapport </w:t>
      </w:r>
      <w:r w:rsidRPr="004531F5" w:rsidR="008428A2">
        <w:rPr>
          <w:rFonts w:ascii="Verdana" w:hAnsi="Verdana"/>
          <w:sz w:val="20"/>
          <w:szCs w:val="20"/>
        </w:rPr>
        <w:t xml:space="preserve">in de periode 2012-2015 een netto-krimp van de kredietverlening </w:t>
      </w:r>
      <w:r w:rsidRPr="004531F5" w:rsidR="00D86820">
        <w:rPr>
          <w:rFonts w:ascii="Verdana" w:hAnsi="Verdana"/>
          <w:sz w:val="20"/>
          <w:szCs w:val="20"/>
        </w:rPr>
        <w:t>van 200 m</w:t>
      </w:r>
      <w:r w:rsidRPr="004531F5" w:rsidR="00107138">
        <w:rPr>
          <w:rFonts w:ascii="Verdana" w:hAnsi="Verdana"/>
          <w:sz w:val="20"/>
          <w:szCs w:val="20"/>
        </w:rPr>
        <w:t>iljard</w:t>
      </w:r>
      <w:r w:rsidRPr="004531F5" w:rsidR="00D86820">
        <w:rPr>
          <w:rFonts w:ascii="Verdana" w:hAnsi="Verdana"/>
          <w:sz w:val="20"/>
          <w:szCs w:val="20"/>
        </w:rPr>
        <w:t xml:space="preserve"> euro </w:t>
      </w:r>
      <w:r w:rsidRPr="004531F5" w:rsidR="008428A2">
        <w:rPr>
          <w:rFonts w:ascii="Verdana" w:hAnsi="Verdana"/>
          <w:sz w:val="20"/>
          <w:szCs w:val="20"/>
        </w:rPr>
        <w:t>optreden</w:t>
      </w:r>
      <w:r w:rsidRPr="004531F5" w:rsidR="001B3A99">
        <w:rPr>
          <w:rFonts w:ascii="Verdana" w:hAnsi="Verdana"/>
          <w:sz w:val="20"/>
          <w:szCs w:val="20"/>
        </w:rPr>
        <w:t>.</w:t>
      </w:r>
      <w:r w:rsidRPr="004531F5" w:rsidR="008428A2">
        <w:rPr>
          <w:rFonts w:ascii="Verdana" w:hAnsi="Verdana"/>
          <w:sz w:val="20"/>
          <w:szCs w:val="20"/>
        </w:rPr>
        <w:t xml:space="preserve"> </w:t>
      </w:r>
      <w:r w:rsidRPr="004531F5">
        <w:rPr>
          <w:rFonts w:ascii="Verdana" w:hAnsi="Verdana"/>
          <w:sz w:val="20"/>
          <w:szCs w:val="20"/>
        </w:rPr>
        <w:t>Dit wordt veroorzaakt door</w:t>
      </w:r>
      <w:r w:rsidRPr="004531F5" w:rsidR="007840E4">
        <w:rPr>
          <w:rFonts w:ascii="Verdana" w:hAnsi="Verdana"/>
          <w:sz w:val="20"/>
          <w:szCs w:val="20"/>
        </w:rPr>
        <w:t xml:space="preserve"> de</w:t>
      </w:r>
      <w:r w:rsidRPr="004531F5" w:rsidR="001665F1">
        <w:rPr>
          <w:rFonts w:ascii="Verdana" w:hAnsi="Verdana"/>
          <w:sz w:val="20"/>
          <w:szCs w:val="20"/>
        </w:rPr>
        <w:t xml:space="preserve"> moeilijkheden </w:t>
      </w:r>
      <w:r w:rsidRPr="004531F5" w:rsidR="007840E4">
        <w:rPr>
          <w:rFonts w:ascii="Verdana" w:hAnsi="Verdana"/>
          <w:sz w:val="20"/>
          <w:szCs w:val="20"/>
        </w:rPr>
        <w:t xml:space="preserve">voor banken </w:t>
      </w:r>
      <w:r w:rsidRPr="004531F5" w:rsidR="001665F1">
        <w:rPr>
          <w:rFonts w:ascii="Verdana" w:hAnsi="Verdana"/>
          <w:sz w:val="20"/>
          <w:szCs w:val="20"/>
        </w:rPr>
        <w:t xml:space="preserve">om aan de </w:t>
      </w:r>
      <w:r w:rsidRPr="004531F5" w:rsidR="00C46048">
        <w:rPr>
          <w:rFonts w:ascii="Verdana" w:hAnsi="Verdana"/>
          <w:sz w:val="20"/>
          <w:szCs w:val="20"/>
        </w:rPr>
        <w:t>NSFR</w:t>
      </w:r>
      <w:r w:rsidRPr="004531F5" w:rsidR="001665F1">
        <w:rPr>
          <w:rFonts w:ascii="Verdana" w:hAnsi="Verdana"/>
          <w:sz w:val="20"/>
          <w:szCs w:val="20"/>
        </w:rPr>
        <w:t xml:space="preserve"> te voldoen</w:t>
      </w:r>
      <w:r w:rsidRPr="004531F5" w:rsidR="00C46048">
        <w:rPr>
          <w:rFonts w:ascii="Verdana" w:hAnsi="Verdana"/>
          <w:sz w:val="20"/>
          <w:szCs w:val="20"/>
        </w:rPr>
        <w:t xml:space="preserve">. Deze ratio vereist dat </w:t>
      </w:r>
      <w:r w:rsidRPr="004531F5" w:rsidR="006259D9">
        <w:rPr>
          <w:rFonts w:ascii="Verdana" w:hAnsi="Verdana"/>
          <w:sz w:val="20"/>
          <w:szCs w:val="20"/>
        </w:rPr>
        <w:t xml:space="preserve">een bank </w:t>
      </w:r>
      <w:r w:rsidRPr="004531F5" w:rsidR="00C46048">
        <w:rPr>
          <w:rFonts w:ascii="Verdana" w:hAnsi="Verdana"/>
          <w:sz w:val="20"/>
          <w:szCs w:val="20"/>
        </w:rPr>
        <w:t>tegen</w:t>
      </w:r>
      <w:r w:rsidRPr="004531F5" w:rsidR="006259D9">
        <w:rPr>
          <w:rFonts w:ascii="Verdana" w:hAnsi="Verdana"/>
          <w:sz w:val="20"/>
          <w:szCs w:val="20"/>
        </w:rPr>
        <w:t>over</w:t>
      </w:r>
      <w:r w:rsidRPr="004531F5" w:rsidR="00C46048">
        <w:rPr>
          <w:rFonts w:ascii="Verdana" w:hAnsi="Verdana"/>
          <w:sz w:val="20"/>
          <w:szCs w:val="20"/>
        </w:rPr>
        <w:t xml:space="preserve"> langlopende activa (&gt;1 jaar) voldoende langlopende verplichtingen</w:t>
      </w:r>
      <w:r w:rsidRPr="004531F5" w:rsidR="00FA376E">
        <w:rPr>
          <w:rFonts w:ascii="Verdana" w:hAnsi="Verdana"/>
          <w:sz w:val="20"/>
          <w:szCs w:val="20"/>
        </w:rPr>
        <w:t xml:space="preserve"> (&gt; 1 jaar)</w:t>
      </w:r>
      <w:r w:rsidRPr="004531F5" w:rsidR="00C46048">
        <w:rPr>
          <w:rFonts w:ascii="Verdana" w:hAnsi="Verdana"/>
          <w:sz w:val="20"/>
          <w:szCs w:val="20"/>
        </w:rPr>
        <w:t xml:space="preserve"> </w:t>
      </w:r>
      <w:r w:rsidRPr="004531F5" w:rsidR="006259D9">
        <w:rPr>
          <w:rFonts w:ascii="Verdana" w:hAnsi="Verdana"/>
          <w:sz w:val="20"/>
          <w:szCs w:val="20"/>
        </w:rPr>
        <w:t>aanhoudt</w:t>
      </w:r>
      <w:r w:rsidRPr="004531F5" w:rsidR="00C46048">
        <w:rPr>
          <w:rFonts w:ascii="Verdana" w:hAnsi="Verdana"/>
          <w:sz w:val="20"/>
          <w:szCs w:val="20"/>
        </w:rPr>
        <w:t>.</w:t>
      </w:r>
      <w:r w:rsidRPr="004531F5" w:rsidR="00D86820">
        <w:rPr>
          <w:rFonts w:ascii="Verdana" w:hAnsi="Verdana"/>
          <w:sz w:val="20"/>
          <w:szCs w:val="20"/>
        </w:rPr>
        <w:t xml:space="preserve"> Onder langlopende verplichtingen word</w:t>
      </w:r>
      <w:r w:rsidRPr="004531F5" w:rsidR="006259D9">
        <w:rPr>
          <w:rFonts w:ascii="Verdana" w:hAnsi="Verdana"/>
          <w:sz w:val="20"/>
          <w:szCs w:val="20"/>
        </w:rPr>
        <w:t>t</w:t>
      </w:r>
      <w:r w:rsidRPr="004531F5" w:rsidR="00D86820">
        <w:rPr>
          <w:rFonts w:ascii="Verdana" w:hAnsi="Verdana"/>
          <w:sz w:val="20"/>
          <w:szCs w:val="20"/>
        </w:rPr>
        <w:t xml:space="preserve"> </w:t>
      </w:r>
      <w:r w:rsidRPr="004531F5" w:rsidR="0056239A">
        <w:rPr>
          <w:rFonts w:ascii="Verdana" w:hAnsi="Verdana"/>
          <w:sz w:val="20"/>
          <w:szCs w:val="20"/>
        </w:rPr>
        <w:t xml:space="preserve">hierbij </w:t>
      </w:r>
      <w:r w:rsidRPr="004531F5" w:rsidR="00D86820">
        <w:rPr>
          <w:rFonts w:ascii="Verdana" w:hAnsi="Verdana"/>
          <w:sz w:val="20"/>
          <w:szCs w:val="20"/>
        </w:rPr>
        <w:t xml:space="preserve">ook de </w:t>
      </w:r>
      <w:r w:rsidRPr="004531F5" w:rsidR="006259D9">
        <w:rPr>
          <w:rFonts w:ascii="Verdana" w:hAnsi="Verdana"/>
          <w:sz w:val="20"/>
          <w:szCs w:val="20"/>
        </w:rPr>
        <w:t xml:space="preserve">stabiele </w:t>
      </w:r>
      <w:r w:rsidRPr="004531F5" w:rsidR="00D86820">
        <w:rPr>
          <w:rFonts w:ascii="Verdana" w:hAnsi="Verdana"/>
          <w:sz w:val="20"/>
          <w:szCs w:val="20"/>
        </w:rPr>
        <w:t>deposito</w:t>
      </w:r>
      <w:r w:rsidRPr="004531F5" w:rsidR="006259D9">
        <w:rPr>
          <w:rFonts w:ascii="Verdana" w:hAnsi="Verdana"/>
          <w:sz w:val="20"/>
          <w:szCs w:val="20"/>
        </w:rPr>
        <w:t>basis</w:t>
      </w:r>
      <w:r w:rsidRPr="004531F5" w:rsidR="00D86820">
        <w:rPr>
          <w:rFonts w:ascii="Verdana" w:hAnsi="Verdana"/>
          <w:sz w:val="20"/>
          <w:szCs w:val="20"/>
        </w:rPr>
        <w:t xml:space="preserve"> gerekend. </w:t>
      </w:r>
      <w:r w:rsidRPr="004531F5" w:rsidR="0056239A">
        <w:rPr>
          <w:rFonts w:ascii="Verdana" w:hAnsi="Verdana"/>
          <w:sz w:val="20"/>
          <w:szCs w:val="20"/>
        </w:rPr>
        <w:t xml:space="preserve">Deze ratio is belangrijk omdat banken hierdoor in een liquiditeitscrisis veel langer op eigen benen kunnen staan en bijv. niet hoeven te lenen bij de centrale bank. Ze hebben door de ratio immers meer langlopende financiering, waardoor ze minder vaak naar de markt hoeven om financiering op te halen. </w:t>
      </w:r>
    </w:p>
    <w:p w:rsidRPr="004531F5" w:rsidR="00912CB9" w:rsidP="00912CB9" w:rsidRDefault="00912CB9">
      <w:pPr>
        <w:rPr>
          <w:rFonts w:ascii="Verdana" w:hAnsi="Verdana"/>
          <w:sz w:val="20"/>
          <w:szCs w:val="20"/>
        </w:rPr>
      </w:pPr>
    </w:p>
    <w:p w:rsidRPr="004531F5" w:rsidR="004E40F3" w:rsidP="00912CB9" w:rsidRDefault="00C46048">
      <w:pPr>
        <w:rPr>
          <w:rFonts w:ascii="Verdana" w:hAnsi="Verdana"/>
          <w:sz w:val="20"/>
          <w:szCs w:val="20"/>
        </w:rPr>
      </w:pPr>
      <w:r w:rsidRPr="004531F5">
        <w:rPr>
          <w:rFonts w:ascii="Verdana" w:hAnsi="Verdana"/>
          <w:sz w:val="20"/>
          <w:szCs w:val="20"/>
        </w:rPr>
        <w:t xml:space="preserve">Nederlandse banken </w:t>
      </w:r>
      <w:r w:rsidRPr="004531F5" w:rsidR="000D0D77">
        <w:rPr>
          <w:rFonts w:ascii="Verdana" w:hAnsi="Verdana"/>
          <w:sz w:val="20"/>
          <w:szCs w:val="20"/>
        </w:rPr>
        <w:t>hebben</w:t>
      </w:r>
      <w:r w:rsidRPr="004531F5" w:rsidR="00912CB9">
        <w:rPr>
          <w:rFonts w:ascii="Verdana" w:hAnsi="Verdana"/>
          <w:sz w:val="20"/>
          <w:szCs w:val="20"/>
        </w:rPr>
        <w:t xml:space="preserve"> op dit moment </w:t>
      </w:r>
      <w:r w:rsidRPr="004531F5" w:rsidR="006259D9">
        <w:rPr>
          <w:rFonts w:ascii="Verdana" w:hAnsi="Verdana"/>
          <w:sz w:val="20"/>
          <w:szCs w:val="20"/>
        </w:rPr>
        <w:t xml:space="preserve">een </w:t>
      </w:r>
      <w:r w:rsidRPr="004531F5">
        <w:rPr>
          <w:rFonts w:ascii="Verdana" w:hAnsi="Verdana"/>
          <w:sz w:val="20"/>
          <w:szCs w:val="20"/>
        </w:rPr>
        <w:t>zogeheten “</w:t>
      </w:r>
      <w:proofErr w:type="spellStart"/>
      <w:r w:rsidRPr="004531F5">
        <w:rPr>
          <w:rFonts w:ascii="Verdana" w:hAnsi="Verdana"/>
          <w:sz w:val="20"/>
          <w:szCs w:val="20"/>
        </w:rPr>
        <w:t>funding</w:t>
      </w:r>
      <w:proofErr w:type="spellEnd"/>
      <w:r w:rsidRPr="004531F5">
        <w:rPr>
          <w:rFonts w:ascii="Verdana" w:hAnsi="Verdana"/>
          <w:sz w:val="20"/>
          <w:szCs w:val="20"/>
        </w:rPr>
        <w:t xml:space="preserve"> gap”</w:t>
      </w:r>
      <w:r w:rsidRPr="004531F5">
        <w:rPr>
          <w:rStyle w:val="Voetnootmarkering"/>
          <w:rFonts w:ascii="Verdana" w:hAnsi="Verdana"/>
          <w:sz w:val="20"/>
          <w:szCs w:val="20"/>
        </w:rPr>
        <w:footnoteReference w:id="4"/>
      </w:r>
      <w:r w:rsidRPr="004531F5" w:rsidR="006259D9">
        <w:rPr>
          <w:rFonts w:ascii="Verdana" w:hAnsi="Verdana"/>
          <w:sz w:val="20"/>
          <w:szCs w:val="20"/>
        </w:rPr>
        <w:t>, waardoor ze</w:t>
      </w:r>
      <w:r w:rsidRPr="004531F5" w:rsidR="008428A2">
        <w:rPr>
          <w:rFonts w:ascii="Verdana" w:hAnsi="Verdana"/>
          <w:sz w:val="20"/>
          <w:szCs w:val="20"/>
        </w:rPr>
        <w:t xml:space="preserve"> </w:t>
      </w:r>
      <w:r w:rsidRPr="004531F5">
        <w:rPr>
          <w:rFonts w:ascii="Verdana" w:hAnsi="Verdana"/>
          <w:sz w:val="20"/>
          <w:szCs w:val="20"/>
        </w:rPr>
        <w:t xml:space="preserve">voor een </w:t>
      </w:r>
      <w:r w:rsidRPr="004531F5" w:rsidR="006259D9">
        <w:rPr>
          <w:rFonts w:ascii="Verdana" w:hAnsi="Verdana"/>
          <w:sz w:val="20"/>
          <w:szCs w:val="20"/>
        </w:rPr>
        <w:t xml:space="preserve">belangrijk </w:t>
      </w:r>
      <w:r w:rsidRPr="004531F5">
        <w:rPr>
          <w:rFonts w:ascii="Verdana" w:hAnsi="Verdana"/>
          <w:sz w:val="20"/>
          <w:szCs w:val="20"/>
        </w:rPr>
        <w:t xml:space="preserve">deel </w:t>
      </w:r>
      <w:r w:rsidRPr="004531F5" w:rsidR="006259D9">
        <w:rPr>
          <w:rFonts w:ascii="Verdana" w:hAnsi="Verdana"/>
          <w:sz w:val="20"/>
          <w:szCs w:val="20"/>
        </w:rPr>
        <w:t xml:space="preserve">van hun financiering </w:t>
      </w:r>
      <w:r w:rsidRPr="004531F5">
        <w:rPr>
          <w:rFonts w:ascii="Verdana" w:hAnsi="Verdana"/>
          <w:sz w:val="20"/>
          <w:szCs w:val="20"/>
        </w:rPr>
        <w:t>afhankelijk zijn van kortlopende wholesale financiering in plaats van deposito’s</w:t>
      </w:r>
      <w:r w:rsidRPr="004531F5" w:rsidR="006259D9">
        <w:rPr>
          <w:rFonts w:ascii="Verdana" w:hAnsi="Verdana"/>
          <w:sz w:val="20"/>
          <w:szCs w:val="20"/>
        </w:rPr>
        <w:t>. Hierdoor zullen ze om aan de NSFR te voldoen relatief veel korte termijnfinanciering</w:t>
      </w:r>
      <w:r w:rsidRPr="004531F5">
        <w:rPr>
          <w:rFonts w:ascii="Verdana" w:hAnsi="Verdana"/>
          <w:sz w:val="20"/>
          <w:szCs w:val="20"/>
        </w:rPr>
        <w:t xml:space="preserve"> moeten vervang</w:t>
      </w:r>
      <w:r w:rsidRPr="004531F5" w:rsidR="001665F1">
        <w:rPr>
          <w:rFonts w:ascii="Verdana" w:hAnsi="Verdana"/>
          <w:sz w:val="20"/>
          <w:szCs w:val="20"/>
        </w:rPr>
        <w:t>en</w:t>
      </w:r>
      <w:r w:rsidRPr="004531F5" w:rsidR="006259D9">
        <w:rPr>
          <w:rFonts w:ascii="Verdana" w:hAnsi="Verdana"/>
          <w:sz w:val="20"/>
          <w:szCs w:val="20"/>
        </w:rPr>
        <w:t xml:space="preserve"> door stabiele deposito’s of andere vormen van langlopende financiering</w:t>
      </w:r>
      <w:r w:rsidRPr="004531F5" w:rsidR="001665F1">
        <w:rPr>
          <w:rFonts w:ascii="Verdana" w:hAnsi="Verdana"/>
          <w:sz w:val="20"/>
          <w:szCs w:val="20"/>
        </w:rPr>
        <w:t xml:space="preserve">. </w:t>
      </w:r>
      <w:r w:rsidRPr="004531F5" w:rsidR="006D06DD">
        <w:rPr>
          <w:rFonts w:ascii="Verdana" w:hAnsi="Verdana"/>
          <w:sz w:val="20"/>
          <w:szCs w:val="20"/>
        </w:rPr>
        <w:t xml:space="preserve">Dit kan volgens het rapport maar in beperkte mate, mede omdat op korte termijn de aangroei van deposito’s niet substantieel kan </w:t>
      </w:r>
      <w:r w:rsidRPr="004531F5" w:rsidR="006259D9">
        <w:rPr>
          <w:rFonts w:ascii="Verdana" w:hAnsi="Verdana"/>
          <w:sz w:val="20"/>
          <w:szCs w:val="20"/>
        </w:rPr>
        <w:t>toenemen</w:t>
      </w:r>
      <w:r w:rsidRPr="004531F5" w:rsidR="006D06DD">
        <w:rPr>
          <w:rFonts w:ascii="Verdana" w:hAnsi="Verdana"/>
          <w:sz w:val="20"/>
          <w:szCs w:val="20"/>
        </w:rPr>
        <w:t xml:space="preserve">. Bij gebrek aan vervangende financiering zal de cumulatieve balans van de Nederlandse bancaire sector daarom </w:t>
      </w:r>
      <w:r w:rsidRPr="004531F5" w:rsidR="006259D9">
        <w:rPr>
          <w:rFonts w:ascii="Verdana" w:hAnsi="Verdana"/>
          <w:sz w:val="20"/>
          <w:szCs w:val="20"/>
        </w:rPr>
        <w:t xml:space="preserve">volgens het rapport </w:t>
      </w:r>
      <w:r w:rsidRPr="004531F5" w:rsidR="006D06DD">
        <w:rPr>
          <w:rFonts w:ascii="Verdana" w:hAnsi="Verdana"/>
          <w:sz w:val="20"/>
          <w:szCs w:val="20"/>
        </w:rPr>
        <w:t xml:space="preserve">gedwongen zijn te krimpen. </w:t>
      </w:r>
      <w:r w:rsidRPr="004531F5" w:rsidR="000E28CE">
        <w:rPr>
          <w:rFonts w:ascii="Verdana" w:hAnsi="Verdana"/>
          <w:sz w:val="20"/>
          <w:szCs w:val="20"/>
        </w:rPr>
        <w:t xml:space="preserve"> </w:t>
      </w:r>
    </w:p>
    <w:p w:rsidRPr="004531F5" w:rsidR="00B21379" w:rsidP="00137BB9" w:rsidRDefault="00B21379">
      <w:pPr>
        <w:rPr>
          <w:rFonts w:ascii="Verdana" w:hAnsi="Verdana"/>
          <w:sz w:val="20"/>
          <w:szCs w:val="20"/>
        </w:rPr>
      </w:pPr>
    </w:p>
    <w:p w:rsidRPr="004531F5" w:rsidR="00E65ADC" w:rsidP="00137BB9" w:rsidRDefault="00EC203D">
      <w:pPr>
        <w:rPr>
          <w:rFonts w:ascii="Verdana" w:hAnsi="Verdana"/>
          <w:sz w:val="20"/>
          <w:szCs w:val="20"/>
        </w:rPr>
      </w:pPr>
      <w:r w:rsidRPr="004531F5">
        <w:rPr>
          <w:rFonts w:ascii="Verdana" w:hAnsi="Verdana"/>
          <w:sz w:val="20"/>
          <w:szCs w:val="20"/>
        </w:rPr>
        <w:t xml:space="preserve">Bij deze effecten kunnen </w:t>
      </w:r>
      <w:r w:rsidRPr="004531F5" w:rsidR="006259D9">
        <w:rPr>
          <w:rFonts w:ascii="Verdana" w:hAnsi="Verdana"/>
          <w:sz w:val="20"/>
          <w:szCs w:val="20"/>
        </w:rPr>
        <w:t xml:space="preserve">echter </w:t>
      </w:r>
      <w:r w:rsidRPr="004531F5">
        <w:rPr>
          <w:rFonts w:ascii="Verdana" w:hAnsi="Verdana"/>
          <w:sz w:val="20"/>
          <w:szCs w:val="20"/>
        </w:rPr>
        <w:t>wel kanttekeningen worden ge</w:t>
      </w:r>
      <w:r w:rsidRPr="004531F5" w:rsidR="00E623E7">
        <w:rPr>
          <w:rFonts w:ascii="Verdana" w:hAnsi="Verdana"/>
          <w:sz w:val="20"/>
          <w:szCs w:val="20"/>
        </w:rPr>
        <w:t>plaatst</w:t>
      </w:r>
      <w:r w:rsidRPr="004531F5">
        <w:rPr>
          <w:rFonts w:ascii="Verdana" w:hAnsi="Verdana"/>
          <w:sz w:val="20"/>
          <w:szCs w:val="20"/>
        </w:rPr>
        <w:t xml:space="preserve">. </w:t>
      </w:r>
      <w:r w:rsidRPr="004531F5" w:rsidR="001665F1">
        <w:rPr>
          <w:rFonts w:ascii="Verdana" w:hAnsi="Verdana"/>
          <w:sz w:val="20"/>
          <w:szCs w:val="20"/>
        </w:rPr>
        <w:t>De auteurs veronderstellen i</w:t>
      </w:r>
      <w:r w:rsidRPr="004531F5" w:rsidR="00E65ADC">
        <w:rPr>
          <w:rFonts w:ascii="Verdana" w:hAnsi="Verdana"/>
          <w:sz w:val="20"/>
          <w:szCs w:val="20"/>
        </w:rPr>
        <w:t xml:space="preserve">n consultatie met de sector dat banken </w:t>
      </w:r>
      <w:r w:rsidRPr="004531F5" w:rsidR="001B3A99">
        <w:rPr>
          <w:rFonts w:ascii="Verdana" w:hAnsi="Verdana"/>
          <w:sz w:val="20"/>
          <w:szCs w:val="20"/>
        </w:rPr>
        <w:t xml:space="preserve">slechts </w:t>
      </w:r>
      <w:r w:rsidRPr="004531F5" w:rsidR="00E65ADC">
        <w:rPr>
          <w:rFonts w:ascii="Verdana" w:hAnsi="Verdana"/>
          <w:sz w:val="20"/>
          <w:szCs w:val="20"/>
        </w:rPr>
        <w:t xml:space="preserve">50 miljard </w:t>
      </w:r>
      <w:r w:rsidRPr="004531F5" w:rsidR="00D86820">
        <w:rPr>
          <w:rFonts w:ascii="Verdana" w:hAnsi="Verdana"/>
          <w:sz w:val="20"/>
          <w:szCs w:val="20"/>
        </w:rPr>
        <w:t xml:space="preserve">euro </w:t>
      </w:r>
      <w:r w:rsidRPr="004531F5" w:rsidR="00E65ADC">
        <w:rPr>
          <w:rFonts w:ascii="Verdana" w:hAnsi="Verdana"/>
          <w:sz w:val="20"/>
          <w:szCs w:val="20"/>
        </w:rPr>
        <w:t xml:space="preserve">aan kortlopend </w:t>
      </w:r>
      <w:r w:rsidRPr="004531F5" w:rsidR="00444715">
        <w:rPr>
          <w:rFonts w:ascii="Verdana" w:hAnsi="Verdana"/>
          <w:sz w:val="20"/>
          <w:szCs w:val="20"/>
        </w:rPr>
        <w:t xml:space="preserve">vreemd </w:t>
      </w:r>
      <w:r w:rsidRPr="004531F5" w:rsidR="00E65ADC">
        <w:rPr>
          <w:rFonts w:ascii="Verdana" w:hAnsi="Verdana"/>
          <w:sz w:val="20"/>
          <w:szCs w:val="20"/>
        </w:rPr>
        <w:t xml:space="preserve">vermogen </w:t>
      </w:r>
      <w:r w:rsidRPr="004531F5" w:rsidR="001B3A99">
        <w:rPr>
          <w:rFonts w:ascii="Verdana" w:hAnsi="Verdana"/>
          <w:sz w:val="20"/>
          <w:szCs w:val="20"/>
        </w:rPr>
        <w:t xml:space="preserve">kunnen vervangen. </w:t>
      </w:r>
      <w:r w:rsidRPr="004531F5" w:rsidR="00E65ADC">
        <w:rPr>
          <w:rFonts w:ascii="Verdana" w:hAnsi="Verdana"/>
          <w:sz w:val="20"/>
          <w:szCs w:val="20"/>
        </w:rPr>
        <w:t>H</w:t>
      </w:r>
      <w:r w:rsidRPr="004531F5" w:rsidR="00B803E9">
        <w:rPr>
          <w:rFonts w:ascii="Verdana" w:hAnsi="Verdana"/>
          <w:sz w:val="20"/>
          <w:szCs w:val="20"/>
        </w:rPr>
        <w:t xml:space="preserve">et rapport </w:t>
      </w:r>
      <w:r w:rsidRPr="004531F5" w:rsidR="00E65ADC">
        <w:rPr>
          <w:rFonts w:ascii="Verdana" w:hAnsi="Verdana"/>
          <w:sz w:val="20"/>
          <w:szCs w:val="20"/>
        </w:rPr>
        <w:t xml:space="preserve">maakt </w:t>
      </w:r>
      <w:r w:rsidRPr="004531F5" w:rsidR="00991CA9">
        <w:rPr>
          <w:rFonts w:ascii="Verdana" w:hAnsi="Verdana"/>
          <w:sz w:val="20"/>
          <w:szCs w:val="20"/>
        </w:rPr>
        <w:t xml:space="preserve">echter </w:t>
      </w:r>
      <w:r w:rsidRPr="004531F5" w:rsidR="00F71298">
        <w:rPr>
          <w:rFonts w:ascii="Verdana" w:hAnsi="Verdana"/>
          <w:sz w:val="20"/>
          <w:szCs w:val="20"/>
        </w:rPr>
        <w:t xml:space="preserve">niet </w:t>
      </w:r>
      <w:r w:rsidRPr="004531F5" w:rsidR="00562359">
        <w:rPr>
          <w:rFonts w:ascii="Verdana" w:hAnsi="Verdana"/>
          <w:sz w:val="20"/>
          <w:szCs w:val="20"/>
        </w:rPr>
        <w:t xml:space="preserve">duidelijk </w:t>
      </w:r>
      <w:r w:rsidRPr="004531F5" w:rsidR="00F71298">
        <w:rPr>
          <w:rFonts w:ascii="Verdana" w:hAnsi="Verdana"/>
          <w:sz w:val="20"/>
          <w:szCs w:val="20"/>
        </w:rPr>
        <w:t xml:space="preserve">waarom </w:t>
      </w:r>
      <w:r w:rsidRPr="004531F5" w:rsidR="00991CA9">
        <w:rPr>
          <w:rFonts w:ascii="Verdana" w:hAnsi="Verdana"/>
          <w:sz w:val="20"/>
          <w:szCs w:val="20"/>
        </w:rPr>
        <w:t>banken niet meer langlopend vreemd vermogen zouden kunnen aantrekken, bijv</w:t>
      </w:r>
      <w:r w:rsidRPr="004531F5" w:rsidR="007840E4">
        <w:rPr>
          <w:rFonts w:ascii="Verdana" w:hAnsi="Verdana"/>
          <w:sz w:val="20"/>
          <w:szCs w:val="20"/>
        </w:rPr>
        <w:t>oorbeeld</w:t>
      </w:r>
      <w:r w:rsidRPr="004531F5" w:rsidR="00991CA9">
        <w:rPr>
          <w:rFonts w:ascii="Verdana" w:hAnsi="Verdana"/>
          <w:sz w:val="20"/>
          <w:szCs w:val="20"/>
        </w:rPr>
        <w:t xml:space="preserve"> als ze bereid zouden zijn hier iets meer voor te betalen. Zeker </w:t>
      </w:r>
      <w:r w:rsidRPr="004531F5" w:rsidR="009F143D">
        <w:rPr>
          <w:rFonts w:ascii="Verdana" w:hAnsi="Verdana"/>
          <w:sz w:val="20"/>
          <w:szCs w:val="20"/>
        </w:rPr>
        <w:t xml:space="preserve">in combinatie met herstel van vertrouwen in de sector </w:t>
      </w:r>
      <w:r w:rsidRPr="004531F5" w:rsidR="00991CA9">
        <w:rPr>
          <w:rFonts w:ascii="Verdana" w:hAnsi="Verdana"/>
          <w:sz w:val="20"/>
          <w:szCs w:val="20"/>
        </w:rPr>
        <w:t xml:space="preserve">lijkt het reëel te veronderstellen dat dit </w:t>
      </w:r>
      <w:r w:rsidRPr="004531F5">
        <w:rPr>
          <w:rFonts w:ascii="Verdana" w:hAnsi="Verdana"/>
          <w:sz w:val="20"/>
          <w:szCs w:val="20"/>
        </w:rPr>
        <w:t>tot</w:t>
      </w:r>
      <w:r w:rsidRPr="004531F5" w:rsidR="00D76EDD">
        <w:rPr>
          <w:rFonts w:ascii="Verdana" w:hAnsi="Verdana"/>
          <w:sz w:val="20"/>
          <w:szCs w:val="20"/>
        </w:rPr>
        <w:t xml:space="preserve"> een grotere beschikbaa</w:t>
      </w:r>
      <w:r w:rsidRPr="004531F5" w:rsidR="005B6CE5">
        <w:rPr>
          <w:rFonts w:ascii="Verdana" w:hAnsi="Verdana"/>
          <w:sz w:val="20"/>
          <w:szCs w:val="20"/>
        </w:rPr>
        <w:t>rheid van vreemd vermogen zal</w:t>
      </w:r>
      <w:r w:rsidRPr="004531F5" w:rsidR="00D76EDD">
        <w:rPr>
          <w:rFonts w:ascii="Verdana" w:hAnsi="Verdana"/>
          <w:sz w:val="20"/>
          <w:szCs w:val="20"/>
        </w:rPr>
        <w:t xml:space="preserve"> leiden.</w:t>
      </w:r>
      <w:r w:rsidRPr="004531F5" w:rsidR="00405158">
        <w:rPr>
          <w:rFonts w:ascii="Verdana" w:hAnsi="Verdana"/>
          <w:sz w:val="20"/>
          <w:szCs w:val="20"/>
        </w:rPr>
        <w:t xml:space="preserve"> In zijn algemeenheid is het rapport </w:t>
      </w:r>
      <w:r w:rsidRPr="004531F5" w:rsidR="003B27DC">
        <w:rPr>
          <w:rFonts w:ascii="Verdana" w:hAnsi="Verdana"/>
          <w:sz w:val="20"/>
          <w:szCs w:val="20"/>
        </w:rPr>
        <w:t xml:space="preserve">verder </w:t>
      </w:r>
      <w:r w:rsidRPr="004531F5" w:rsidR="00405158">
        <w:rPr>
          <w:rFonts w:ascii="Verdana" w:hAnsi="Verdana"/>
          <w:sz w:val="20"/>
          <w:szCs w:val="20"/>
        </w:rPr>
        <w:t xml:space="preserve">onduidelijk over de mate waarin maatregelen die bijdragen aan de financiële stabiliteit, zoals </w:t>
      </w:r>
      <w:r w:rsidRPr="004531F5" w:rsidR="003B27DC">
        <w:rPr>
          <w:rFonts w:ascii="Verdana" w:hAnsi="Verdana"/>
          <w:sz w:val="20"/>
          <w:szCs w:val="20"/>
        </w:rPr>
        <w:t>de hogere kapitaaleisen</w:t>
      </w:r>
      <w:r w:rsidRPr="004531F5" w:rsidR="0056239A">
        <w:rPr>
          <w:rFonts w:ascii="Verdana" w:hAnsi="Verdana"/>
          <w:sz w:val="20"/>
          <w:szCs w:val="20"/>
        </w:rPr>
        <w:t>,</w:t>
      </w:r>
      <w:r w:rsidRPr="004531F5" w:rsidR="00405158">
        <w:rPr>
          <w:rFonts w:ascii="Verdana" w:hAnsi="Verdana"/>
          <w:sz w:val="20"/>
          <w:szCs w:val="20"/>
        </w:rPr>
        <w:t xml:space="preserve"> een dempend effect hebben op de inleentarieven van banken</w:t>
      </w:r>
      <w:r w:rsidRPr="004531F5" w:rsidR="00FA376E">
        <w:rPr>
          <w:rFonts w:ascii="Verdana" w:hAnsi="Verdana"/>
          <w:sz w:val="20"/>
          <w:szCs w:val="20"/>
        </w:rPr>
        <w:t>.</w:t>
      </w:r>
      <w:r w:rsidRPr="004531F5">
        <w:rPr>
          <w:rFonts w:ascii="Verdana" w:hAnsi="Verdana"/>
          <w:sz w:val="20"/>
          <w:szCs w:val="20"/>
        </w:rPr>
        <w:t xml:space="preserve"> </w:t>
      </w:r>
      <w:r w:rsidRPr="004531F5" w:rsidR="0056239A">
        <w:rPr>
          <w:rFonts w:ascii="Verdana" w:hAnsi="Verdana"/>
          <w:sz w:val="20"/>
          <w:szCs w:val="20"/>
        </w:rPr>
        <w:t xml:space="preserve">Het </w:t>
      </w:r>
      <w:r w:rsidRPr="004531F5" w:rsidR="00FA376E">
        <w:rPr>
          <w:rFonts w:ascii="Verdana" w:hAnsi="Verdana"/>
          <w:sz w:val="20"/>
          <w:szCs w:val="20"/>
        </w:rPr>
        <w:t xml:space="preserve">lijkt </w:t>
      </w:r>
      <w:r w:rsidRPr="004531F5" w:rsidR="0056239A">
        <w:rPr>
          <w:rFonts w:ascii="Verdana" w:hAnsi="Verdana"/>
          <w:sz w:val="20"/>
          <w:szCs w:val="20"/>
        </w:rPr>
        <w:t xml:space="preserve">alsof deze dempende effecten </w:t>
      </w:r>
      <w:r w:rsidRPr="004531F5" w:rsidR="00FA376E">
        <w:rPr>
          <w:rFonts w:ascii="Verdana" w:hAnsi="Verdana"/>
          <w:sz w:val="20"/>
          <w:szCs w:val="20"/>
        </w:rPr>
        <w:t>niet zijn meegenomen.</w:t>
      </w:r>
    </w:p>
    <w:p w:rsidRPr="004531F5" w:rsidR="00B21379" w:rsidP="00137BB9" w:rsidRDefault="00B21379">
      <w:pPr>
        <w:rPr>
          <w:rFonts w:ascii="Verdana" w:hAnsi="Verdana"/>
          <w:sz w:val="20"/>
          <w:szCs w:val="20"/>
        </w:rPr>
      </w:pPr>
    </w:p>
    <w:p w:rsidRPr="004531F5" w:rsidR="00C97BDB" w:rsidP="00137BB9" w:rsidRDefault="003B1204">
      <w:pPr>
        <w:rPr>
          <w:rFonts w:ascii="Verdana" w:hAnsi="Verdana"/>
          <w:sz w:val="20"/>
          <w:szCs w:val="20"/>
        </w:rPr>
      </w:pPr>
      <w:r w:rsidRPr="004531F5">
        <w:rPr>
          <w:rFonts w:ascii="Verdana" w:hAnsi="Verdana"/>
          <w:sz w:val="20"/>
          <w:szCs w:val="20"/>
        </w:rPr>
        <w:t xml:space="preserve">Daarnaast </w:t>
      </w:r>
      <w:r w:rsidRPr="004531F5" w:rsidR="00130F88">
        <w:rPr>
          <w:rFonts w:ascii="Verdana" w:hAnsi="Verdana"/>
          <w:sz w:val="20"/>
          <w:szCs w:val="20"/>
        </w:rPr>
        <w:t>introduceert Basel III</w:t>
      </w:r>
      <w:r w:rsidRPr="004531F5">
        <w:rPr>
          <w:rFonts w:ascii="Verdana" w:hAnsi="Verdana"/>
          <w:sz w:val="20"/>
          <w:szCs w:val="20"/>
        </w:rPr>
        <w:t xml:space="preserve"> pas een bindende NSFR in 2018</w:t>
      </w:r>
      <w:r w:rsidRPr="004531F5" w:rsidR="00562245">
        <w:rPr>
          <w:rFonts w:ascii="Verdana" w:hAnsi="Verdana"/>
          <w:sz w:val="20"/>
          <w:szCs w:val="20"/>
        </w:rPr>
        <w:t xml:space="preserve"> (</w:t>
      </w:r>
      <w:r w:rsidRPr="004531F5" w:rsidR="00337797">
        <w:rPr>
          <w:rFonts w:ascii="Verdana" w:hAnsi="Verdana"/>
          <w:sz w:val="20"/>
          <w:szCs w:val="20"/>
        </w:rPr>
        <w:t>h</w:t>
      </w:r>
      <w:r w:rsidRPr="004531F5" w:rsidR="00130F88">
        <w:rPr>
          <w:rFonts w:ascii="Verdana" w:hAnsi="Verdana"/>
          <w:sz w:val="20"/>
          <w:szCs w:val="20"/>
        </w:rPr>
        <w:t>et KPMG rap</w:t>
      </w:r>
      <w:r w:rsidRPr="004531F5" w:rsidR="00562245">
        <w:rPr>
          <w:rFonts w:ascii="Verdana" w:hAnsi="Verdana"/>
          <w:sz w:val="20"/>
          <w:szCs w:val="20"/>
        </w:rPr>
        <w:t xml:space="preserve">port kijkt niet verder dan 2015). </w:t>
      </w:r>
      <w:r w:rsidRPr="004531F5" w:rsidR="003C62C5">
        <w:rPr>
          <w:rFonts w:ascii="Verdana" w:hAnsi="Verdana"/>
          <w:sz w:val="20"/>
          <w:szCs w:val="20"/>
        </w:rPr>
        <w:t xml:space="preserve">Tot </w:t>
      </w:r>
      <w:r w:rsidRPr="004531F5" w:rsidR="007840E4">
        <w:rPr>
          <w:rFonts w:ascii="Verdana" w:hAnsi="Verdana"/>
          <w:sz w:val="20"/>
          <w:szCs w:val="20"/>
        </w:rPr>
        <w:t>2018</w:t>
      </w:r>
      <w:r w:rsidRPr="004531F5" w:rsidR="0027321E">
        <w:rPr>
          <w:rFonts w:ascii="Verdana" w:hAnsi="Verdana"/>
          <w:sz w:val="20"/>
          <w:szCs w:val="20"/>
        </w:rPr>
        <w:t xml:space="preserve"> wordt de NFSR alleen </w:t>
      </w:r>
      <w:r w:rsidRPr="004531F5" w:rsidR="00130F88">
        <w:rPr>
          <w:rFonts w:ascii="Verdana" w:hAnsi="Verdana"/>
          <w:sz w:val="20"/>
          <w:szCs w:val="20"/>
        </w:rPr>
        <w:t xml:space="preserve">als </w:t>
      </w:r>
      <w:proofErr w:type="spellStart"/>
      <w:r w:rsidRPr="004531F5" w:rsidR="00130F88">
        <w:rPr>
          <w:rFonts w:ascii="Verdana" w:hAnsi="Verdana"/>
          <w:sz w:val="20"/>
          <w:szCs w:val="20"/>
        </w:rPr>
        <w:t>monitoring</w:t>
      </w:r>
      <w:proofErr w:type="spellEnd"/>
      <w:r w:rsidRPr="004531F5" w:rsidR="00130F88">
        <w:rPr>
          <w:rFonts w:ascii="Verdana" w:hAnsi="Verdana"/>
          <w:sz w:val="20"/>
          <w:szCs w:val="20"/>
        </w:rPr>
        <w:t xml:space="preserve"> instrument gebruikt. I</w:t>
      </w:r>
      <w:r w:rsidRPr="004531F5" w:rsidR="00FC09BC">
        <w:rPr>
          <w:rFonts w:ascii="Verdana" w:hAnsi="Verdana"/>
          <w:sz w:val="20"/>
          <w:szCs w:val="20"/>
        </w:rPr>
        <w:t>n het</w:t>
      </w:r>
      <w:r w:rsidRPr="004531F5" w:rsidR="00A019BA">
        <w:rPr>
          <w:rFonts w:ascii="Verdana" w:hAnsi="Verdana"/>
          <w:sz w:val="20"/>
          <w:szCs w:val="20"/>
        </w:rPr>
        <w:t xml:space="preserve"> </w:t>
      </w:r>
      <w:r w:rsidRPr="004531F5" w:rsidR="00991CA9">
        <w:rPr>
          <w:rFonts w:ascii="Verdana" w:hAnsi="Verdana"/>
          <w:sz w:val="20"/>
          <w:szCs w:val="20"/>
        </w:rPr>
        <w:t xml:space="preserve">algemeen </w:t>
      </w:r>
      <w:r w:rsidRPr="004531F5" w:rsidR="00130F88">
        <w:rPr>
          <w:rFonts w:ascii="Verdana" w:hAnsi="Verdana"/>
          <w:sz w:val="20"/>
          <w:szCs w:val="20"/>
        </w:rPr>
        <w:t xml:space="preserve">bestaat </w:t>
      </w:r>
      <w:r w:rsidRPr="004531F5" w:rsidR="00A019BA">
        <w:rPr>
          <w:rFonts w:ascii="Verdana" w:hAnsi="Verdana"/>
          <w:sz w:val="20"/>
          <w:szCs w:val="20"/>
        </w:rPr>
        <w:t xml:space="preserve">de verwachting dat het </w:t>
      </w:r>
      <w:proofErr w:type="spellStart"/>
      <w:r w:rsidRPr="004531F5" w:rsidR="00C97BDB">
        <w:rPr>
          <w:rFonts w:ascii="Verdana" w:hAnsi="Verdana"/>
          <w:sz w:val="20"/>
          <w:szCs w:val="20"/>
        </w:rPr>
        <w:t>Basel</w:t>
      </w:r>
      <w:r w:rsidRPr="004531F5" w:rsidR="00991CA9">
        <w:rPr>
          <w:rFonts w:ascii="Verdana" w:hAnsi="Verdana"/>
          <w:sz w:val="20"/>
          <w:szCs w:val="20"/>
        </w:rPr>
        <w:t>s</w:t>
      </w:r>
      <w:proofErr w:type="spellEnd"/>
      <w:r w:rsidRPr="004531F5" w:rsidR="00792C90">
        <w:rPr>
          <w:rFonts w:ascii="Verdana" w:hAnsi="Verdana"/>
          <w:sz w:val="20"/>
          <w:szCs w:val="20"/>
        </w:rPr>
        <w:t xml:space="preserve"> Comit</w:t>
      </w:r>
      <w:r w:rsidRPr="004531F5" w:rsidR="00991CA9">
        <w:rPr>
          <w:rFonts w:ascii="Verdana" w:hAnsi="Verdana"/>
          <w:sz w:val="20"/>
          <w:szCs w:val="20"/>
        </w:rPr>
        <w:t>é</w:t>
      </w:r>
      <w:r w:rsidRPr="004531F5" w:rsidR="00337797">
        <w:rPr>
          <w:rFonts w:ascii="Verdana" w:hAnsi="Verdana"/>
          <w:sz w:val="20"/>
          <w:szCs w:val="20"/>
        </w:rPr>
        <w:t xml:space="preserve"> in deze periode</w:t>
      </w:r>
      <w:r w:rsidRPr="004531F5" w:rsidR="00C97BDB">
        <w:rPr>
          <w:rFonts w:ascii="Verdana" w:hAnsi="Verdana"/>
          <w:sz w:val="20"/>
          <w:szCs w:val="20"/>
        </w:rPr>
        <w:t xml:space="preserve"> </w:t>
      </w:r>
      <w:r w:rsidRPr="004531F5" w:rsidR="003C62C5">
        <w:rPr>
          <w:rFonts w:ascii="Verdana" w:hAnsi="Verdana"/>
          <w:sz w:val="20"/>
          <w:szCs w:val="20"/>
        </w:rPr>
        <w:t xml:space="preserve">nog </w:t>
      </w:r>
      <w:r w:rsidRPr="004531F5" w:rsidR="004A0313">
        <w:rPr>
          <w:rFonts w:ascii="Verdana" w:hAnsi="Verdana"/>
          <w:sz w:val="20"/>
          <w:szCs w:val="20"/>
        </w:rPr>
        <w:t xml:space="preserve">wezenlijke elementen van </w:t>
      </w:r>
      <w:r w:rsidRPr="004531F5" w:rsidR="00A019BA">
        <w:rPr>
          <w:rFonts w:ascii="Verdana" w:hAnsi="Verdana"/>
          <w:sz w:val="20"/>
          <w:szCs w:val="20"/>
        </w:rPr>
        <w:t xml:space="preserve">de NFSR gaat herzien omdat een fundamentele discussie over het gebruik van de ratio op gang is gekomen. </w:t>
      </w:r>
      <w:r w:rsidRPr="004531F5" w:rsidR="00E91F21">
        <w:rPr>
          <w:rFonts w:ascii="Verdana" w:hAnsi="Verdana"/>
          <w:sz w:val="20"/>
          <w:szCs w:val="20"/>
        </w:rPr>
        <w:t>Diverse landen hebben twijfels bij i</w:t>
      </w:r>
      <w:r w:rsidRPr="004531F5" w:rsidR="00B803E9">
        <w:rPr>
          <w:rFonts w:ascii="Verdana" w:hAnsi="Verdana"/>
          <w:sz w:val="20"/>
          <w:szCs w:val="20"/>
        </w:rPr>
        <w:t>ntroductie va</w:t>
      </w:r>
      <w:r w:rsidRPr="004531F5" w:rsidR="006F0DB2">
        <w:rPr>
          <w:rFonts w:ascii="Verdana" w:hAnsi="Verdana"/>
          <w:sz w:val="20"/>
          <w:szCs w:val="20"/>
        </w:rPr>
        <w:t>n</w:t>
      </w:r>
      <w:r w:rsidRPr="004531F5" w:rsidR="00792C90">
        <w:rPr>
          <w:rFonts w:ascii="Verdana" w:hAnsi="Verdana"/>
          <w:sz w:val="20"/>
          <w:szCs w:val="20"/>
        </w:rPr>
        <w:t xml:space="preserve"> </w:t>
      </w:r>
      <w:r w:rsidRPr="004531F5" w:rsidR="00FA376E">
        <w:rPr>
          <w:rFonts w:ascii="Verdana" w:hAnsi="Verdana"/>
          <w:sz w:val="20"/>
          <w:szCs w:val="20"/>
        </w:rPr>
        <w:t xml:space="preserve">de NFSR als </w:t>
      </w:r>
      <w:r w:rsidRPr="004531F5" w:rsidR="00792C90">
        <w:rPr>
          <w:rFonts w:ascii="Verdana" w:hAnsi="Verdana"/>
          <w:sz w:val="20"/>
          <w:szCs w:val="20"/>
        </w:rPr>
        <w:t>bindende ratio omdat deze tot onwenselijke macro-economische effecten zou kunnen leiden. Ook zou een te stri</w:t>
      </w:r>
      <w:r w:rsidRPr="004531F5" w:rsidR="00E65ADC">
        <w:rPr>
          <w:rFonts w:ascii="Verdana" w:hAnsi="Verdana"/>
          <w:sz w:val="20"/>
          <w:szCs w:val="20"/>
        </w:rPr>
        <w:t>k</w:t>
      </w:r>
      <w:r w:rsidRPr="004531F5" w:rsidR="00792C90">
        <w:rPr>
          <w:rFonts w:ascii="Verdana" w:hAnsi="Verdana"/>
          <w:sz w:val="20"/>
          <w:szCs w:val="20"/>
        </w:rPr>
        <w:t xml:space="preserve">te toepassing van het onderscheid tussen langlopend (&gt;1 jaar) en kortlopend (&lt;1 jaar) tot </w:t>
      </w:r>
      <w:r w:rsidRPr="004531F5" w:rsidR="00E659E8">
        <w:rPr>
          <w:rFonts w:ascii="Verdana" w:hAnsi="Verdana"/>
          <w:sz w:val="20"/>
          <w:szCs w:val="20"/>
        </w:rPr>
        <w:t xml:space="preserve">ongewenste </w:t>
      </w:r>
      <w:r w:rsidRPr="004531F5" w:rsidR="00792C90">
        <w:rPr>
          <w:rFonts w:ascii="Verdana" w:hAnsi="Verdana"/>
          <w:sz w:val="20"/>
          <w:szCs w:val="20"/>
        </w:rPr>
        <w:t xml:space="preserve"> effecten kunnen leid</w:t>
      </w:r>
      <w:r w:rsidRPr="004531F5" w:rsidR="00903D21">
        <w:rPr>
          <w:rFonts w:ascii="Verdana" w:hAnsi="Verdana"/>
          <w:sz w:val="20"/>
          <w:szCs w:val="20"/>
        </w:rPr>
        <w:t xml:space="preserve">en. Nederland erkent de waarde van de NFSR als </w:t>
      </w:r>
      <w:proofErr w:type="spellStart"/>
      <w:r w:rsidRPr="004531F5" w:rsidR="00451C17">
        <w:rPr>
          <w:rFonts w:ascii="Verdana" w:hAnsi="Verdana"/>
          <w:i/>
          <w:sz w:val="20"/>
          <w:szCs w:val="20"/>
        </w:rPr>
        <w:t>monitoring</w:t>
      </w:r>
      <w:proofErr w:type="spellEnd"/>
      <w:r w:rsidRPr="004531F5" w:rsidR="00451C17">
        <w:rPr>
          <w:rFonts w:ascii="Verdana" w:hAnsi="Verdana"/>
          <w:i/>
          <w:sz w:val="20"/>
          <w:szCs w:val="20"/>
        </w:rPr>
        <w:t xml:space="preserve"> tool</w:t>
      </w:r>
      <w:r w:rsidRPr="004531F5" w:rsidR="007840E4">
        <w:rPr>
          <w:rFonts w:ascii="Verdana" w:hAnsi="Verdana"/>
          <w:i/>
          <w:sz w:val="20"/>
          <w:szCs w:val="20"/>
        </w:rPr>
        <w:t xml:space="preserve">. </w:t>
      </w:r>
      <w:r w:rsidRPr="004531F5" w:rsidR="007840E4">
        <w:rPr>
          <w:rFonts w:ascii="Verdana" w:hAnsi="Verdana"/>
          <w:sz w:val="20"/>
          <w:szCs w:val="20"/>
        </w:rPr>
        <w:lastRenderedPageBreak/>
        <w:t>Nederland kent grote waarde toe aan het oordeel van h</w:t>
      </w:r>
      <w:r w:rsidR="00C66FEC">
        <w:rPr>
          <w:rFonts w:ascii="Verdana" w:hAnsi="Verdana"/>
          <w:sz w:val="20"/>
          <w:szCs w:val="20"/>
        </w:rPr>
        <w:t>e</w:t>
      </w:r>
      <w:r w:rsidRPr="004531F5" w:rsidR="007840E4">
        <w:rPr>
          <w:rFonts w:ascii="Verdana" w:hAnsi="Verdana"/>
          <w:sz w:val="20"/>
          <w:szCs w:val="20"/>
        </w:rPr>
        <w:t xml:space="preserve">t </w:t>
      </w:r>
      <w:proofErr w:type="spellStart"/>
      <w:r w:rsidRPr="004531F5" w:rsidR="007840E4">
        <w:rPr>
          <w:rFonts w:ascii="Verdana" w:hAnsi="Verdana"/>
          <w:sz w:val="20"/>
          <w:szCs w:val="20"/>
        </w:rPr>
        <w:t>Bazels</w:t>
      </w:r>
      <w:proofErr w:type="spellEnd"/>
      <w:r w:rsidRPr="004531F5" w:rsidR="007840E4">
        <w:rPr>
          <w:rFonts w:ascii="Verdana" w:hAnsi="Verdana"/>
          <w:sz w:val="20"/>
          <w:szCs w:val="20"/>
        </w:rPr>
        <w:t xml:space="preserve"> Comité en ziet uit naar de herziening van de NFSR door het </w:t>
      </w:r>
      <w:proofErr w:type="spellStart"/>
      <w:r w:rsidRPr="004531F5" w:rsidR="007840E4">
        <w:rPr>
          <w:rFonts w:ascii="Verdana" w:hAnsi="Verdana"/>
          <w:sz w:val="20"/>
          <w:szCs w:val="20"/>
        </w:rPr>
        <w:t>Bazels</w:t>
      </w:r>
      <w:proofErr w:type="spellEnd"/>
      <w:r w:rsidRPr="004531F5" w:rsidR="007840E4">
        <w:rPr>
          <w:rFonts w:ascii="Verdana" w:hAnsi="Verdana"/>
          <w:sz w:val="20"/>
          <w:szCs w:val="20"/>
        </w:rPr>
        <w:t xml:space="preserve"> Comité.</w:t>
      </w:r>
      <w:r w:rsidRPr="004531F5" w:rsidR="00903D21">
        <w:rPr>
          <w:rFonts w:ascii="Verdana" w:hAnsi="Verdana"/>
          <w:sz w:val="20"/>
          <w:szCs w:val="20"/>
        </w:rPr>
        <w:t xml:space="preserve"> </w:t>
      </w:r>
    </w:p>
    <w:p w:rsidRPr="004531F5" w:rsidR="00C97BDB" w:rsidP="00137BB9" w:rsidRDefault="00C97BDB">
      <w:pPr>
        <w:rPr>
          <w:rFonts w:ascii="Verdana" w:hAnsi="Verdana"/>
          <w:sz w:val="20"/>
          <w:szCs w:val="20"/>
        </w:rPr>
      </w:pPr>
    </w:p>
    <w:p w:rsidRPr="004531F5" w:rsidR="00897EA4" w:rsidP="00897EA4" w:rsidRDefault="00897EA4">
      <w:pPr>
        <w:rPr>
          <w:rFonts w:ascii="Verdana" w:hAnsi="Verdana"/>
          <w:sz w:val="20"/>
          <w:szCs w:val="20"/>
        </w:rPr>
      </w:pPr>
      <w:r w:rsidRPr="004531F5">
        <w:rPr>
          <w:rFonts w:ascii="Verdana" w:hAnsi="Verdana"/>
          <w:sz w:val="20"/>
          <w:szCs w:val="20"/>
        </w:rPr>
        <w:t xml:space="preserve">Ten aanzien van </w:t>
      </w:r>
      <w:r w:rsidRPr="004531F5">
        <w:rPr>
          <w:rFonts w:ascii="Verdana" w:hAnsi="Verdana"/>
          <w:i/>
          <w:sz w:val="20"/>
          <w:szCs w:val="20"/>
        </w:rPr>
        <w:t>effecten op de kredietverlening in het algemeen</w:t>
      </w:r>
      <w:r w:rsidRPr="004531F5">
        <w:rPr>
          <w:rFonts w:ascii="Verdana" w:hAnsi="Verdana"/>
          <w:sz w:val="20"/>
          <w:szCs w:val="20"/>
        </w:rPr>
        <w:t xml:space="preserve"> wil ik daarnaast benadrukken dat het gebruik van een aanbodmodel zonder vraagcomponent de effecten op de kredietverlening doorgaans overschat. In onzekere economische tijden zal men terughoudend</w:t>
      </w:r>
      <w:r w:rsidRPr="004531F5" w:rsidR="007840E4">
        <w:rPr>
          <w:rFonts w:ascii="Verdana" w:hAnsi="Verdana"/>
          <w:sz w:val="20"/>
          <w:szCs w:val="20"/>
        </w:rPr>
        <w:t>er</w:t>
      </w:r>
      <w:r w:rsidRPr="004531F5">
        <w:rPr>
          <w:rFonts w:ascii="Verdana" w:hAnsi="Verdana"/>
          <w:sz w:val="20"/>
          <w:szCs w:val="20"/>
        </w:rPr>
        <w:t xml:space="preserve"> zijn met het aanvragen van leningen, hetgeen ook tot een afname van de ontwikkeling van de kredietverlening via minder vraag naar krediet zal leiden. D</w:t>
      </w:r>
      <w:r w:rsidRPr="004531F5">
        <w:rPr>
          <w:rFonts w:ascii="Verdana" w:hAnsi="Verdana" w:cs="Arial"/>
          <w:sz w:val="20"/>
          <w:szCs w:val="20"/>
        </w:rPr>
        <w:t>iverse indicatoren wijzen ook in deze crisis op het achterblijven van de vraag in vergelijking met voorgaande perioden.</w:t>
      </w:r>
      <w:r w:rsidRPr="004531F5">
        <w:rPr>
          <w:rStyle w:val="Voetnootmarkering"/>
          <w:rFonts w:ascii="Verdana" w:hAnsi="Verdana"/>
          <w:sz w:val="20"/>
          <w:szCs w:val="20"/>
        </w:rPr>
        <w:footnoteReference w:id="5"/>
      </w:r>
      <w:r w:rsidRPr="004531F5">
        <w:rPr>
          <w:rFonts w:ascii="Verdana" w:hAnsi="Verdana"/>
          <w:sz w:val="20"/>
          <w:szCs w:val="20"/>
        </w:rPr>
        <w:t xml:space="preserve"> In betere economische tijden hebben klanten vertrouwen in de toekomst en zijn ze mogelijk bereid meer te betalen voor krediet. Banken hebben dan meer mogelijkheden om kosten van kapitaal en vreemd vermogen volledig door te rekenen en kapitaal aan te trekken. Dat maakt het dan weer makkelijker voor banken om meer</w:t>
      </w:r>
      <w:r w:rsidRPr="004531F5" w:rsidR="00444715">
        <w:rPr>
          <w:rFonts w:ascii="Verdana" w:hAnsi="Verdana"/>
          <w:sz w:val="20"/>
          <w:szCs w:val="20"/>
        </w:rPr>
        <w:t xml:space="preserve"> krediet</w:t>
      </w:r>
      <w:r w:rsidRPr="004531F5">
        <w:rPr>
          <w:rFonts w:ascii="Verdana" w:hAnsi="Verdana"/>
          <w:sz w:val="20"/>
          <w:szCs w:val="20"/>
        </w:rPr>
        <w:t xml:space="preserve"> te verschaffen. </w:t>
      </w:r>
    </w:p>
    <w:p w:rsidRPr="004531F5" w:rsidR="00897EA4" w:rsidP="00897EA4" w:rsidRDefault="00897EA4">
      <w:pPr>
        <w:rPr>
          <w:rFonts w:ascii="Verdana" w:hAnsi="Verdana"/>
          <w:sz w:val="20"/>
          <w:szCs w:val="20"/>
        </w:rPr>
      </w:pPr>
    </w:p>
    <w:p w:rsidRPr="004531F5" w:rsidR="00021DEE" w:rsidP="0026763D" w:rsidRDefault="00B7773F">
      <w:pPr>
        <w:rPr>
          <w:rFonts w:ascii="Verdana" w:hAnsi="Verdana"/>
          <w:sz w:val="20"/>
          <w:szCs w:val="20"/>
        </w:rPr>
      </w:pPr>
      <w:r>
        <w:rPr>
          <w:rFonts w:ascii="Verdana" w:hAnsi="Verdana"/>
          <w:sz w:val="20"/>
          <w:szCs w:val="20"/>
        </w:rPr>
        <w:t xml:space="preserve">Sinds de crisis groeit het uitstaande krediet van </w:t>
      </w:r>
      <w:r w:rsidR="000E51B5">
        <w:rPr>
          <w:rFonts w:ascii="Verdana" w:hAnsi="Verdana"/>
          <w:sz w:val="20"/>
          <w:szCs w:val="20"/>
        </w:rPr>
        <w:t xml:space="preserve">Nederlandse </w:t>
      </w:r>
      <w:r>
        <w:rPr>
          <w:rFonts w:ascii="Verdana" w:hAnsi="Verdana"/>
          <w:sz w:val="20"/>
          <w:szCs w:val="20"/>
        </w:rPr>
        <w:t xml:space="preserve">banken </w:t>
      </w:r>
      <w:r w:rsidR="000E51B5">
        <w:rPr>
          <w:rFonts w:ascii="Verdana" w:hAnsi="Verdana"/>
          <w:sz w:val="20"/>
          <w:szCs w:val="20"/>
        </w:rPr>
        <w:t xml:space="preserve">aan Nederlandse gezinnen en bedrijven </w:t>
      </w:r>
      <w:r>
        <w:rPr>
          <w:rFonts w:ascii="Verdana" w:hAnsi="Verdana"/>
          <w:sz w:val="20"/>
          <w:szCs w:val="20"/>
        </w:rPr>
        <w:t xml:space="preserve">nog steeds rond de 3% op jaarbasis. </w:t>
      </w:r>
      <w:r w:rsidR="001825CA">
        <w:rPr>
          <w:rFonts w:ascii="Verdana" w:hAnsi="Verdana"/>
          <w:sz w:val="20"/>
          <w:szCs w:val="20"/>
        </w:rPr>
        <w:t>In de door bank</w:t>
      </w:r>
      <w:r w:rsidR="00A03CAE">
        <w:rPr>
          <w:rFonts w:ascii="Verdana" w:hAnsi="Verdana"/>
          <w:sz w:val="20"/>
          <w:szCs w:val="20"/>
        </w:rPr>
        <w:t xml:space="preserve">en ingeleverde Basel </w:t>
      </w:r>
      <w:proofErr w:type="spellStart"/>
      <w:r w:rsidR="00A03CAE">
        <w:rPr>
          <w:rFonts w:ascii="Verdana" w:hAnsi="Verdana"/>
          <w:sz w:val="20"/>
          <w:szCs w:val="20"/>
        </w:rPr>
        <w:t>III-migrati</w:t>
      </w:r>
      <w:r w:rsidR="001825CA">
        <w:rPr>
          <w:rFonts w:ascii="Verdana" w:hAnsi="Verdana"/>
          <w:sz w:val="20"/>
          <w:szCs w:val="20"/>
        </w:rPr>
        <w:t>eplannen</w:t>
      </w:r>
      <w:proofErr w:type="spellEnd"/>
      <w:r w:rsidR="001825CA">
        <w:rPr>
          <w:rFonts w:ascii="Verdana" w:hAnsi="Verdana"/>
          <w:sz w:val="20"/>
          <w:szCs w:val="20"/>
        </w:rPr>
        <w:t>, waarin zij beschrijven hoe zij aan de nieuwe toezichteisen verwachten te voldoen en wat de implicaties zijn voor hun strategie, ga</w:t>
      </w:r>
      <w:r w:rsidR="000E51B5">
        <w:rPr>
          <w:rFonts w:ascii="Verdana" w:hAnsi="Verdana"/>
          <w:sz w:val="20"/>
          <w:szCs w:val="20"/>
        </w:rPr>
        <w:t>an banken ervan uit dat de omvang</w:t>
      </w:r>
      <w:r w:rsidR="001825CA">
        <w:rPr>
          <w:rFonts w:ascii="Verdana" w:hAnsi="Verdana"/>
          <w:sz w:val="20"/>
          <w:szCs w:val="20"/>
        </w:rPr>
        <w:t xml:space="preserve"> van hun activiteiten de komende jaren </w:t>
      </w:r>
      <w:r w:rsidRPr="003B31FE" w:rsidR="003B31FE">
        <w:rPr>
          <w:rFonts w:ascii="Verdana" w:hAnsi="Verdana"/>
          <w:i/>
          <w:sz w:val="20"/>
          <w:szCs w:val="20"/>
        </w:rPr>
        <w:t>in reële termen</w:t>
      </w:r>
      <w:r w:rsidR="001825CA">
        <w:rPr>
          <w:rFonts w:ascii="Verdana" w:hAnsi="Verdana"/>
          <w:sz w:val="20"/>
          <w:szCs w:val="20"/>
        </w:rPr>
        <w:t xml:space="preserve"> </w:t>
      </w:r>
      <w:r w:rsidR="000E51B5">
        <w:rPr>
          <w:rFonts w:ascii="Verdana" w:hAnsi="Verdana"/>
          <w:sz w:val="20"/>
          <w:szCs w:val="20"/>
        </w:rPr>
        <w:t xml:space="preserve">ongeveer gelijk </w:t>
      </w:r>
      <w:r w:rsidR="001825CA">
        <w:rPr>
          <w:rFonts w:ascii="Verdana" w:hAnsi="Verdana"/>
          <w:sz w:val="20"/>
          <w:szCs w:val="20"/>
        </w:rPr>
        <w:t xml:space="preserve">zal </w:t>
      </w:r>
      <w:r w:rsidR="000E51B5">
        <w:rPr>
          <w:rFonts w:ascii="Verdana" w:hAnsi="Verdana"/>
          <w:sz w:val="20"/>
          <w:szCs w:val="20"/>
        </w:rPr>
        <w:t>blijven</w:t>
      </w:r>
      <w:r w:rsidR="001825CA">
        <w:rPr>
          <w:rFonts w:ascii="Verdana" w:hAnsi="Verdana"/>
          <w:sz w:val="20"/>
          <w:szCs w:val="20"/>
        </w:rPr>
        <w:t>.</w:t>
      </w:r>
      <w:r w:rsidR="00A03CAE">
        <w:rPr>
          <w:rStyle w:val="Voetnootmarkering"/>
          <w:rFonts w:ascii="Verdana" w:hAnsi="Verdana"/>
          <w:sz w:val="20"/>
          <w:szCs w:val="20"/>
        </w:rPr>
        <w:footnoteReference w:id="6"/>
      </w:r>
      <w:r w:rsidR="001825CA">
        <w:rPr>
          <w:rFonts w:ascii="Verdana" w:hAnsi="Verdana"/>
          <w:sz w:val="20"/>
          <w:szCs w:val="20"/>
        </w:rPr>
        <w:t xml:space="preserve"> </w:t>
      </w:r>
      <w:r w:rsidR="00A03CAE">
        <w:rPr>
          <w:rFonts w:ascii="Verdana" w:hAnsi="Verdana"/>
          <w:sz w:val="20"/>
          <w:szCs w:val="20"/>
        </w:rPr>
        <w:t xml:space="preserve">Kapitaal wordt </w:t>
      </w:r>
      <w:r w:rsidR="000E51B5">
        <w:rPr>
          <w:rFonts w:ascii="Verdana" w:hAnsi="Verdana"/>
          <w:sz w:val="20"/>
          <w:szCs w:val="20"/>
        </w:rPr>
        <w:t xml:space="preserve">hierbij </w:t>
      </w:r>
      <w:r w:rsidR="00A03CAE">
        <w:rPr>
          <w:rFonts w:ascii="Verdana" w:hAnsi="Verdana"/>
          <w:sz w:val="20"/>
          <w:szCs w:val="20"/>
        </w:rPr>
        <w:t xml:space="preserve">voornamelijk aangesterkt door winstinhouding en niet door de kredietverlening overmatig te beperken. </w:t>
      </w:r>
      <w:r w:rsidRPr="004531F5" w:rsidR="0026763D">
        <w:rPr>
          <w:rFonts w:ascii="Verdana" w:hAnsi="Verdana"/>
          <w:sz w:val="20"/>
          <w:szCs w:val="20"/>
        </w:rPr>
        <w:t xml:space="preserve">Dit neemt niet weg dat </w:t>
      </w:r>
      <w:r w:rsidRPr="004531F5" w:rsidR="00FB1235">
        <w:rPr>
          <w:rFonts w:ascii="Verdana" w:hAnsi="Verdana"/>
          <w:sz w:val="20"/>
          <w:szCs w:val="20"/>
        </w:rPr>
        <w:t>disproportioneel</w:t>
      </w:r>
      <w:r w:rsidRPr="004531F5" w:rsidR="001724D2">
        <w:rPr>
          <w:rFonts w:ascii="Verdana" w:hAnsi="Verdana"/>
          <w:sz w:val="20"/>
          <w:szCs w:val="20"/>
        </w:rPr>
        <w:t xml:space="preserve"> </w:t>
      </w:r>
      <w:r w:rsidRPr="004531F5" w:rsidR="0026763D">
        <w:rPr>
          <w:rFonts w:ascii="Verdana" w:hAnsi="Verdana"/>
          <w:sz w:val="20"/>
          <w:szCs w:val="20"/>
        </w:rPr>
        <w:t xml:space="preserve">negatieve effecten op de kredietverlening als gevolg van de diverse maatregelen </w:t>
      </w:r>
      <w:r w:rsidRPr="004531F5" w:rsidR="007840E4">
        <w:rPr>
          <w:rFonts w:ascii="Verdana" w:hAnsi="Verdana"/>
          <w:sz w:val="20"/>
          <w:szCs w:val="20"/>
        </w:rPr>
        <w:t>waar</w:t>
      </w:r>
      <w:r w:rsidRPr="004531F5" w:rsidR="0026763D">
        <w:rPr>
          <w:rFonts w:ascii="Verdana" w:hAnsi="Verdana"/>
          <w:sz w:val="20"/>
          <w:szCs w:val="20"/>
        </w:rPr>
        <w:t xml:space="preserve"> mogelijk zullen moeten worden beperkt. In het kader van de introductie van de bankenbelasting heeft de Staatssecretaris van Financiën </w:t>
      </w:r>
      <w:r w:rsidRPr="004531F5" w:rsidR="007840E4">
        <w:rPr>
          <w:rFonts w:ascii="Verdana" w:hAnsi="Verdana"/>
          <w:sz w:val="20"/>
          <w:szCs w:val="20"/>
        </w:rPr>
        <w:t xml:space="preserve">de Eerste </w:t>
      </w:r>
      <w:r w:rsidRPr="004531F5" w:rsidR="001E6562">
        <w:rPr>
          <w:rFonts w:ascii="Verdana" w:hAnsi="Verdana"/>
          <w:sz w:val="20"/>
          <w:szCs w:val="20"/>
        </w:rPr>
        <w:t xml:space="preserve">en Tweede </w:t>
      </w:r>
      <w:r w:rsidRPr="004531F5" w:rsidR="007840E4">
        <w:rPr>
          <w:rFonts w:ascii="Verdana" w:hAnsi="Verdana"/>
          <w:sz w:val="20"/>
          <w:szCs w:val="20"/>
        </w:rPr>
        <w:t>Kamer</w:t>
      </w:r>
      <w:r w:rsidRPr="004531F5" w:rsidR="0026763D">
        <w:rPr>
          <w:rFonts w:ascii="Verdana" w:hAnsi="Verdana"/>
          <w:sz w:val="20"/>
          <w:szCs w:val="20"/>
        </w:rPr>
        <w:t xml:space="preserve"> reeds toegezegd de situatie omtrent kredietverlening te monitoren </w:t>
      </w:r>
      <w:r w:rsidRPr="004531F5" w:rsidR="007840E4">
        <w:rPr>
          <w:rFonts w:ascii="Verdana" w:hAnsi="Verdana"/>
          <w:sz w:val="20"/>
          <w:szCs w:val="20"/>
        </w:rPr>
        <w:t xml:space="preserve">op basis van gegevens </w:t>
      </w:r>
      <w:r w:rsidRPr="004531F5" w:rsidR="0026763D">
        <w:rPr>
          <w:rFonts w:ascii="Verdana" w:hAnsi="Verdana"/>
          <w:sz w:val="20"/>
          <w:szCs w:val="20"/>
        </w:rPr>
        <w:t>van DNB.</w:t>
      </w:r>
      <w:r w:rsidRPr="004531F5" w:rsidR="0026763D">
        <w:rPr>
          <w:rStyle w:val="Voetnootmarkering"/>
          <w:rFonts w:ascii="Verdana" w:hAnsi="Verdana"/>
          <w:sz w:val="20"/>
          <w:szCs w:val="20"/>
        </w:rPr>
        <w:footnoteReference w:id="7"/>
      </w:r>
      <w:r w:rsidRPr="004531F5" w:rsidR="0026763D">
        <w:rPr>
          <w:rFonts w:ascii="Verdana" w:hAnsi="Verdana"/>
          <w:sz w:val="20"/>
          <w:szCs w:val="20"/>
        </w:rPr>
        <w:t xml:space="preserve"> Wanneer </w:t>
      </w:r>
      <w:r w:rsidRPr="004531F5" w:rsidR="001724D2">
        <w:rPr>
          <w:rFonts w:ascii="Verdana" w:hAnsi="Verdana"/>
          <w:sz w:val="20"/>
          <w:szCs w:val="20"/>
        </w:rPr>
        <w:t xml:space="preserve">de kredietverlening </w:t>
      </w:r>
      <w:r w:rsidRPr="004531F5" w:rsidR="0026763D">
        <w:rPr>
          <w:rFonts w:ascii="Verdana" w:hAnsi="Verdana"/>
          <w:sz w:val="20"/>
          <w:szCs w:val="20"/>
        </w:rPr>
        <w:t>enkele opeenvolgende kwartalen negatief zal zijn</w:t>
      </w:r>
      <w:r w:rsidRPr="004531F5" w:rsidR="001724D2">
        <w:rPr>
          <w:rFonts w:ascii="Verdana" w:hAnsi="Verdana"/>
          <w:sz w:val="20"/>
          <w:szCs w:val="20"/>
        </w:rPr>
        <w:t xml:space="preserve"> of er een acuut forse krimp in de kredietverlening optreedt</w:t>
      </w:r>
      <w:r w:rsidRPr="004531F5" w:rsidR="0026763D">
        <w:rPr>
          <w:rFonts w:ascii="Verdana" w:hAnsi="Verdana"/>
          <w:sz w:val="20"/>
          <w:szCs w:val="20"/>
        </w:rPr>
        <w:t xml:space="preserve">, zal dit voor </w:t>
      </w:r>
      <w:r w:rsidRPr="004531F5" w:rsidR="001724D2">
        <w:rPr>
          <w:rFonts w:ascii="Verdana" w:hAnsi="Verdana"/>
          <w:sz w:val="20"/>
          <w:szCs w:val="20"/>
        </w:rPr>
        <w:t xml:space="preserve">het kabinet </w:t>
      </w:r>
      <w:r w:rsidRPr="004531F5" w:rsidR="0026763D">
        <w:rPr>
          <w:rFonts w:ascii="Verdana" w:hAnsi="Verdana"/>
          <w:sz w:val="20"/>
          <w:szCs w:val="20"/>
        </w:rPr>
        <w:t>een reden kunnen zijn om in te grijpen</w:t>
      </w:r>
      <w:r w:rsidRPr="004531F5" w:rsidR="00E7213F">
        <w:rPr>
          <w:rFonts w:ascii="Verdana" w:hAnsi="Verdana"/>
          <w:sz w:val="20"/>
          <w:szCs w:val="20"/>
        </w:rPr>
        <w:t xml:space="preserve">. </w:t>
      </w:r>
      <w:r w:rsidRPr="004531F5" w:rsidR="0026763D">
        <w:rPr>
          <w:rFonts w:ascii="Verdana" w:hAnsi="Verdana"/>
          <w:sz w:val="20"/>
          <w:szCs w:val="20"/>
        </w:rPr>
        <w:t>De</w:t>
      </w:r>
      <w:r w:rsidRPr="004531F5" w:rsidR="00FC09BC">
        <w:rPr>
          <w:rFonts w:ascii="Verdana" w:hAnsi="Verdana"/>
          <w:sz w:val="20"/>
          <w:szCs w:val="20"/>
        </w:rPr>
        <w:t xml:space="preserve"> </w:t>
      </w:r>
      <w:r w:rsidRPr="004531F5" w:rsidR="00756B77">
        <w:rPr>
          <w:rFonts w:ascii="Verdana" w:hAnsi="Verdana"/>
          <w:sz w:val="20"/>
          <w:szCs w:val="20"/>
        </w:rPr>
        <w:t xml:space="preserve">resultaten </w:t>
      </w:r>
      <w:r w:rsidRPr="004531F5" w:rsidR="00FC09BC">
        <w:rPr>
          <w:rFonts w:ascii="Verdana" w:hAnsi="Verdana"/>
          <w:sz w:val="20"/>
          <w:szCs w:val="20"/>
        </w:rPr>
        <w:t xml:space="preserve">van de </w:t>
      </w:r>
      <w:proofErr w:type="spellStart"/>
      <w:r w:rsidRPr="004531F5" w:rsidR="00FC09BC">
        <w:rPr>
          <w:rFonts w:ascii="Verdana" w:hAnsi="Verdana"/>
          <w:sz w:val="20"/>
          <w:szCs w:val="20"/>
        </w:rPr>
        <w:t>monitoring</w:t>
      </w:r>
      <w:proofErr w:type="spellEnd"/>
      <w:r w:rsidRPr="004531F5" w:rsidR="00FC09BC">
        <w:rPr>
          <w:rFonts w:ascii="Verdana" w:hAnsi="Verdana"/>
          <w:sz w:val="20"/>
          <w:szCs w:val="20"/>
        </w:rPr>
        <w:t xml:space="preserve"> </w:t>
      </w:r>
      <w:r w:rsidRPr="004531F5" w:rsidR="001724D2">
        <w:rPr>
          <w:rFonts w:ascii="Verdana" w:hAnsi="Verdana"/>
          <w:sz w:val="20"/>
          <w:szCs w:val="20"/>
        </w:rPr>
        <w:t xml:space="preserve">van de bankbelasting zullen </w:t>
      </w:r>
      <w:r w:rsidRPr="004531F5" w:rsidR="00756B77">
        <w:rPr>
          <w:rFonts w:ascii="Verdana" w:hAnsi="Verdana"/>
          <w:sz w:val="20"/>
          <w:szCs w:val="20"/>
        </w:rPr>
        <w:t>ook</w:t>
      </w:r>
      <w:r w:rsidRPr="004531F5" w:rsidR="0026763D">
        <w:rPr>
          <w:rFonts w:ascii="Verdana" w:hAnsi="Verdana"/>
          <w:sz w:val="20"/>
          <w:szCs w:val="20"/>
        </w:rPr>
        <w:t xml:space="preserve"> gebruikt </w:t>
      </w:r>
      <w:r w:rsidRPr="004531F5" w:rsidR="001724D2">
        <w:rPr>
          <w:rFonts w:ascii="Verdana" w:hAnsi="Verdana"/>
          <w:sz w:val="20"/>
          <w:szCs w:val="20"/>
        </w:rPr>
        <w:t xml:space="preserve">kunnen worden </w:t>
      </w:r>
      <w:r w:rsidRPr="004531F5" w:rsidR="0026763D">
        <w:rPr>
          <w:rFonts w:ascii="Verdana" w:hAnsi="Verdana"/>
          <w:sz w:val="20"/>
          <w:szCs w:val="20"/>
        </w:rPr>
        <w:t>om de effecten van alle maatregelen tezamen te beoordelen.</w:t>
      </w:r>
      <w:r w:rsidRPr="004531F5" w:rsidR="00021DEE">
        <w:rPr>
          <w:rFonts w:ascii="Verdana" w:hAnsi="Verdana"/>
          <w:sz w:val="20"/>
          <w:szCs w:val="20"/>
        </w:rPr>
        <w:t xml:space="preserve"> </w:t>
      </w:r>
    </w:p>
    <w:p w:rsidRPr="004531F5" w:rsidR="00021DEE" w:rsidP="0026763D" w:rsidRDefault="00021DEE">
      <w:pPr>
        <w:rPr>
          <w:rFonts w:ascii="Verdana" w:hAnsi="Verdana"/>
          <w:sz w:val="20"/>
          <w:szCs w:val="20"/>
        </w:rPr>
      </w:pPr>
    </w:p>
    <w:p w:rsidRPr="004531F5" w:rsidR="00021DEE" w:rsidP="0026763D" w:rsidRDefault="00021DEE">
      <w:pPr>
        <w:rPr>
          <w:rFonts w:ascii="Verdana" w:hAnsi="Verdana"/>
          <w:sz w:val="20"/>
          <w:szCs w:val="20"/>
        </w:rPr>
      </w:pPr>
      <w:r w:rsidRPr="004531F5">
        <w:rPr>
          <w:rFonts w:ascii="Verdana" w:hAnsi="Verdana"/>
          <w:sz w:val="20"/>
          <w:szCs w:val="20"/>
        </w:rPr>
        <w:t xml:space="preserve">In het vervolg van deze brief zal ik ingaan op </w:t>
      </w:r>
      <w:r w:rsidRPr="004531F5" w:rsidR="00444715">
        <w:rPr>
          <w:rFonts w:ascii="Verdana" w:hAnsi="Verdana"/>
          <w:sz w:val="20"/>
          <w:szCs w:val="20"/>
        </w:rPr>
        <w:t xml:space="preserve">enkele </w:t>
      </w:r>
      <w:r w:rsidRPr="004531F5">
        <w:rPr>
          <w:rFonts w:ascii="Verdana" w:hAnsi="Verdana"/>
          <w:sz w:val="20"/>
          <w:szCs w:val="20"/>
        </w:rPr>
        <w:t xml:space="preserve">aannames die </w:t>
      </w:r>
      <w:r w:rsidRPr="004531F5" w:rsidR="007840E4">
        <w:rPr>
          <w:rFonts w:ascii="Verdana" w:hAnsi="Verdana"/>
          <w:sz w:val="20"/>
          <w:szCs w:val="20"/>
        </w:rPr>
        <w:t>van</w:t>
      </w:r>
      <w:r w:rsidRPr="004531F5">
        <w:rPr>
          <w:rFonts w:ascii="Verdana" w:hAnsi="Verdana"/>
          <w:sz w:val="20"/>
          <w:szCs w:val="20"/>
        </w:rPr>
        <w:t xml:space="preserve"> invloed </w:t>
      </w:r>
      <w:r w:rsidRPr="004531F5" w:rsidR="007840E4">
        <w:rPr>
          <w:rFonts w:ascii="Verdana" w:hAnsi="Verdana"/>
          <w:sz w:val="20"/>
          <w:szCs w:val="20"/>
        </w:rPr>
        <w:t>zijn</w:t>
      </w:r>
      <w:r w:rsidRPr="004531F5">
        <w:rPr>
          <w:rFonts w:ascii="Verdana" w:hAnsi="Verdana"/>
          <w:sz w:val="20"/>
          <w:szCs w:val="20"/>
        </w:rPr>
        <w:t xml:space="preserve"> op de tariefsstijging van 0,8 </w:t>
      </w:r>
      <w:r w:rsidRPr="004531F5" w:rsidR="001724D2">
        <w:rPr>
          <w:rFonts w:ascii="Verdana" w:hAnsi="Verdana"/>
          <w:sz w:val="20"/>
          <w:szCs w:val="20"/>
        </w:rPr>
        <w:t>à</w:t>
      </w:r>
      <w:r w:rsidRPr="004531F5">
        <w:rPr>
          <w:rFonts w:ascii="Verdana" w:hAnsi="Verdana"/>
          <w:sz w:val="20"/>
          <w:szCs w:val="20"/>
        </w:rPr>
        <w:t xml:space="preserve"> 0,9% voor klanten.</w:t>
      </w:r>
    </w:p>
    <w:p w:rsidRPr="004531F5" w:rsidR="0026763D" w:rsidP="00137BB9" w:rsidRDefault="0026763D">
      <w:pPr>
        <w:rPr>
          <w:rFonts w:ascii="Verdana" w:hAnsi="Verdana"/>
          <w:sz w:val="20"/>
          <w:szCs w:val="20"/>
        </w:rPr>
      </w:pPr>
    </w:p>
    <w:p w:rsidRPr="004531F5" w:rsidR="00E62D2C" w:rsidP="00137BB9" w:rsidRDefault="005907DC">
      <w:pPr>
        <w:rPr>
          <w:rFonts w:ascii="Verdana" w:hAnsi="Verdana"/>
          <w:i/>
          <w:sz w:val="20"/>
          <w:szCs w:val="20"/>
        </w:rPr>
      </w:pPr>
      <w:r w:rsidRPr="004531F5">
        <w:rPr>
          <w:rFonts w:ascii="Verdana" w:hAnsi="Verdana"/>
          <w:i/>
          <w:sz w:val="20"/>
          <w:szCs w:val="20"/>
        </w:rPr>
        <w:t xml:space="preserve">Aannames ten aanzien van </w:t>
      </w:r>
      <w:r w:rsidRPr="004531F5" w:rsidR="00E62D2C">
        <w:rPr>
          <w:rFonts w:ascii="Verdana" w:hAnsi="Verdana"/>
          <w:i/>
          <w:sz w:val="20"/>
          <w:szCs w:val="20"/>
        </w:rPr>
        <w:t>converteerbare schuld</w:t>
      </w:r>
    </w:p>
    <w:p w:rsidRPr="004531F5" w:rsidR="008C4163" w:rsidP="008C4163" w:rsidRDefault="0034405C">
      <w:pPr>
        <w:rPr>
          <w:rFonts w:ascii="Verdana" w:hAnsi="Verdana"/>
          <w:sz w:val="20"/>
          <w:szCs w:val="20"/>
        </w:rPr>
      </w:pPr>
      <w:r w:rsidRPr="004531F5">
        <w:rPr>
          <w:rFonts w:ascii="Verdana" w:hAnsi="Verdana"/>
          <w:sz w:val="20"/>
          <w:szCs w:val="20"/>
        </w:rPr>
        <w:t>Zoals hierboven reeds aangegeven gaat het rapport ervan uit dat de introductie van</w:t>
      </w:r>
      <w:r w:rsidRPr="004531F5" w:rsidR="00055557">
        <w:rPr>
          <w:rFonts w:ascii="Verdana" w:hAnsi="Verdana"/>
          <w:sz w:val="20"/>
          <w:szCs w:val="20"/>
        </w:rPr>
        <w:t xml:space="preserve"> </w:t>
      </w:r>
      <w:r w:rsidRPr="004531F5" w:rsidR="00D52952">
        <w:rPr>
          <w:rFonts w:ascii="Verdana" w:hAnsi="Verdana"/>
          <w:sz w:val="20"/>
          <w:szCs w:val="20"/>
        </w:rPr>
        <w:t>converteerbare schuld (</w:t>
      </w:r>
      <w:proofErr w:type="spellStart"/>
      <w:r w:rsidRPr="004531F5" w:rsidR="00D52952">
        <w:rPr>
          <w:rFonts w:ascii="Verdana" w:hAnsi="Verdana"/>
          <w:sz w:val="20"/>
          <w:szCs w:val="20"/>
        </w:rPr>
        <w:t>bail-in</w:t>
      </w:r>
      <w:proofErr w:type="spellEnd"/>
      <w:r w:rsidRPr="004531F5" w:rsidR="00D52952">
        <w:rPr>
          <w:rFonts w:ascii="Verdana" w:hAnsi="Verdana"/>
          <w:sz w:val="20"/>
          <w:szCs w:val="20"/>
        </w:rPr>
        <w:t xml:space="preserve"> </w:t>
      </w:r>
      <w:proofErr w:type="spellStart"/>
      <w:r w:rsidRPr="004531F5" w:rsidR="00D52952">
        <w:rPr>
          <w:rFonts w:ascii="Verdana" w:hAnsi="Verdana"/>
          <w:sz w:val="20"/>
          <w:szCs w:val="20"/>
        </w:rPr>
        <w:t>debt</w:t>
      </w:r>
      <w:proofErr w:type="spellEnd"/>
      <w:r w:rsidRPr="004531F5" w:rsidR="00D52952">
        <w:rPr>
          <w:rFonts w:ascii="Verdana" w:hAnsi="Verdana"/>
          <w:sz w:val="20"/>
          <w:szCs w:val="20"/>
        </w:rPr>
        <w:t xml:space="preserve">) </w:t>
      </w:r>
      <w:r w:rsidRPr="004531F5">
        <w:rPr>
          <w:rFonts w:ascii="Verdana" w:hAnsi="Verdana"/>
          <w:sz w:val="20"/>
          <w:szCs w:val="20"/>
        </w:rPr>
        <w:t>d</w:t>
      </w:r>
      <w:r w:rsidRPr="004531F5" w:rsidR="00FC09BC">
        <w:rPr>
          <w:rFonts w:ascii="Verdana" w:hAnsi="Verdana"/>
          <w:sz w:val="20"/>
          <w:szCs w:val="20"/>
        </w:rPr>
        <w:t xml:space="preserve">e kosten </w:t>
      </w:r>
      <w:r w:rsidRPr="004531F5" w:rsidR="00055557">
        <w:rPr>
          <w:rFonts w:ascii="Verdana" w:hAnsi="Verdana"/>
          <w:sz w:val="20"/>
          <w:szCs w:val="20"/>
        </w:rPr>
        <w:t xml:space="preserve">van vreemd vermogen </w:t>
      </w:r>
      <w:r w:rsidRPr="004531F5" w:rsidR="00FC09BC">
        <w:rPr>
          <w:rFonts w:ascii="Verdana" w:hAnsi="Verdana"/>
          <w:sz w:val="20"/>
          <w:szCs w:val="20"/>
        </w:rPr>
        <w:t xml:space="preserve">opdrijft. </w:t>
      </w:r>
      <w:r w:rsidRPr="004531F5" w:rsidR="001D61D0">
        <w:rPr>
          <w:rFonts w:ascii="Verdana" w:hAnsi="Verdana"/>
          <w:sz w:val="20"/>
          <w:szCs w:val="20"/>
        </w:rPr>
        <w:t xml:space="preserve">Omdat deze hogere financieringskosten worden doorgerekend, </w:t>
      </w:r>
      <w:r w:rsidRPr="004531F5" w:rsidR="00FC09BC">
        <w:rPr>
          <w:rFonts w:ascii="Verdana" w:hAnsi="Verdana"/>
          <w:sz w:val="20"/>
          <w:szCs w:val="20"/>
        </w:rPr>
        <w:t xml:space="preserve">leidt </w:t>
      </w:r>
      <w:r w:rsidRPr="004531F5" w:rsidR="001D61D0">
        <w:rPr>
          <w:rFonts w:ascii="Verdana" w:hAnsi="Verdana"/>
          <w:sz w:val="20"/>
          <w:szCs w:val="20"/>
        </w:rPr>
        <w:t xml:space="preserve">dit </w:t>
      </w:r>
      <w:r w:rsidRPr="004531F5" w:rsidR="00FC09BC">
        <w:rPr>
          <w:rFonts w:ascii="Verdana" w:hAnsi="Verdana"/>
          <w:sz w:val="20"/>
          <w:szCs w:val="20"/>
        </w:rPr>
        <w:t xml:space="preserve">tot een stijging van tarieven voor klanten. </w:t>
      </w:r>
      <w:r w:rsidRPr="004531F5" w:rsidR="00055557">
        <w:rPr>
          <w:rFonts w:ascii="Verdana" w:hAnsi="Verdana"/>
          <w:sz w:val="20"/>
          <w:szCs w:val="20"/>
        </w:rPr>
        <w:t>Dergelijke converteerbare schuld maakt onderdeel uit van de dit voorjaa</w:t>
      </w:r>
      <w:r w:rsidRPr="004531F5" w:rsidR="00D52952">
        <w:rPr>
          <w:rFonts w:ascii="Verdana" w:hAnsi="Verdana"/>
          <w:sz w:val="20"/>
          <w:szCs w:val="20"/>
        </w:rPr>
        <w:t>r</w:t>
      </w:r>
      <w:r w:rsidRPr="004531F5" w:rsidR="00055557">
        <w:rPr>
          <w:rFonts w:ascii="Verdana" w:hAnsi="Verdana"/>
          <w:sz w:val="20"/>
          <w:szCs w:val="20"/>
        </w:rPr>
        <w:t xml:space="preserve"> door de Europese Commissie voorgestelde richtlijn</w:t>
      </w:r>
      <w:r w:rsidRPr="004531F5" w:rsidR="0030004D">
        <w:rPr>
          <w:rFonts w:ascii="Verdana" w:hAnsi="Verdana"/>
          <w:sz w:val="20"/>
          <w:szCs w:val="20"/>
        </w:rPr>
        <w:t xml:space="preserve"> voor een </w:t>
      </w:r>
      <w:r w:rsidRPr="004531F5" w:rsidR="00FE74F7">
        <w:rPr>
          <w:rFonts w:ascii="Verdana" w:hAnsi="Verdana"/>
          <w:iCs/>
          <w:sz w:val="20"/>
          <w:szCs w:val="20"/>
        </w:rPr>
        <w:t>kader voor het herstel en de afwikkeling van kredietinstellingen en beleggingsondernemingen</w:t>
      </w:r>
      <w:r w:rsidRPr="004531F5" w:rsidR="00055557">
        <w:rPr>
          <w:rFonts w:ascii="Verdana" w:hAnsi="Verdana"/>
          <w:sz w:val="20"/>
          <w:szCs w:val="20"/>
        </w:rPr>
        <w:t>.</w:t>
      </w:r>
      <w:r w:rsidRPr="004531F5" w:rsidR="00D52952">
        <w:rPr>
          <w:rStyle w:val="Voetnootmarkering"/>
          <w:rFonts w:ascii="Verdana" w:hAnsi="Verdana"/>
          <w:sz w:val="20"/>
          <w:szCs w:val="20"/>
        </w:rPr>
        <w:footnoteReference w:id="8"/>
      </w:r>
      <w:r w:rsidRPr="004531F5" w:rsidR="00D52952">
        <w:rPr>
          <w:rFonts w:ascii="Verdana" w:hAnsi="Verdana"/>
          <w:sz w:val="20"/>
          <w:szCs w:val="20"/>
        </w:rPr>
        <w:t xml:space="preserve"> </w:t>
      </w:r>
      <w:r w:rsidRPr="004531F5" w:rsidR="00055557">
        <w:rPr>
          <w:rFonts w:ascii="Verdana" w:hAnsi="Verdana"/>
          <w:sz w:val="20"/>
          <w:szCs w:val="20"/>
        </w:rPr>
        <w:t xml:space="preserve">Het betreft </w:t>
      </w:r>
      <w:r w:rsidRPr="004531F5">
        <w:rPr>
          <w:rFonts w:ascii="Verdana" w:hAnsi="Verdana"/>
          <w:sz w:val="20"/>
          <w:szCs w:val="20"/>
        </w:rPr>
        <w:t xml:space="preserve">een vorm van vreemd vermogen die </w:t>
      </w:r>
      <w:r w:rsidRPr="004531F5" w:rsidR="00D52952">
        <w:rPr>
          <w:rFonts w:ascii="Verdana" w:hAnsi="Verdana"/>
          <w:sz w:val="20"/>
          <w:szCs w:val="20"/>
        </w:rPr>
        <w:t xml:space="preserve">door de autoriteiten </w:t>
      </w:r>
      <w:r w:rsidRPr="004531F5">
        <w:rPr>
          <w:rFonts w:ascii="Verdana" w:hAnsi="Verdana"/>
          <w:sz w:val="20"/>
          <w:szCs w:val="20"/>
        </w:rPr>
        <w:t>kan worden omgezet in eigen vermogen bij (</w:t>
      </w:r>
      <w:r w:rsidRPr="004531F5" w:rsidR="00021DEE">
        <w:rPr>
          <w:rFonts w:ascii="Verdana" w:hAnsi="Verdana"/>
          <w:sz w:val="20"/>
          <w:szCs w:val="20"/>
        </w:rPr>
        <w:t xml:space="preserve">serieuze </w:t>
      </w:r>
      <w:r w:rsidRPr="004531F5">
        <w:rPr>
          <w:rFonts w:ascii="Verdana" w:hAnsi="Verdana"/>
          <w:sz w:val="20"/>
          <w:szCs w:val="20"/>
        </w:rPr>
        <w:t xml:space="preserve">tekenen van) </w:t>
      </w:r>
      <w:r w:rsidRPr="004531F5" w:rsidR="001D61D0">
        <w:rPr>
          <w:rFonts w:ascii="Verdana" w:hAnsi="Verdana"/>
          <w:sz w:val="20"/>
          <w:szCs w:val="20"/>
        </w:rPr>
        <w:t xml:space="preserve">onomkeerbare </w:t>
      </w:r>
      <w:r w:rsidRPr="004531F5">
        <w:rPr>
          <w:rFonts w:ascii="Verdana" w:hAnsi="Verdana"/>
          <w:sz w:val="20"/>
          <w:szCs w:val="20"/>
        </w:rPr>
        <w:t xml:space="preserve">problemen </w:t>
      </w:r>
      <w:r w:rsidRPr="004531F5" w:rsidR="008F5143">
        <w:rPr>
          <w:rFonts w:ascii="Verdana" w:hAnsi="Verdana"/>
          <w:sz w:val="20"/>
          <w:szCs w:val="20"/>
        </w:rPr>
        <w:t>bij</w:t>
      </w:r>
      <w:r w:rsidRPr="004531F5">
        <w:rPr>
          <w:rFonts w:ascii="Verdana" w:hAnsi="Verdana"/>
          <w:sz w:val="20"/>
          <w:szCs w:val="20"/>
        </w:rPr>
        <w:t xml:space="preserve"> een bank. Er </w:t>
      </w:r>
      <w:r w:rsidRPr="004531F5" w:rsidR="008F5143">
        <w:rPr>
          <w:rFonts w:ascii="Verdana" w:hAnsi="Verdana"/>
          <w:sz w:val="20"/>
          <w:szCs w:val="20"/>
        </w:rPr>
        <w:t xml:space="preserve">is </w:t>
      </w:r>
      <w:r w:rsidRPr="004531F5" w:rsidR="00055557">
        <w:rPr>
          <w:rFonts w:ascii="Verdana" w:hAnsi="Verdana"/>
          <w:sz w:val="20"/>
          <w:szCs w:val="20"/>
        </w:rPr>
        <w:t xml:space="preserve">dan </w:t>
      </w:r>
      <w:r w:rsidRPr="004531F5">
        <w:rPr>
          <w:rFonts w:ascii="Verdana" w:hAnsi="Verdana"/>
          <w:sz w:val="20"/>
          <w:szCs w:val="20"/>
        </w:rPr>
        <w:t xml:space="preserve">nog geen sprake van een faillissement. Het kabinet steunt de ontwikkeling van </w:t>
      </w:r>
      <w:r w:rsidRPr="004531F5" w:rsidR="00055557">
        <w:rPr>
          <w:rFonts w:ascii="Verdana" w:hAnsi="Verdana"/>
          <w:sz w:val="20"/>
          <w:szCs w:val="20"/>
        </w:rPr>
        <w:t xml:space="preserve">dit instrument </w:t>
      </w:r>
      <w:r w:rsidRPr="004531F5">
        <w:rPr>
          <w:rFonts w:ascii="Verdana" w:hAnsi="Verdana"/>
          <w:sz w:val="20"/>
          <w:szCs w:val="20"/>
        </w:rPr>
        <w:t>omdat dit de mogelijkheid geeft schuldeisers in plaat</w:t>
      </w:r>
      <w:r w:rsidRPr="004531F5" w:rsidR="00055557">
        <w:rPr>
          <w:rFonts w:ascii="Verdana" w:hAnsi="Verdana"/>
          <w:sz w:val="20"/>
          <w:szCs w:val="20"/>
        </w:rPr>
        <w:t>s</w:t>
      </w:r>
      <w:r w:rsidRPr="004531F5">
        <w:rPr>
          <w:rFonts w:ascii="Verdana" w:hAnsi="Verdana"/>
          <w:sz w:val="20"/>
          <w:szCs w:val="20"/>
        </w:rPr>
        <w:t xml:space="preserve"> van </w:t>
      </w:r>
      <w:r w:rsidRPr="004531F5" w:rsidR="001D61D0">
        <w:rPr>
          <w:rFonts w:ascii="Verdana" w:hAnsi="Verdana"/>
          <w:sz w:val="20"/>
          <w:szCs w:val="20"/>
        </w:rPr>
        <w:t xml:space="preserve">de </w:t>
      </w:r>
      <w:r w:rsidRPr="004531F5">
        <w:rPr>
          <w:rFonts w:ascii="Verdana" w:hAnsi="Verdana"/>
          <w:sz w:val="20"/>
          <w:szCs w:val="20"/>
        </w:rPr>
        <w:t>belastingbetaler op te laten draaien voor de redding van een bank</w:t>
      </w:r>
      <w:r w:rsidRPr="004531F5" w:rsidR="00084379">
        <w:rPr>
          <w:rFonts w:ascii="Verdana" w:hAnsi="Verdana"/>
          <w:sz w:val="20"/>
          <w:szCs w:val="20"/>
        </w:rPr>
        <w:t xml:space="preserve"> zonder direct de financiële stabiliteit in gevaar te brengen</w:t>
      </w:r>
      <w:r w:rsidRPr="004531F5">
        <w:rPr>
          <w:rFonts w:ascii="Verdana" w:hAnsi="Verdana"/>
          <w:sz w:val="20"/>
          <w:szCs w:val="20"/>
        </w:rPr>
        <w:t xml:space="preserve">. Daarnaast  kunnen de cruciale functies van </w:t>
      </w:r>
      <w:r w:rsidRPr="004531F5" w:rsidR="001D61D0">
        <w:rPr>
          <w:rFonts w:ascii="Verdana" w:hAnsi="Verdana"/>
          <w:sz w:val="20"/>
          <w:szCs w:val="20"/>
        </w:rPr>
        <w:t xml:space="preserve">een bank in ernstige </w:t>
      </w:r>
      <w:r w:rsidRPr="004531F5" w:rsidR="001D61D0">
        <w:rPr>
          <w:rFonts w:ascii="Verdana" w:hAnsi="Verdana"/>
          <w:sz w:val="20"/>
          <w:szCs w:val="20"/>
        </w:rPr>
        <w:lastRenderedPageBreak/>
        <w:t>problemen</w:t>
      </w:r>
      <w:r w:rsidRPr="004531F5">
        <w:rPr>
          <w:rFonts w:ascii="Verdana" w:hAnsi="Verdana"/>
          <w:sz w:val="20"/>
          <w:szCs w:val="20"/>
        </w:rPr>
        <w:t xml:space="preserve"> </w:t>
      </w:r>
      <w:r w:rsidRPr="004531F5" w:rsidR="001D61D0">
        <w:rPr>
          <w:rFonts w:ascii="Verdana" w:hAnsi="Verdana"/>
          <w:sz w:val="20"/>
          <w:szCs w:val="20"/>
        </w:rPr>
        <w:t>worden gewaarborgd</w:t>
      </w:r>
      <w:r w:rsidRPr="004531F5">
        <w:rPr>
          <w:rFonts w:ascii="Verdana" w:hAnsi="Verdana"/>
          <w:sz w:val="20"/>
          <w:szCs w:val="20"/>
        </w:rPr>
        <w:t xml:space="preserve"> als vanuit het vreemd vermogen extra kapitaal beschikbaar komt.</w:t>
      </w:r>
      <w:r w:rsidRPr="004531F5" w:rsidR="008C4163">
        <w:rPr>
          <w:rFonts w:ascii="Verdana" w:hAnsi="Verdana"/>
          <w:sz w:val="20"/>
          <w:szCs w:val="20"/>
        </w:rPr>
        <w:t xml:space="preserve"> </w:t>
      </w:r>
      <w:r w:rsidRPr="004531F5" w:rsidR="00055557">
        <w:rPr>
          <w:rFonts w:ascii="Verdana" w:hAnsi="Verdana"/>
          <w:sz w:val="20"/>
          <w:szCs w:val="20"/>
        </w:rPr>
        <w:t xml:space="preserve">Hierdoor kan besmetting naar de reële economie worden voorkomen. </w:t>
      </w:r>
      <w:r w:rsidRPr="004531F5" w:rsidR="00021DEE">
        <w:rPr>
          <w:rFonts w:ascii="Verdana" w:hAnsi="Verdana"/>
          <w:sz w:val="20"/>
          <w:szCs w:val="20"/>
        </w:rPr>
        <w:t xml:space="preserve">De auteurs van het rapport </w:t>
      </w:r>
      <w:r w:rsidRPr="004531F5" w:rsidR="008C4163">
        <w:rPr>
          <w:rFonts w:ascii="Verdana" w:hAnsi="Verdana"/>
          <w:sz w:val="20"/>
          <w:szCs w:val="20"/>
        </w:rPr>
        <w:t>veronderstel</w:t>
      </w:r>
      <w:r w:rsidRPr="004531F5" w:rsidR="00021DEE">
        <w:rPr>
          <w:rFonts w:ascii="Verdana" w:hAnsi="Verdana"/>
          <w:sz w:val="20"/>
          <w:szCs w:val="20"/>
        </w:rPr>
        <w:t>len</w:t>
      </w:r>
      <w:r w:rsidRPr="004531F5" w:rsidR="008C4163">
        <w:rPr>
          <w:rFonts w:ascii="Verdana" w:hAnsi="Verdana"/>
          <w:sz w:val="20"/>
          <w:szCs w:val="20"/>
        </w:rPr>
        <w:t xml:space="preserve"> dat van de </w:t>
      </w:r>
      <w:r w:rsidRPr="004531F5" w:rsidR="00084379">
        <w:rPr>
          <w:rFonts w:ascii="Verdana" w:hAnsi="Verdana"/>
          <w:sz w:val="20"/>
          <w:szCs w:val="20"/>
        </w:rPr>
        <w:t xml:space="preserve">totale </w:t>
      </w:r>
      <w:r w:rsidRPr="004531F5" w:rsidR="00EA1673">
        <w:rPr>
          <w:rFonts w:ascii="Verdana" w:hAnsi="Verdana"/>
          <w:sz w:val="20"/>
          <w:szCs w:val="20"/>
        </w:rPr>
        <w:t xml:space="preserve">0,8 </w:t>
      </w:r>
      <w:r w:rsidRPr="004531F5" w:rsidR="001D61D0">
        <w:rPr>
          <w:rFonts w:ascii="Verdana" w:hAnsi="Verdana"/>
          <w:sz w:val="20"/>
          <w:szCs w:val="20"/>
        </w:rPr>
        <w:t>à</w:t>
      </w:r>
      <w:r w:rsidRPr="004531F5" w:rsidR="00EA1673">
        <w:rPr>
          <w:rFonts w:ascii="Verdana" w:hAnsi="Verdana"/>
          <w:sz w:val="20"/>
          <w:szCs w:val="20"/>
        </w:rPr>
        <w:t xml:space="preserve"> 0,9% renteverhoging ca</w:t>
      </w:r>
      <w:r w:rsidRPr="004531F5" w:rsidR="00084379">
        <w:rPr>
          <w:rFonts w:ascii="Verdana" w:hAnsi="Verdana"/>
          <w:sz w:val="20"/>
          <w:szCs w:val="20"/>
        </w:rPr>
        <w:t>.</w:t>
      </w:r>
      <w:r w:rsidRPr="004531F5" w:rsidR="00EA1673">
        <w:rPr>
          <w:rFonts w:ascii="Verdana" w:hAnsi="Verdana"/>
          <w:sz w:val="20"/>
          <w:szCs w:val="20"/>
        </w:rPr>
        <w:t xml:space="preserve"> een kwart van de prijsverhoging </w:t>
      </w:r>
      <w:r w:rsidRPr="004531F5" w:rsidR="008C4163">
        <w:rPr>
          <w:rFonts w:ascii="Verdana" w:hAnsi="Verdana"/>
          <w:sz w:val="20"/>
          <w:szCs w:val="20"/>
        </w:rPr>
        <w:t xml:space="preserve"> </w:t>
      </w:r>
      <w:r w:rsidRPr="004531F5" w:rsidR="00EA1673">
        <w:rPr>
          <w:rFonts w:ascii="Verdana" w:hAnsi="Verdana"/>
          <w:sz w:val="20"/>
          <w:szCs w:val="20"/>
        </w:rPr>
        <w:t xml:space="preserve">in </w:t>
      </w:r>
      <w:r w:rsidRPr="004531F5" w:rsidR="008C4163">
        <w:rPr>
          <w:rFonts w:ascii="Verdana" w:hAnsi="Verdana"/>
          <w:sz w:val="20"/>
          <w:szCs w:val="20"/>
        </w:rPr>
        <w:t xml:space="preserve">de periode </w:t>
      </w:r>
      <w:r w:rsidRPr="004531F5" w:rsidR="001D61D0">
        <w:rPr>
          <w:rFonts w:ascii="Verdana" w:hAnsi="Verdana"/>
          <w:sz w:val="20"/>
          <w:szCs w:val="20"/>
        </w:rPr>
        <w:t xml:space="preserve">van </w:t>
      </w:r>
      <w:r w:rsidRPr="004531F5" w:rsidR="008C4163">
        <w:rPr>
          <w:rFonts w:ascii="Verdana" w:hAnsi="Verdana"/>
          <w:sz w:val="20"/>
          <w:szCs w:val="20"/>
        </w:rPr>
        <w:t xml:space="preserve">2012-2015 door de nieuwe wetgeving </w:t>
      </w:r>
      <w:r w:rsidRPr="004531F5" w:rsidR="001D61D0">
        <w:rPr>
          <w:rFonts w:ascii="Verdana" w:hAnsi="Verdana"/>
          <w:sz w:val="20"/>
          <w:szCs w:val="20"/>
        </w:rPr>
        <w:t xml:space="preserve">aangaande converteerbare schuld </w:t>
      </w:r>
      <w:r w:rsidRPr="004531F5" w:rsidR="008C4163">
        <w:rPr>
          <w:rFonts w:ascii="Verdana" w:hAnsi="Verdana"/>
          <w:sz w:val="20"/>
          <w:szCs w:val="20"/>
        </w:rPr>
        <w:t>wordt veroorzaak</w:t>
      </w:r>
      <w:r w:rsidRPr="004531F5" w:rsidR="00084379">
        <w:rPr>
          <w:rFonts w:ascii="Verdana" w:hAnsi="Verdana"/>
          <w:sz w:val="20"/>
          <w:szCs w:val="20"/>
        </w:rPr>
        <w:t>t.</w:t>
      </w:r>
      <w:r w:rsidRPr="004531F5" w:rsidR="008C4163">
        <w:rPr>
          <w:rStyle w:val="Voetnootmarkering"/>
          <w:rFonts w:ascii="Verdana" w:hAnsi="Verdana"/>
          <w:sz w:val="20"/>
          <w:szCs w:val="20"/>
        </w:rPr>
        <w:footnoteReference w:id="9"/>
      </w:r>
      <w:r w:rsidRPr="004531F5" w:rsidR="00084379">
        <w:rPr>
          <w:rFonts w:ascii="Verdana" w:hAnsi="Verdana"/>
          <w:sz w:val="20"/>
          <w:szCs w:val="20"/>
        </w:rPr>
        <w:t xml:space="preserve"> </w:t>
      </w:r>
      <w:r w:rsidRPr="004531F5" w:rsidR="00021DEE">
        <w:rPr>
          <w:rFonts w:ascii="Verdana" w:hAnsi="Verdana"/>
          <w:sz w:val="20"/>
          <w:szCs w:val="20"/>
        </w:rPr>
        <w:t xml:space="preserve">Ze </w:t>
      </w:r>
      <w:r w:rsidRPr="004531F5" w:rsidR="000B1C67">
        <w:rPr>
          <w:rFonts w:ascii="Verdana" w:hAnsi="Verdana"/>
          <w:sz w:val="20"/>
          <w:szCs w:val="20"/>
        </w:rPr>
        <w:t xml:space="preserve">geven </w:t>
      </w:r>
      <w:r w:rsidRPr="004531F5" w:rsidR="00084379">
        <w:rPr>
          <w:rFonts w:ascii="Verdana" w:hAnsi="Verdana"/>
          <w:sz w:val="20"/>
          <w:szCs w:val="20"/>
        </w:rPr>
        <w:t xml:space="preserve">daarbij wel aan dat verschillende partijen </w:t>
      </w:r>
      <w:r w:rsidRPr="004531F5" w:rsidR="001D61D0">
        <w:rPr>
          <w:rFonts w:ascii="Verdana" w:hAnsi="Verdana"/>
          <w:sz w:val="20"/>
          <w:szCs w:val="20"/>
        </w:rPr>
        <w:t xml:space="preserve">zeer </w:t>
      </w:r>
      <w:r w:rsidRPr="004531F5" w:rsidR="00084379">
        <w:rPr>
          <w:rFonts w:ascii="Verdana" w:hAnsi="Verdana"/>
          <w:sz w:val="20"/>
          <w:szCs w:val="20"/>
        </w:rPr>
        <w:t>verschillen</w:t>
      </w:r>
      <w:r w:rsidRPr="004531F5" w:rsidR="001D61D0">
        <w:rPr>
          <w:rFonts w:ascii="Verdana" w:hAnsi="Verdana"/>
          <w:sz w:val="20"/>
          <w:szCs w:val="20"/>
        </w:rPr>
        <w:t>de</w:t>
      </w:r>
      <w:r w:rsidRPr="004531F5" w:rsidR="00084379">
        <w:rPr>
          <w:rFonts w:ascii="Verdana" w:hAnsi="Verdana"/>
          <w:sz w:val="20"/>
          <w:szCs w:val="20"/>
        </w:rPr>
        <w:t xml:space="preserve"> inschattingen van het effect maken.</w:t>
      </w:r>
    </w:p>
    <w:p w:rsidRPr="004531F5" w:rsidR="0034405C" w:rsidP="0034405C" w:rsidRDefault="0034405C">
      <w:pPr>
        <w:rPr>
          <w:rFonts w:ascii="Verdana" w:hAnsi="Verdana"/>
          <w:sz w:val="20"/>
          <w:szCs w:val="20"/>
        </w:rPr>
      </w:pPr>
    </w:p>
    <w:p w:rsidRPr="004531F5" w:rsidR="0034405C" w:rsidP="0034405C" w:rsidRDefault="0034405C">
      <w:pPr>
        <w:rPr>
          <w:rFonts w:ascii="Verdana" w:hAnsi="Verdana"/>
          <w:sz w:val="20"/>
          <w:szCs w:val="20"/>
        </w:rPr>
      </w:pPr>
      <w:r w:rsidRPr="004531F5">
        <w:rPr>
          <w:rFonts w:ascii="Verdana" w:hAnsi="Verdana"/>
          <w:sz w:val="20"/>
          <w:szCs w:val="20"/>
        </w:rPr>
        <w:t xml:space="preserve">Bij de introductie van het instrument is het </w:t>
      </w:r>
      <w:r w:rsidRPr="004531F5" w:rsidR="00055557">
        <w:rPr>
          <w:rFonts w:ascii="Verdana" w:hAnsi="Verdana"/>
          <w:sz w:val="20"/>
          <w:szCs w:val="20"/>
        </w:rPr>
        <w:t xml:space="preserve">mijns inziens </w:t>
      </w:r>
      <w:r w:rsidRPr="004531F5">
        <w:rPr>
          <w:rFonts w:ascii="Verdana" w:hAnsi="Verdana"/>
          <w:sz w:val="20"/>
          <w:szCs w:val="20"/>
        </w:rPr>
        <w:t xml:space="preserve">onvermijdelijk dat de prijs van vreemd vermogen zal stijgen. Momenteel </w:t>
      </w:r>
      <w:r w:rsidRPr="004531F5" w:rsidR="005813C6">
        <w:rPr>
          <w:rFonts w:ascii="Verdana" w:hAnsi="Verdana"/>
          <w:sz w:val="20"/>
          <w:szCs w:val="20"/>
        </w:rPr>
        <w:t xml:space="preserve">kunnen verschillende </w:t>
      </w:r>
      <w:r w:rsidRPr="004531F5">
        <w:rPr>
          <w:rFonts w:ascii="Verdana" w:hAnsi="Verdana"/>
          <w:sz w:val="20"/>
          <w:szCs w:val="20"/>
        </w:rPr>
        <w:t xml:space="preserve">banken </w:t>
      </w:r>
      <w:r w:rsidRPr="004531F5" w:rsidR="005813C6">
        <w:rPr>
          <w:rFonts w:ascii="Verdana" w:hAnsi="Verdana"/>
          <w:sz w:val="20"/>
          <w:szCs w:val="20"/>
        </w:rPr>
        <w:t xml:space="preserve">betrekkelijk goedkoop vreemd vermogen aantrekken </w:t>
      </w:r>
      <w:r w:rsidRPr="004531F5">
        <w:rPr>
          <w:rFonts w:ascii="Verdana" w:hAnsi="Verdana"/>
          <w:sz w:val="20"/>
          <w:szCs w:val="20"/>
        </w:rPr>
        <w:t xml:space="preserve">als gevolg van </w:t>
      </w:r>
      <w:r w:rsidRPr="004531F5" w:rsidR="005813C6">
        <w:rPr>
          <w:rFonts w:ascii="Verdana" w:hAnsi="Verdana"/>
          <w:sz w:val="20"/>
          <w:szCs w:val="20"/>
        </w:rPr>
        <w:t xml:space="preserve">de gepercipieerde </w:t>
      </w:r>
      <w:r w:rsidRPr="004531F5">
        <w:rPr>
          <w:rFonts w:ascii="Verdana" w:hAnsi="Verdana"/>
          <w:sz w:val="20"/>
          <w:szCs w:val="20"/>
        </w:rPr>
        <w:t>impliciete overheidsgaranti</w:t>
      </w:r>
      <w:r w:rsidRPr="004531F5" w:rsidR="008F5143">
        <w:rPr>
          <w:rFonts w:ascii="Verdana" w:hAnsi="Verdana"/>
          <w:sz w:val="20"/>
          <w:szCs w:val="20"/>
        </w:rPr>
        <w:t xml:space="preserve">e (de verwachting dat de bank door de overheid gered zal worden). </w:t>
      </w:r>
      <w:r w:rsidRPr="004531F5">
        <w:rPr>
          <w:rFonts w:ascii="Verdana" w:hAnsi="Verdana"/>
          <w:sz w:val="20"/>
          <w:szCs w:val="20"/>
        </w:rPr>
        <w:t xml:space="preserve">Deze </w:t>
      </w:r>
      <w:r w:rsidRPr="004531F5" w:rsidR="001D61D0">
        <w:rPr>
          <w:rFonts w:ascii="Verdana" w:hAnsi="Verdana"/>
          <w:sz w:val="20"/>
          <w:szCs w:val="20"/>
        </w:rPr>
        <w:t>zal voor een belangrijk deel verdwijnen</w:t>
      </w:r>
      <w:r w:rsidRPr="004531F5">
        <w:rPr>
          <w:rFonts w:ascii="Verdana" w:hAnsi="Verdana"/>
          <w:sz w:val="20"/>
          <w:szCs w:val="20"/>
        </w:rPr>
        <w:t xml:space="preserve"> als het instrument goed wordt ontwikkeld en </w:t>
      </w:r>
      <w:r w:rsidRPr="004531F5" w:rsidR="00055557">
        <w:rPr>
          <w:rFonts w:ascii="Verdana" w:hAnsi="Verdana"/>
          <w:sz w:val="20"/>
          <w:szCs w:val="20"/>
        </w:rPr>
        <w:t xml:space="preserve">markten gaan </w:t>
      </w:r>
      <w:r w:rsidRPr="004531F5">
        <w:rPr>
          <w:rFonts w:ascii="Verdana" w:hAnsi="Verdana"/>
          <w:sz w:val="20"/>
          <w:szCs w:val="20"/>
        </w:rPr>
        <w:t>verwacht</w:t>
      </w:r>
      <w:r w:rsidRPr="004531F5" w:rsidR="00055557">
        <w:rPr>
          <w:rFonts w:ascii="Verdana" w:hAnsi="Verdana"/>
          <w:sz w:val="20"/>
          <w:szCs w:val="20"/>
        </w:rPr>
        <w:t>en</w:t>
      </w:r>
      <w:r w:rsidRPr="004531F5">
        <w:rPr>
          <w:rFonts w:ascii="Verdana" w:hAnsi="Verdana"/>
          <w:sz w:val="20"/>
          <w:szCs w:val="20"/>
        </w:rPr>
        <w:t xml:space="preserve"> dat </w:t>
      </w:r>
      <w:r w:rsidRPr="004531F5" w:rsidR="00084379">
        <w:rPr>
          <w:rFonts w:ascii="Verdana" w:hAnsi="Verdana"/>
          <w:sz w:val="20"/>
          <w:szCs w:val="20"/>
        </w:rPr>
        <w:t xml:space="preserve">het instrument ook daadwerkelijk ingezet zal gaan </w:t>
      </w:r>
      <w:r w:rsidRPr="004531F5" w:rsidR="00055557">
        <w:rPr>
          <w:rFonts w:ascii="Verdana" w:hAnsi="Verdana"/>
          <w:sz w:val="20"/>
          <w:szCs w:val="20"/>
        </w:rPr>
        <w:t>worden</w:t>
      </w:r>
      <w:r w:rsidRPr="004531F5">
        <w:rPr>
          <w:rFonts w:ascii="Verdana" w:hAnsi="Verdana"/>
          <w:sz w:val="20"/>
          <w:szCs w:val="20"/>
        </w:rPr>
        <w:t xml:space="preserve">. De </w:t>
      </w:r>
      <w:r w:rsidRPr="004531F5">
        <w:rPr>
          <w:rFonts w:ascii="Verdana" w:hAnsi="Verdana"/>
          <w:i/>
          <w:sz w:val="20"/>
          <w:szCs w:val="20"/>
        </w:rPr>
        <w:t>mate waarin</w:t>
      </w:r>
      <w:r w:rsidRPr="004531F5">
        <w:rPr>
          <w:rFonts w:ascii="Verdana" w:hAnsi="Verdana"/>
          <w:sz w:val="20"/>
          <w:szCs w:val="20"/>
        </w:rPr>
        <w:t xml:space="preserve"> de prijs zal stijgen is echter op basis van het huidige </w:t>
      </w:r>
      <w:r w:rsidRPr="004531F5" w:rsidR="005813C6">
        <w:rPr>
          <w:rFonts w:ascii="Verdana" w:hAnsi="Verdana"/>
          <w:sz w:val="20"/>
          <w:szCs w:val="20"/>
        </w:rPr>
        <w:t>richtlijn</w:t>
      </w:r>
      <w:r w:rsidRPr="004531F5">
        <w:rPr>
          <w:rFonts w:ascii="Verdana" w:hAnsi="Verdana"/>
          <w:sz w:val="20"/>
          <w:szCs w:val="20"/>
        </w:rPr>
        <w:t xml:space="preserve">voorstel nog moeilijk voorspelbaar. Allereerst zit in het huidige </w:t>
      </w:r>
      <w:r w:rsidRPr="004531F5" w:rsidR="005813C6">
        <w:rPr>
          <w:rFonts w:ascii="Verdana" w:hAnsi="Verdana"/>
          <w:sz w:val="20"/>
          <w:szCs w:val="20"/>
        </w:rPr>
        <w:t>richtlijn</w:t>
      </w:r>
      <w:r w:rsidRPr="004531F5">
        <w:rPr>
          <w:rFonts w:ascii="Verdana" w:hAnsi="Verdana"/>
          <w:sz w:val="20"/>
          <w:szCs w:val="20"/>
        </w:rPr>
        <w:t xml:space="preserve">voorstel de mogelijkheid ook vreemd vermogen </w:t>
      </w:r>
      <w:r w:rsidRPr="004531F5" w:rsidR="005813C6">
        <w:rPr>
          <w:rFonts w:ascii="Verdana" w:hAnsi="Verdana"/>
          <w:sz w:val="20"/>
          <w:szCs w:val="20"/>
        </w:rPr>
        <w:t>te converteren d</w:t>
      </w:r>
      <w:r w:rsidRPr="004531F5">
        <w:rPr>
          <w:rFonts w:ascii="Verdana" w:hAnsi="Verdana"/>
          <w:sz w:val="20"/>
          <w:szCs w:val="20"/>
        </w:rPr>
        <w:t xml:space="preserve">at </w:t>
      </w:r>
      <w:r w:rsidRPr="004531F5" w:rsidR="00055557">
        <w:rPr>
          <w:rFonts w:ascii="Verdana" w:hAnsi="Verdana"/>
          <w:sz w:val="20"/>
          <w:szCs w:val="20"/>
        </w:rPr>
        <w:t xml:space="preserve">al </w:t>
      </w:r>
      <w:r w:rsidRPr="004531F5">
        <w:rPr>
          <w:rFonts w:ascii="Verdana" w:hAnsi="Verdana"/>
          <w:sz w:val="20"/>
          <w:szCs w:val="20"/>
        </w:rPr>
        <w:t>voor inwerkingtreding van de richtlijn</w:t>
      </w:r>
      <w:r w:rsidRPr="004531F5" w:rsidR="00084379">
        <w:rPr>
          <w:rFonts w:ascii="Verdana" w:hAnsi="Verdana"/>
          <w:sz w:val="20"/>
          <w:szCs w:val="20"/>
        </w:rPr>
        <w:t xml:space="preserve"> door banken is aangetrokken</w:t>
      </w:r>
      <w:r w:rsidRPr="004531F5">
        <w:rPr>
          <w:rFonts w:ascii="Verdana" w:hAnsi="Verdana"/>
          <w:sz w:val="20"/>
          <w:szCs w:val="20"/>
        </w:rPr>
        <w:t>. Het is dus denkbaar dat kapitaalmarkten op dit moment de extra risico’s al volledig of gedeeltelijk in de prijs hebben verwerkt. Daarnaast zal de inrichting van een adequaat bail-in regime nog de nodige technische en juridische uitdagingen met zich</w:t>
      </w:r>
      <w:r w:rsidRPr="004531F5" w:rsidR="005813C6">
        <w:rPr>
          <w:rFonts w:ascii="Verdana" w:hAnsi="Verdana"/>
          <w:sz w:val="20"/>
          <w:szCs w:val="20"/>
        </w:rPr>
        <w:t xml:space="preserve"> </w:t>
      </w:r>
      <w:r w:rsidRPr="004531F5">
        <w:rPr>
          <w:rFonts w:ascii="Verdana" w:hAnsi="Verdana"/>
          <w:sz w:val="20"/>
          <w:szCs w:val="20"/>
        </w:rPr>
        <w:t xml:space="preserve">brengen. </w:t>
      </w:r>
      <w:r w:rsidRPr="004531F5" w:rsidR="00EE4F19">
        <w:rPr>
          <w:rFonts w:ascii="Verdana" w:hAnsi="Verdana"/>
          <w:sz w:val="20"/>
          <w:szCs w:val="20"/>
        </w:rPr>
        <w:t>O</w:t>
      </w:r>
      <w:r w:rsidRPr="004531F5">
        <w:rPr>
          <w:rFonts w:ascii="Verdana" w:hAnsi="Verdana"/>
          <w:sz w:val="20"/>
          <w:szCs w:val="20"/>
        </w:rPr>
        <w:t xml:space="preserve">nzekerheid over de precieze juridische status van vreemd vermogen </w:t>
      </w:r>
      <w:r w:rsidRPr="004531F5" w:rsidR="00EE4F19">
        <w:rPr>
          <w:rFonts w:ascii="Verdana" w:hAnsi="Verdana"/>
          <w:sz w:val="20"/>
          <w:szCs w:val="20"/>
        </w:rPr>
        <w:t>kan</w:t>
      </w:r>
      <w:r w:rsidRPr="004531F5" w:rsidR="00A76E71">
        <w:rPr>
          <w:rFonts w:ascii="Verdana" w:hAnsi="Verdana"/>
          <w:sz w:val="20"/>
          <w:szCs w:val="20"/>
        </w:rPr>
        <w:t xml:space="preserve"> </w:t>
      </w:r>
      <w:r w:rsidRPr="004531F5" w:rsidR="00EE4F19">
        <w:rPr>
          <w:rFonts w:ascii="Verdana" w:hAnsi="Verdana"/>
          <w:sz w:val="20"/>
          <w:szCs w:val="20"/>
        </w:rPr>
        <w:t xml:space="preserve">op dit moment </w:t>
      </w:r>
      <w:r w:rsidRPr="004531F5">
        <w:rPr>
          <w:rFonts w:ascii="Verdana" w:hAnsi="Verdana"/>
          <w:sz w:val="20"/>
          <w:szCs w:val="20"/>
        </w:rPr>
        <w:t xml:space="preserve">tot oneigenlijke </w:t>
      </w:r>
      <w:r w:rsidRPr="004531F5" w:rsidR="00EE4F19">
        <w:rPr>
          <w:rFonts w:ascii="Verdana" w:hAnsi="Verdana"/>
          <w:sz w:val="20"/>
          <w:szCs w:val="20"/>
        </w:rPr>
        <w:t>verhoging van de vergoeding voor vreemd vermogen</w:t>
      </w:r>
      <w:r w:rsidRPr="004531F5" w:rsidR="00912CB9">
        <w:rPr>
          <w:rFonts w:ascii="Verdana" w:hAnsi="Verdana"/>
          <w:sz w:val="20"/>
          <w:szCs w:val="20"/>
        </w:rPr>
        <w:t xml:space="preserve"> </w:t>
      </w:r>
      <w:r w:rsidRPr="004531F5" w:rsidR="00055557">
        <w:rPr>
          <w:rFonts w:ascii="Verdana" w:hAnsi="Verdana"/>
          <w:sz w:val="20"/>
          <w:szCs w:val="20"/>
        </w:rPr>
        <w:t>leiden</w:t>
      </w:r>
      <w:r w:rsidRPr="004531F5">
        <w:rPr>
          <w:rFonts w:ascii="Verdana" w:hAnsi="Verdana"/>
          <w:sz w:val="20"/>
          <w:szCs w:val="20"/>
        </w:rPr>
        <w:t xml:space="preserve">. Mede </w:t>
      </w:r>
      <w:r w:rsidRPr="004531F5" w:rsidR="00055557">
        <w:rPr>
          <w:rFonts w:ascii="Verdana" w:hAnsi="Verdana"/>
          <w:sz w:val="20"/>
          <w:szCs w:val="20"/>
        </w:rPr>
        <w:t xml:space="preserve">hierom </w:t>
      </w:r>
      <w:r w:rsidRPr="004531F5">
        <w:rPr>
          <w:rFonts w:ascii="Verdana" w:hAnsi="Verdana"/>
          <w:sz w:val="20"/>
          <w:szCs w:val="20"/>
        </w:rPr>
        <w:t>zet het kabinet bij de onderhandelingen over de richtlijn</w:t>
      </w:r>
      <w:r w:rsidRPr="004531F5" w:rsidR="00055557">
        <w:rPr>
          <w:rFonts w:ascii="Verdana" w:hAnsi="Verdana"/>
          <w:sz w:val="20"/>
          <w:szCs w:val="20"/>
        </w:rPr>
        <w:t xml:space="preserve"> in op </w:t>
      </w:r>
      <w:r w:rsidRPr="004531F5" w:rsidR="001D61D0">
        <w:rPr>
          <w:rFonts w:ascii="Verdana" w:hAnsi="Verdana"/>
          <w:sz w:val="20"/>
          <w:szCs w:val="20"/>
        </w:rPr>
        <w:t>snelle</w:t>
      </w:r>
      <w:r w:rsidRPr="004531F5" w:rsidR="00EE4F19">
        <w:rPr>
          <w:rFonts w:ascii="Verdana" w:hAnsi="Verdana"/>
          <w:sz w:val="20"/>
          <w:szCs w:val="20"/>
        </w:rPr>
        <w:t xml:space="preserve"> en volledige</w:t>
      </w:r>
      <w:r w:rsidRPr="004531F5" w:rsidR="001D61D0">
        <w:rPr>
          <w:rFonts w:ascii="Verdana" w:hAnsi="Verdana"/>
          <w:sz w:val="20"/>
          <w:szCs w:val="20"/>
        </w:rPr>
        <w:t xml:space="preserve"> </w:t>
      </w:r>
      <w:r w:rsidRPr="004531F5" w:rsidR="00055557">
        <w:rPr>
          <w:rFonts w:ascii="Verdana" w:hAnsi="Verdana"/>
          <w:sz w:val="20"/>
          <w:szCs w:val="20"/>
        </w:rPr>
        <w:t>juridische helderheid voor verschaffers van vreemd vermogen</w:t>
      </w:r>
      <w:r w:rsidRPr="004531F5">
        <w:rPr>
          <w:rFonts w:ascii="Verdana" w:hAnsi="Verdana"/>
          <w:sz w:val="20"/>
          <w:szCs w:val="20"/>
        </w:rPr>
        <w:t>.</w:t>
      </w:r>
    </w:p>
    <w:p w:rsidRPr="004531F5" w:rsidR="0034405C" w:rsidP="0034405C" w:rsidRDefault="0034405C">
      <w:pPr>
        <w:rPr>
          <w:rFonts w:ascii="Verdana" w:hAnsi="Verdana"/>
          <w:sz w:val="20"/>
          <w:szCs w:val="20"/>
        </w:rPr>
      </w:pPr>
    </w:p>
    <w:p w:rsidRPr="004531F5" w:rsidR="00EE032C" w:rsidP="00EE032C" w:rsidRDefault="005907DC">
      <w:pPr>
        <w:rPr>
          <w:rFonts w:ascii="Verdana" w:hAnsi="Verdana"/>
          <w:bCs/>
          <w:i/>
          <w:sz w:val="20"/>
          <w:szCs w:val="20"/>
        </w:rPr>
      </w:pPr>
      <w:r w:rsidRPr="004531F5">
        <w:rPr>
          <w:rFonts w:ascii="Verdana" w:hAnsi="Verdana"/>
          <w:bCs/>
          <w:i/>
          <w:sz w:val="20"/>
          <w:szCs w:val="20"/>
        </w:rPr>
        <w:t xml:space="preserve">Aanname ten aanzien </w:t>
      </w:r>
      <w:r w:rsidRPr="004531F5" w:rsidR="00733BE2">
        <w:rPr>
          <w:rFonts w:ascii="Verdana" w:hAnsi="Verdana"/>
          <w:bCs/>
          <w:i/>
          <w:sz w:val="20"/>
          <w:szCs w:val="20"/>
        </w:rPr>
        <w:t xml:space="preserve">van </w:t>
      </w:r>
      <w:proofErr w:type="spellStart"/>
      <w:r w:rsidRPr="004531F5" w:rsidR="00EE032C">
        <w:rPr>
          <w:rFonts w:ascii="Verdana" w:hAnsi="Verdana"/>
          <w:bCs/>
          <w:i/>
          <w:sz w:val="20"/>
          <w:szCs w:val="20"/>
        </w:rPr>
        <w:t>netto-reductie</w:t>
      </w:r>
      <w:proofErr w:type="spellEnd"/>
      <w:r w:rsidRPr="004531F5" w:rsidR="00EE032C">
        <w:rPr>
          <w:rFonts w:ascii="Verdana" w:hAnsi="Verdana"/>
          <w:bCs/>
          <w:i/>
          <w:sz w:val="20"/>
          <w:szCs w:val="20"/>
        </w:rPr>
        <w:t xml:space="preserve"> operationele kosten</w:t>
      </w:r>
    </w:p>
    <w:p w:rsidRPr="004531F5" w:rsidR="0016383C" w:rsidP="00B14370" w:rsidRDefault="00733BE2">
      <w:pPr>
        <w:rPr>
          <w:rFonts w:ascii="Verdana" w:hAnsi="Verdana"/>
          <w:bCs/>
          <w:sz w:val="20"/>
          <w:szCs w:val="20"/>
        </w:rPr>
      </w:pPr>
      <w:r w:rsidRPr="004531F5">
        <w:rPr>
          <w:rFonts w:ascii="Verdana" w:hAnsi="Verdana"/>
          <w:sz w:val="20"/>
          <w:szCs w:val="20"/>
        </w:rPr>
        <w:t>De</w:t>
      </w:r>
      <w:r w:rsidRPr="004531F5" w:rsidR="00B14370">
        <w:rPr>
          <w:rFonts w:ascii="Verdana" w:hAnsi="Verdana"/>
          <w:sz w:val="20"/>
          <w:szCs w:val="20"/>
        </w:rPr>
        <w:t xml:space="preserve"> auteurs veronderstellen ook een eenmalige </w:t>
      </w:r>
      <w:proofErr w:type="spellStart"/>
      <w:r w:rsidRPr="004531F5" w:rsidR="00B14370">
        <w:rPr>
          <w:rFonts w:ascii="Verdana" w:hAnsi="Verdana"/>
          <w:sz w:val="20"/>
          <w:szCs w:val="20"/>
        </w:rPr>
        <w:t>netto-reductie</w:t>
      </w:r>
      <w:proofErr w:type="spellEnd"/>
      <w:r w:rsidRPr="004531F5" w:rsidR="00B14370">
        <w:rPr>
          <w:rFonts w:ascii="Verdana" w:hAnsi="Verdana"/>
          <w:sz w:val="20"/>
          <w:szCs w:val="20"/>
        </w:rPr>
        <w:t xml:space="preserve"> van operationele kosten </w:t>
      </w:r>
      <w:r w:rsidRPr="004531F5" w:rsidR="003C0A88">
        <w:rPr>
          <w:rFonts w:ascii="Verdana" w:hAnsi="Verdana"/>
          <w:bCs/>
          <w:sz w:val="20"/>
          <w:szCs w:val="20"/>
        </w:rPr>
        <w:t xml:space="preserve">met </w:t>
      </w:r>
      <w:r w:rsidRPr="004531F5" w:rsidR="00847871">
        <w:rPr>
          <w:rFonts w:ascii="Verdana" w:hAnsi="Verdana"/>
          <w:bCs/>
          <w:sz w:val="20"/>
          <w:szCs w:val="20"/>
        </w:rPr>
        <w:t xml:space="preserve">5% </w:t>
      </w:r>
      <w:r w:rsidRPr="004531F5" w:rsidR="00EE4F19">
        <w:rPr>
          <w:rFonts w:ascii="Verdana" w:hAnsi="Verdana"/>
          <w:bCs/>
          <w:sz w:val="20"/>
          <w:szCs w:val="20"/>
        </w:rPr>
        <w:t>per jaar</w:t>
      </w:r>
      <w:r w:rsidRPr="004531F5" w:rsidR="003C0A88">
        <w:rPr>
          <w:rFonts w:ascii="Verdana" w:hAnsi="Verdana"/>
          <w:bCs/>
          <w:sz w:val="20"/>
          <w:szCs w:val="20"/>
        </w:rPr>
        <w:t xml:space="preserve">. </w:t>
      </w:r>
      <w:r w:rsidRPr="004531F5" w:rsidR="00C90473">
        <w:rPr>
          <w:rFonts w:ascii="Verdana" w:hAnsi="Verdana"/>
          <w:bCs/>
          <w:sz w:val="20"/>
          <w:szCs w:val="20"/>
        </w:rPr>
        <w:t xml:space="preserve">Een </w:t>
      </w:r>
      <w:r w:rsidRPr="004531F5" w:rsidR="00B14370">
        <w:rPr>
          <w:rFonts w:ascii="Verdana" w:hAnsi="Verdana"/>
          <w:bCs/>
          <w:sz w:val="20"/>
          <w:szCs w:val="20"/>
        </w:rPr>
        <w:t xml:space="preserve">dergelijke </w:t>
      </w:r>
      <w:r w:rsidRPr="004531F5" w:rsidR="00C90473">
        <w:rPr>
          <w:rFonts w:ascii="Verdana" w:hAnsi="Verdana"/>
          <w:bCs/>
          <w:sz w:val="20"/>
          <w:szCs w:val="20"/>
        </w:rPr>
        <w:t>reductie van 5%</w:t>
      </w:r>
      <w:r w:rsidRPr="004531F5" w:rsidR="00AA1507">
        <w:rPr>
          <w:rFonts w:ascii="Verdana" w:hAnsi="Verdana"/>
          <w:bCs/>
          <w:sz w:val="20"/>
          <w:szCs w:val="20"/>
        </w:rPr>
        <w:t xml:space="preserve"> zal tot een kosten</w:t>
      </w:r>
      <w:r w:rsidRPr="004531F5" w:rsidR="008C4163">
        <w:rPr>
          <w:rFonts w:ascii="Verdana" w:hAnsi="Verdana"/>
          <w:bCs/>
          <w:sz w:val="20"/>
          <w:szCs w:val="20"/>
        </w:rPr>
        <w:t>-</w:t>
      </w:r>
      <w:r w:rsidRPr="004531F5" w:rsidR="00AA1507">
        <w:rPr>
          <w:rFonts w:ascii="Verdana" w:hAnsi="Verdana"/>
          <w:bCs/>
          <w:sz w:val="20"/>
          <w:szCs w:val="20"/>
        </w:rPr>
        <w:t>inkomstenratio van tussen de 50 en 60%</w:t>
      </w:r>
      <w:r w:rsidRPr="004531F5" w:rsidR="00847871">
        <w:rPr>
          <w:rFonts w:ascii="Verdana" w:hAnsi="Verdana"/>
          <w:bCs/>
          <w:sz w:val="20"/>
          <w:szCs w:val="20"/>
        </w:rPr>
        <w:t xml:space="preserve"> leiden. </w:t>
      </w:r>
      <w:r w:rsidRPr="004531F5" w:rsidR="0023189D">
        <w:rPr>
          <w:rFonts w:ascii="Verdana" w:hAnsi="Verdana"/>
          <w:bCs/>
          <w:sz w:val="20"/>
          <w:szCs w:val="20"/>
        </w:rPr>
        <w:t>Op dit moment zitten Nederlandse banken m</w:t>
      </w:r>
      <w:r w:rsidRPr="004531F5" w:rsidR="005900C2">
        <w:rPr>
          <w:rFonts w:ascii="Verdana" w:hAnsi="Verdana"/>
          <w:bCs/>
          <w:sz w:val="20"/>
          <w:szCs w:val="20"/>
        </w:rPr>
        <w:t xml:space="preserve">et een kosten-inkomstenratio van </w:t>
      </w:r>
      <w:r w:rsidRPr="004531F5" w:rsidR="007D578E">
        <w:rPr>
          <w:rFonts w:ascii="Verdana" w:hAnsi="Verdana"/>
          <w:bCs/>
          <w:sz w:val="20"/>
          <w:szCs w:val="20"/>
        </w:rPr>
        <w:t xml:space="preserve">ca. </w:t>
      </w:r>
      <w:r w:rsidRPr="004531F5" w:rsidR="005900C2">
        <w:rPr>
          <w:rFonts w:ascii="Verdana" w:hAnsi="Verdana"/>
          <w:bCs/>
          <w:sz w:val="20"/>
          <w:szCs w:val="20"/>
        </w:rPr>
        <w:t xml:space="preserve">60% </w:t>
      </w:r>
      <w:r w:rsidRPr="004531F5" w:rsidR="00847871">
        <w:rPr>
          <w:rFonts w:ascii="Verdana" w:hAnsi="Verdana"/>
          <w:bCs/>
          <w:sz w:val="20"/>
          <w:szCs w:val="20"/>
        </w:rPr>
        <w:t xml:space="preserve">weliswaar </w:t>
      </w:r>
      <w:r w:rsidRPr="004531F5" w:rsidR="005900C2">
        <w:rPr>
          <w:rFonts w:ascii="Verdana" w:hAnsi="Verdana"/>
          <w:bCs/>
          <w:sz w:val="20"/>
          <w:szCs w:val="20"/>
        </w:rPr>
        <w:t>op het Europese gemidd</w:t>
      </w:r>
      <w:r w:rsidRPr="004531F5" w:rsidR="0067208D">
        <w:rPr>
          <w:rFonts w:ascii="Verdana" w:hAnsi="Verdana"/>
          <w:bCs/>
          <w:sz w:val="20"/>
          <w:szCs w:val="20"/>
        </w:rPr>
        <w:t>elde</w:t>
      </w:r>
      <w:r w:rsidRPr="004531F5" w:rsidR="0067208D">
        <w:rPr>
          <w:rStyle w:val="Voetnootmarkering"/>
          <w:rFonts w:ascii="Verdana" w:hAnsi="Verdana"/>
          <w:bCs/>
          <w:sz w:val="20"/>
          <w:szCs w:val="20"/>
        </w:rPr>
        <w:footnoteReference w:id="10"/>
      </w:r>
      <w:r w:rsidRPr="004531F5" w:rsidR="0067208D">
        <w:rPr>
          <w:rFonts w:ascii="Verdana" w:hAnsi="Verdana"/>
          <w:bCs/>
          <w:sz w:val="20"/>
          <w:szCs w:val="20"/>
        </w:rPr>
        <w:t>, maar</w:t>
      </w:r>
      <w:r w:rsidRPr="004531F5" w:rsidR="005900C2">
        <w:rPr>
          <w:rFonts w:ascii="Verdana" w:hAnsi="Verdana"/>
          <w:bCs/>
          <w:sz w:val="20"/>
          <w:szCs w:val="20"/>
        </w:rPr>
        <w:t xml:space="preserve"> de meest efficiënte Europese banken opereren met een </w:t>
      </w:r>
      <w:proofErr w:type="spellStart"/>
      <w:r w:rsidRPr="004531F5" w:rsidR="005900C2">
        <w:rPr>
          <w:rFonts w:ascii="Verdana" w:hAnsi="Verdana"/>
          <w:bCs/>
          <w:sz w:val="20"/>
          <w:szCs w:val="20"/>
        </w:rPr>
        <w:t>kosten-inkom</w:t>
      </w:r>
      <w:r w:rsidRPr="004531F5" w:rsidR="00AA1507">
        <w:rPr>
          <w:rFonts w:ascii="Verdana" w:hAnsi="Verdana"/>
          <w:bCs/>
          <w:sz w:val="20"/>
          <w:szCs w:val="20"/>
        </w:rPr>
        <w:t>st</w:t>
      </w:r>
      <w:r w:rsidRPr="004531F5" w:rsidR="005900C2">
        <w:rPr>
          <w:rFonts w:ascii="Verdana" w:hAnsi="Verdana"/>
          <w:bCs/>
          <w:sz w:val="20"/>
          <w:szCs w:val="20"/>
        </w:rPr>
        <w:t>enratio</w:t>
      </w:r>
      <w:proofErr w:type="spellEnd"/>
      <w:r w:rsidRPr="004531F5" w:rsidR="005900C2">
        <w:rPr>
          <w:rFonts w:ascii="Verdana" w:hAnsi="Verdana"/>
          <w:bCs/>
          <w:sz w:val="20"/>
          <w:szCs w:val="20"/>
        </w:rPr>
        <w:t xml:space="preserve"> van 40%.</w:t>
      </w:r>
      <w:r w:rsidRPr="004531F5" w:rsidR="00847871">
        <w:rPr>
          <w:rStyle w:val="Voetnootmarkering"/>
          <w:rFonts w:ascii="Verdana" w:hAnsi="Verdana"/>
          <w:bCs/>
          <w:sz w:val="20"/>
          <w:szCs w:val="20"/>
        </w:rPr>
        <w:footnoteReference w:id="11"/>
      </w:r>
      <w:r w:rsidRPr="004531F5" w:rsidR="00B14370">
        <w:rPr>
          <w:rFonts w:ascii="Verdana" w:hAnsi="Verdana"/>
          <w:bCs/>
          <w:sz w:val="20"/>
          <w:szCs w:val="20"/>
        </w:rPr>
        <w:t xml:space="preserve"> </w:t>
      </w:r>
      <w:r w:rsidRPr="004531F5" w:rsidR="006312AC">
        <w:rPr>
          <w:rFonts w:ascii="Verdana" w:hAnsi="Verdana"/>
          <w:bCs/>
          <w:sz w:val="20"/>
          <w:szCs w:val="20"/>
        </w:rPr>
        <w:t xml:space="preserve">Er </w:t>
      </w:r>
      <w:r w:rsidRPr="004531F5" w:rsidR="00EE4F19">
        <w:rPr>
          <w:rFonts w:ascii="Verdana" w:hAnsi="Verdana"/>
          <w:bCs/>
          <w:sz w:val="20"/>
          <w:szCs w:val="20"/>
        </w:rPr>
        <w:t xml:space="preserve">zou </w:t>
      </w:r>
      <w:r w:rsidRPr="004531F5" w:rsidR="006312AC">
        <w:rPr>
          <w:rFonts w:ascii="Verdana" w:hAnsi="Verdana"/>
          <w:bCs/>
          <w:sz w:val="20"/>
          <w:szCs w:val="20"/>
        </w:rPr>
        <w:t xml:space="preserve">dus mogelijk ruimte </w:t>
      </w:r>
      <w:r w:rsidRPr="004531F5" w:rsidR="00EE4F19">
        <w:rPr>
          <w:rFonts w:ascii="Verdana" w:hAnsi="Verdana"/>
          <w:bCs/>
          <w:sz w:val="20"/>
          <w:szCs w:val="20"/>
        </w:rPr>
        <w:t xml:space="preserve">zijn </w:t>
      </w:r>
      <w:r w:rsidRPr="004531F5" w:rsidR="006312AC">
        <w:rPr>
          <w:rFonts w:ascii="Verdana" w:hAnsi="Verdana"/>
          <w:bCs/>
          <w:sz w:val="20"/>
          <w:szCs w:val="20"/>
        </w:rPr>
        <w:t xml:space="preserve">voor extra kostenbesparingen bovenop </w:t>
      </w:r>
      <w:r w:rsidRPr="004531F5" w:rsidR="00847871">
        <w:rPr>
          <w:rFonts w:ascii="Verdana" w:hAnsi="Verdana"/>
          <w:bCs/>
          <w:sz w:val="20"/>
          <w:szCs w:val="20"/>
        </w:rPr>
        <w:t>de in dit rapport gebruikte 5%</w:t>
      </w:r>
      <w:r w:rsidRPr="004531F5" w:rsidR="00EE4F19">
        <w:rPr>
          <w:rFonts w:ascii="Verdana" w:hAnsi="Verdana"/>
          <w:bCs/>
          <w:sz w:val="20"/>
          <w:szCs w:val="20"/>
        </w:rPr>
        <w:t xml:space="preserve"> per jaar</w:t>
      </w:r>
      <w:r w:rsidRPr="004531F5" w:rsidR="00847871">
        <w:rPr>
          <w:rFonts w:ascii="Verdana" w:hAnsi="Verdana"/>
          <w:bCs/>
          <w:sz w:val="20"/>
          <w:szCs w:val="20"/>
        </w:rPr>
        <w:t xml:space="preserve">. </w:t>
      </w:r>
      <w:r w:rsidRPr="004531F5" w:rsidR="00C90473">
        <w:rPr>
          <w:rFonts w:ascii="Verdana" w:hAnsi="Verdana"/>
          <w:bCs/>
          <w:sz w:val="20"/>
          <w:szCs w:val="20"/>
        </w:rPr>
        <w:t>Dergelijke extra kostenbesparingen maken het vervolgens mogelijk de tarieven voor klanten minder te doen stijgen.</w:t>
      </w:r>
    </w:p>
    <w:p w:rsidRPr="004531F5" w:rsidR="00051D07" w:rsidP="002C3B27" w:rsidRDefault="00051D07">
      <w:pPr>
        <w:rPr>
          <w:rFonts w:ascii="Verdana" w:hAnsi="Verdana"/>
          <w:i/>
          <w:sz w:val="20"/>
          <w:szCs w:val="20"/>
        </w:rPr>
      </w:pPr>
    </w:p>
    <w:p w:rsidRPr="004531F5" w:rsidR="006E0411" w:rsidP="00B84092" w:rsidRDefault="00AA1507">
      <w:pPr>
        <w:rPr>
          <w:rFonts w:ascii="Verdana" w:hAnsi="Verdana"/>
          <w:bCs/>
          <w:i/>
          <w:sz w:val="20"/>
          <w:szCs w:val="20"/>
        </w:rPr>
      </w:pPr>
      <w:r w:rsidRPr="004531F5">
        <w:rPr>
          <w:rFonts w:ascii="Verdana" w:hAnsi="Verdana"/>
          <w:bCs/>
          <w:i/>
          <w:sz w:val="20"/>
          <w:szCs w:val="20"/>
        </w:rPr>
        <w:t>Conclusie</w:t>
      </w:r>
    </w:p>
    <w:p w:rsidRPr="004531F5" w:rsidR="00FB1235" w:rsidP="00AA1507" w:rsidRDefault="00AA1507">
      <w:pPr>
        <w:rPr>
          <w:rFonts w:ascii="Verdana" w:hAnsi="Verdana"/>
          <w:sz w:val="20"/>
          <w:szCs w:val="20"/>
        </w:rPr>
      </w:pPr>
      <w:r w:rsidRPr="004531F5">
        <w:rPr>
          <w:rFonts w:ascii="Verdana" w:hAnsi="Verdana"/>
          <w:sz w:val="20"/>
          <w:szCs w:val="20"/>
        </w:rPr>
        <w:t>Geconcludeerd kan worden dat KPMG</w:t>
      </w:r>
      <w:bookmarkStart w:name="_GoBack" w:id="0"/>
      <w:bookmarkEnd w:id="0"/>
      <w:r w:rsidRPr="004531F5">
        <w:rPr>
          <w:rFonts w:ascii="Verdana" w:hAnsi="Verdana"/>
          <w:sz w:val="20"/>
          <w:szCs w:val="20"/>
        </w:rPr>
        <w:t xml:space="preserve"> een interessant </w:t>
      </w:r>
      <w:r w:rsidRPr="004531F5" w:rsidR="007840E4">
        <w:rPr>
          <w:rFonts w:ascii="Verdana" w:hAnsi="Verdana"/>
          <w:sz w:val="20"/>
          <w:szCs w:val="20"/>
        </w:rPr>
        <w:t xml:space="preserve">en nuttig </w:t>
      </w:r>
      <w:r w:rsidRPr="004531F5">
        <w:rPr>
          <w:rFonts w:ascii="Verdana" w:hAnsi="Verdana"/>
          <w:sz w:val="20"/>
          <w:szCs w:val="20"/>
        </w:rPr>
        <w:t xml:space="preserve">onderzoek naar de hervormingen in de financiële sector heeft gedaan. </w:t>
      </w:r>
      <w:r w:rsidRPr="004531F5" w:rsidR="0067208D">
        <w:rPr>
          <w:rFonts w:ascii="Verdana" w:hAnsi="Verdana"/>
          <w:sz w:val="20"/>
          <w:szCs w:val="20"/>
        </w:rPr>
        <w:t xml:space="preserve">Zoals bij al </w:t>
      </w:r>
      <w:r w:rsidRPr="004531F5" w:rsidR="004337CF">
        <w:rPr>
          <w:rFonts w:ascii="Verdana" w:hAnsi="Verdana"/>
          <w:sz w:val="20"/>
          <w:szCs w:val="20"/>
        </w:rPr>
        <w:t xml:space="preserve">dit soort </w:t>
      </w:r>
      <w:r w:rsidRPr="004531F5" w:rsidR="0067208D">
        <w:rPr>
          <w:rFonts w:ascii="Verdana" w:hAnsi="Verdana"/>
          <w:sz w:val="20"/>
          <w:szCs w:val="20"/>
        </w:rPr>
        <w:t xml:space="preserve">onderzoeken zijn de bevindingen met forse onzekerheid omgegeven als gevolg van de diverse aannames. Niettemin is </w:t>
      </w:r>
      <w:r w:rsidRPr="004531F5" w:rsidR="00EE4F19">
        <w:rPr>
          <w:rFonts w:ascii="Verdana" w:hAnsi="Verdana"/>
          <w:sz w:val="20"/>
          <w:szCs w:val="20"/>
        </w:rPr>
        <w:t xml:space="preserve">de conclusie van het rapport dat door de </w:t>
      </w:r>
      <w:r w:rsidRPr="004531F5" w:rsidR="0067208D">
        <w:rPr>
          <w:rFonts w:ascii="Verdana" w:hAnsi="Verdana"/>
          <w:sz w:val="20"/>
          <w:szCs w:val="20"/>
        </w:rPr>
        <w:t xml:space="preserve">maatregelen </w:t>
      </w:r>
      <w:r w:rsidRPr="004531F5" w:rsidR="00BA004B">
        <w:rPr>
          <w:rFonts w:ascii="Verdana" w:hAnsi="Verdana"/>
          <w:sz w:val="20"/>
          <w:szCs w:val="20"/>
        </w:rPr>
        <w:t xml:space="preserve">de </w:t>
      </w:r>
      <w:r w:rsidRPr="004531F5" w:rsidR="00FB1235">
        <w:rPr>
          <w:rFonts w:ascii="Verdana" w:hAnsi="Verdana"/>
          <w:sz w:val="20"/>
          <w:szCs w:val="20"/>
        </w:rPr>
        <w:t xml:space="preserve">prijs van </w:t>
      </w:r>
      <w:r w:rsidRPr="004531F5" w:rsidR="0067208D">
        <w:rPr>
          <w:rFonts w:ascii="Verdana" w:hAnsi="Verdana"/>
          <w:sz w:val="20"/>
          <w:szCs w:val="20"/>
        </w:rPr>
        <w:t xml:space="preserve">krediet </w:t>
      </w:r>
      <w:r w:rsidRPr="004531F5" w:rsidR="00107138">
        <w:rPr>
          <w:rFonts w:ascii="Verdana" w:hAnsi="Verdana"/>
          <w:sz w:val="20"/>
          <w:szCs w:val="20"/>
        </w:rPr>
        <w:t xml:space="preserve">zal stijgen </w:t>
      </w:r>
      <w:r w:rsidRPr="004531F5" w:rsidR="00BA004B">
        <w:rPr>
          <w:rFonts w:ascii="Verdana" w:hAnsi="Verdana"/>
          <w:sz w:val="20"/>
          <w:szCs w:val="20"/>
        </w:rPr>
        <w:t>reëel</w:t>
      </w:r>
      <w:r w:rsidRPr="004531F5" w:rsidR="0067208D">
        <w:rPr>
          <w:rFonts w:ascii="Verdana" w:hAnsi="Verdana"/>
          <w:sz w:val="20"/>
          <w:szCs w:val="20"/>
        </w:rPr>
        <w:t>.</w:t>
      </w:r>
      <w:r w:rsidRPr="004531F5" w:rsidR="00B21379">
        <w:rPr>
          <w:rFonts w:ascii="Verdana" w:hAnsi="Verdana"/>
          <w:sz w:val="20"/>
          <w:szCs w:val="20"/>
        </w:rPr>
        <w:t xml:space="preserve"> </w:t>
      </w:r>
      <w:r w:rsidR="00C66FEC">
        <w:rPr>
          <w:rFonts w:ascii="Verdana" w:hAnsi="Verdana"/>
          <w:sz w:val="20"/>
          <w:szCs w:val="20"/>
        </w:rPr>
        <w:t xml:space="preserve">Wel </w:t>
      </w:r>
      <w:r w:rsidRPr="004531F5" w:rsidR="00FB1235">
        <w:rPr>
          <w:rFonts w:ascii="Verdana" w:hAnsi="Verdana"/>
          <w:sz w:val="20"/>
          <w:szCs w:val="20"/>
        </w:rPr>
        <w:t xml:space="preserve">dienen disproportioneel </w:t>
      </w:r>
      <w:r w:rsidRPr="004531F5" w:rsidR="004B6AD2">
        <w:rPr>
          <w:rFonts w:ascii="Verdana" w:hAnsi="Verdana"/>
          <w:sz w:val="20"/>
          <w:szCs w:val="20"/>
        </w:rPr>
        <w:t>negatieve effecten</w:t>
      </w:r>
      <w:r w:rsidR="00C66FEC">
        <w:rPr>
          <w:rFonts w:ascii="Verdana" w:hAnsi="Verdana"/>
          <w:sz w:val="20"/>
          <w:szCs w:val="20"/>
        </w:rPr>
        <w:t xml:space="preserve"> op de kredietverlening</w:t>
      </w:r>
      <w:r w:rsidRPr="004531F5" w:rsidR="004B6AD2">
        <w:rPr>
          <w:rFonts w:ascii="Verdana" w:hAnsi="Verdana"/>
          <w:sz w:val="20"/>
          <w:szCs w:val="20"/>
        </w:rPr>
        <w:t xml:space="preserve"> zoveel mogelijk </w:t>
      </w:r>
      <w:r w:rsidRPr="004531F5" w:rsidR="00FB1235">
        <w:rPr>
          <w:rFonts w:ascii="Verdana" w:hAnsi="Verdana"/>
          <w:sz w:val="20"/>
          <w:szCs w:val="20"/>
        </w:rPr>
        <w:t xml:space="preserve">te </w:t>
      </w:r>
      <w:r w:rsidRPr="004531F5" w:rsidR="004B6AD2">
        <w:rPr>
          <w:rFonts w:ascii="Verdana" w:hAnsi="Verdana"/>
          <w:sz w:val="20"/>
          <w:szCs w:val="20"/>
        </w:rPr>
        <w:t>worden beperkt</w:t>
      </w:r>
      <w:r w:rsidRPr="004531F5" w:rsidR="00AE4808">
        <w:rPr>
          <w:rFonts w:ascii="Verdana" w:hAnsi="Verdana"/>
          <w:sz w:val="20"/>
          <w:szCs w:val="20"/>
        </w:rPr>
        <w:t xml:space="preserve">. </w:t>
      </w:r>
      <w:r w:rsidRPr="004531F5" w:rsidR="00FB1235">
        <w:rPr>
          <w:rFonts w:ascii="Verdana" w:hAnsi="Verdana"/>
          <w:sz w:val="20"/>
          <w:szCs w:val="20"/>
        </w:rPr>
        <w:t xml:space="preserve">Ik zal daarom </w:t>
      </w:r>
      <w:r w:rsidR="000F31ED">
        <w:rPr>
          <w:rFonts w:ascii="Verdana" w:hAnsi="Verdana"/>
          <w:sz w:val="20"/>
          <w:szCs w:val="20"/>
        </w:rPr>
        <w:t xml:space="preserve">samen met de Staatssecretaris </w:t>
      </w:r>
      <w:r w:rsidRPr="004531F5">
        <w:rPr>
          <w:rFonts w:ascii="Verdana" w:hAnsi="Verdana"/>
          <w:sz w:val="20"/>
          <w:szCs w:val="20"/>
        </w:rPr>
        <w:t>de</w:t>
      </w:r>
      <w:r w:rsidR="00816CA3">
        <w:rPr>
          <w:rFonts w:ascii="Verdana" w:hAnsi="Verdana"/>
          <w:sz w:val="20"/>
          <w:szCs w:val="20"/>
        </w:rPr>
        <w:t xml:space="preserve"> kredietverlening </w:t>
      </w:r>
      <w:r w:rsidRPr="004531F5">
        <w:rPr>
          <w:rFonts w:ascii="Verdana" w:hAnsi="Verdana"/>
          <w:sz w:val="20"/>
          <w:szCs w:val="20"/>
        </w:rPr>
        <w:t>nauw</w:t>
      </w:r>
      <w:r w:rsidR="00816CA3">
        <w:rPr>
          <w:rFonts w:ascii="Verdana" w:hAnsi="Verdana"/>
          <w:sz w:val="20"/>
          <w:szCs w:val="20"/>
        </w:rPr>
        <w:t>lettend in de gaten houden. Wanneer deze in twee opeenvolgende kwartalen negatief zal zijn of als er sprake zal zijn van een acuut forse krimp van de bancaire kredietverlening</w:t>
      </w:r>
      <w:r w:rsidRPr="004531F5">
        <w:rPr>
          <w:rFonts w:ascii="Verdana" w:hAnsi="Verdana"/>
          <w:sz w:val="20"/>
          <w:szCs w:val="20"/>
        </w:rPr>
        <w:t xml:space="preserve"> </w:t>
      </w:r>
      <w:r w:rsidR="00FD5288">
        <w:rPr>
          <w:rFonts w:ascii="Verdana" w:hAnsi="Verdana"/>
          <w:sz w:val="20"/>
          <w:szCs w:val="20"/>
        </w:rPr>
        <w:t>zullen we</w:t>
      </w:r>
      <w:r w:rsidR="00816CA3">
        <w:rPr>
          <w:rFonts w:ascii="Verdana" w:hAnsi="Verdana"/>
          <w:sz w:val="20"/>
          <w:szCs w:val="20"/>
        </w:rPr>
        <w:t xml:space="preserve"> </w:t>
      </w:r>
      <w:r w:rsidRPr="004531F5" w:rsidR="00D16D8B">
        <w:rPr>
          <w:rFonts w:ascii="Verdana" w:hAnsi="Verdana"/>
          <w:sz w:val="20"/>
          <w:szCs w:val="20"/>
        </w:rPr>
        <w:t xml:space="preserve">bestuderen </w:t>
      </w:r>
      <w:r w:rsidRPr="004531F5" w:rsidR="002D74E4">
        <w:rPr>
          <w:rFonts w:ascii="Verdana" w:hAnsi="Verdana"/>
          <w:sz w:val="20"/>
          <w:szCs w:val="20"/>
        </w:rPr>
        <w:t>of er instrumenten zijn d</w:t>
      </w:r>
      <w:r w:rsidR="00C66FEC">
        <w:rPr>
          <w:rFonts w:ascii="Verdana" w:hAnsi="Verdana"/>
          <w:sz w:val="20"/>
          <w:szCs w:val="20"/>
        </w:rPr>
        <w:t>i</w:t>
      </w:r>
      <w:r w:rsidRPr="004531F5" w:rsidR="002D74E4">
        <w:rPr>
          <w:rFonts w:ascii="Verdana" w:hAnsi="Verdana"/>
          <w:sz w:val="20"/>
          <w:szCs w:val="20"/>
        </w:rPr>
        <w:t xml:space="preserve">e </w:t>
      </w:r>
      <w:r w:rsidR="00816CA3">
        <w:rPr>
          <w:rFonts w:ascii="Verdana" w:hAnsi="Verdana"/>
          <w:sz w:val="20"/>
          <w:szCs w:val="20"/>
        </w:rPr>
        <w:t>kredietverlening</w:t>
      </w:r>
      <w:r w:rsidRPr="004531F5" w:rsidR="002D74E4">
        <w:rPr>
          <w:rFonts w:ascii="Verdana" w:hAnsi="Verdana"/>
          <w:sz w:val="20"/>
          <w:szCs w:val="20"/>
        </w:rPr>
        <w:t xml:space="preserve"> minder belast</w:t>
      </w:r>
      <w:r w:rsidR="00FD5288">
        <w:rPr>
          <w:rFonts w:ascii="Verdana" w:hAnsi="Verdana"/>
          <w:sz w:val="20"/>
          <w:szCs w:val="20"/>
        </w:rPr>
        <w:t>en</w:t>
      </w:r>
      <w:r w:rsidRPr="004531F5" w:rsidR="0067208D">
        <w:rPr>
          <w:rFonts w:ascii="Verdana" w:hAnsi="Verdana"/>
          <w:sz w:val="20"/>
          <w:szCs w:val="20"/>
        </w:rPr>
        <w:t>.</w:t>
      </w:r>
      <w:r w:rsidRPr="004531F5" w:rsidR="00AE4808">
        <w:rPr>
          <w:rFonts w:ascii="Verdana" w:hAnsi="Verdana"/>
          <w:sz w:val="20"/>
          <w:szCs w:val="20"/>
        </w:rPr>
        <w:t xml:space="preserve"> </w:t>
      </w:r>
    </w:p>
    <w:p w:rsidRPr="004531F5" w:rsidR="00AA1507" w:rsidP="00AA1507" w:rsidRDefault="00AA1507">
      <w:pPr>
        <w:rPr>
          <w:rFonts w:ascii="Verdana" w:hAnsi="Verdana"/>
          <w:sz w:val="20"/>
          <w:szCs w:val="20"/>
        </w:rPr>
      </w:pPr>
    </w:p>
    <w:p w:rsidRPr="004531F5" w:rsidR="00AA1507" w:rsidP="00B84092" w:rsidRDefault="00AA1507">
      <w:pPr>
        <w:rPr>
          <w:rFonts w:ascii="Verdana" w:hAnsi="Verdana"/>
          <w:bCs/>
          <w:i/>
          <w:sz w:val="20"/>
          <w:szCs w:val="20"/>
        </w:rPr>
      </w:pPr>
    </w:p>
    <w:p w:rsidRPr="004531F5" w:rsidR="0016383C" w:rsidP="00B84092" w:rsidRDefault="0016383C">
      <w:pPr>
        <w:rPr>
          <w:b/>
          <w:bCs/>
          <w:sz w:val="18"/>
          <w:szCs w:val="18"/>
        </w:rPr>
      </w:pPr>
    </w:p>
    <w:p w:rsidRPr="004531F5" w:rsidR="00C97BDB" w:rsidRDefault="00C97BDB">
      <w:pPr>
        <w:rPr>
          <w:sz w:val="18"/>
          <w:szCs w:val="18"/>
        </w:rPr>
      </w:pPr>
    </w:p>
    <w:p w:rsidRPr="004531F5" w:rsidR="00595606" w:rsidP="00595606" w:rsidRDefault="00595606">
      <w:pPr>
        <w:pStyle w:val="Default"/>
        <w:rPr>
          <w:rFonts w:ascii="Times New Roman" w:hAnsi="Times New Roman" w:cs="Times New Roman"/>
          <w:color w:val="auto"/>
          <w:sz w:val="16"/>
          <w:szCs w:val="16"/>
        </w:rPr>
      </w:pPr>
    </w:p>
    <w:p w:rsidRPr="004531F5" w:rsidR="00C97BDB" w:rsidP="00595606" w:rsidRDefault="00595606">
      <w:pPr>
        <w:rPr>
          <w:rFonts w:ascii="Times New Roman" w:hAnsi="Times New Roman" w:cs="Times New Roman"/>
          <w:sz w:val="16"/>
          <w:szCs w:val="16"/>
        </w:rPr>
      </w:pPr>
      <w:r w:rsidRPr="004531F5">
        <w:rPr>
          <w:rFonts w:ascii="Times New Roman" w:hAnsi="Times New Roman" w:cs="Times New Roman"/>
          <w:sz w:val="16"/>
          <w:szCs w:val="16"/>
        </w:rPr>
        <w:t xml:space="preserve"> </w:t>
      </w:r>
    </w:p>
    <w:sectPr w:rsidRPr="004531F5" w:rsidR="00C97BDB" w:rsidSect="007A228F">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5CA" w:rsidRDefault="001825CA" w:rsidP="00971D51">
      <w:r>
        <w:separator/>
      </w:r>
    </w:p>
  </w:endnote>
  <w:endnote w:type="continuationSeparator" w:id="0">
    <w:p w:rsidR="001825CA" w:rsidRDefault="001825CA" w:rsidP="00971D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EJMME B+ Univers">
    <w:altName w:val="Arial"/>
    <w:panose1 w:val="00000000000000000000"/>
    <w:charset w:val="00"/>
    <w:family w:val="swiss"/>
    <w:notTrueType/>
    <w:pitch w:val="default"/>
    <w:sig w:usb0="00000003" w:usb1="00000000" w:usb2="00000000" w:usb3="00000000" w:csb0="00000001" w:csb1="00000000"/>
  </w:font>
  <w:font w:name="AGaramondPro-Regular">
    <w:altName w:val="MS Mincho"/>
    <w:panose1 w:val="00000000000000000000"/>
    <w:charset w:val="80"/>
    <w:family w:val="roman"/>
    <w:notTrueType/>
    <w:pitch w:val="default"/>
    <w:sig w:usb0="00000000" w:usb1="08070000" w:usb2="00000010" w:usb3="00000000" w:csb0="00020000" w:csb1="00000000"/>
  </w:font>
  <w:font w:name="AGaramondPro-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5CA" w:rsidRDefault="001825CA" w:rsidP="00971D51">
      <w:r>
        <w:separator/>
      </w:r>
    </w:p>
  </w:footnote>
  <w:footnote w:type="continuationSeparator" w:id="0">
    <w:p w:rsidR="001825CA" w:rsidRDefault="001825CA" w:rsidP="00971D51">
      <w:r>
        <w:continuationSeparator/>
      </w:r>
    </w:p>
  </w:footnote>
  <w:footnote w:id="1">
    <w:p w:rsidR="001825CA" w:rsidRPr="00EC2636" w:rsidRDefault="001825CA" w:rsidP="00C913CD">
      <w:pPr>
        <w:autoSpaceDE w:val="0"/>
        <w:autoSpaceDN w:val="0"/>
        <w:rPr>
          <w:rFonts w:ascii="Verdana" w:hAnsi="Verdana"/>
          <w:i/>
          <w:iCs/>
          <w:sz w:val="16"/>
          <w:szCs w:val="16"/>
        </w:rPr>
      </w:pPr>
      <w:r w:rsidRPr="00EC2636">
        <w:rPr>
          <w:rStyle w:val="Voetnootmarkering"/>
          <w:rFonts w:ascii="Verdana" w:hAnsi="Verdana"/>
          <w:sz w:val="16"/>
          <w:szCs w:val="16"/>
        </w:rPr>
        <w:footnoteRef/>
      </w:r>
      <w:r w:rsidRPr="00EC2636">
        <w:rPr>
          <w:rFonts w:ascii="Verdana" w:hAnsi="Verdana"/>
          <w:sz w:val="16"/>
          <w:szCs w:val="16"/>
        </w:rPr>
        <w:t xml:space="preserve"> Met converteerbare schuld word bedoeld de “</w:t>
      </w:r>
      <w:proofErr w:type="spellStart"/>
      <w:r w:rsidRPr="00EC2636">
        <w:rPr>
          <w:rFonts w:ascii="Verdana" w:hAnsi="Verdana"/>
          <w:sz w:val="16"/>
          <w:szCs w:val="16"/>
        </w:rPr>
        <w:t>bail-in</w:t>
      </w:r>
      <w:proofErr w:type="spellEnd"/>
      <w:r w:rsidRPr="00EC2636">
        <w:rPr>
          <w:rFonts w:ascii="Verdana" w:hAnsi="Verdana"/>
          <w:sz w:val="16"/>
          <w:szCs w:val="16"/>
        </w:rPr>
        <w:t xml:space="preserve"> </w:t>
      </w:r>
      <w:proofErr w:type="spellStart"/>
      <w:r w:rsidRPr="00EC2636">
        <w:rPr>
          <w:rFonts w:ascii="Verdana" w:hAnsi="Verdana"/>
          <w:sz w:val="16"/>
          <w:szCs w:val="16"/>
        </w:rPr>
        <w:t>debt</w:t>
      </w:r>
      <w:proofErr w:type="spellEnd"/>
      <w:r w:rsidRPr="00EC2636">
        <w:rPr>
          <w:rFonts w:ascii="Verdana" w:hAnsi="Verdana"/>
          <w:sz w:val="16"/>
          <w:szCs w:val="16"/>
        </w:rPr>
        <w:t xml:space="preserve">” conform het voorstel voor </w:t>
      </w:r>
      <w:r w:rsidRPr="00EC2636">
        <w:rPr>
          <w:rFonts w:ascii="Verdana" w:hAnsi="Verdana"/>
          <w:iCs/>
          <w:sz w:val="16"/>
          <w:szCs w:val="16"/>
        </w:rPr>
        <w:t>richtlijn van het Europees Parlement en de Raad betreffende de totstandbrenging van een kader voor het herstel en de afwikkeling van kredietinstellingen en beleggingsondernemingen en tot wijziging van de Richtlijnen 77/91/EEG, 82/891/EG, 2001/24/EG, 2002/47/EG, 2004/25/EG, 2005/56/EG, 2007/36/EG en 2011/35/EU en Verordening (EU) nr. 1093/2010.</w:t>
      </w:r>
    </w:p>
    <w:p w:rsidR="001825CA" w:rsidRPr="00C66FEC" w:rsidRDefault="001825CA" w:rsidP="00CD54A0">
      <w:pPr>
        <w:pStyle w:val="Voetnoottekst"/>
      </w:pPr>
    </w:p>
  </w:footnote>
  <w:footnote w:id="2">
    <w:p w:rsidR="001825CA" w:rsidRPr="0078074A" w:rsidRDefault="001825CA">
      <w:pPr>
        <w:pStyle w:val="Voetnoottekst"/>
        <w:rPr>
          <w:rFonts w:ascii="Verdana" w:hAnsi="Verdana"/>
          <w:sz w:val="16"/>
          <w:szCs w:val="16"/>
        </w:rPr>
      </w:pPr>
      <w:r w:rsidRPr="00FE74F7">
        <w:rPr>
          <w:rStyle w:val="Voetnootmarkering"/>
          <w:rFonts w:ascii="Verdana" w:hAnsi="Verdana"/>
          <w:sz w:val="16"/>
          <w:szCs w:val="16"/>
        </w:rPr>
        <w:footnoteRef/>
      </w:r>
      <w:r w:rsidRPr="00FE74F7">
        <w:rPr>
          <w:rFonts w:ascii="Verdana" w:hAnsi="Verdana"/>
          <w:sz w:val="16"/>
          <w:szCs w:val="16"/>
        </w:rPr>
        <w:t xml:space="preserve"> Bij deze sectorgebaseerde regels kan onder meer worden gedacht aan bijvoorbeeld de Europese verordening essenti</w:t>
      </w:r>
      <w:r w:rsidRPr="0078074A">
        <w:rPr>
          <w:rFonts w:ascii="Verdana" w:hAnsi="Verdana"/>
          <w:sz w:val="16"/>
          <w:szCs w:val="16"/>
        </w:rPr>
        <w:t>ële informatieproducten</w:t>
      </w:r>
      <w:r w:rsidRPr="00FE74F7">
        <w:rPr>
          <w:rFonts w:ascii="Verdana" w:hAnsi="Verdana"/>
          <w:sz w:val="16"/>
          <w:szCs w:val="16"/>
        </w:rPr>
        <w:t xml:space="preserve"> voor </w:t>
      </w:r>
      <w:proofErr w:type="spellStart"/>
      <w:r w:rsidRPr="00FE74F7">
        <w:rPr>
          <w:rFonts w:ascii="Verdana" w:hAnsi="Verdana"/>
          <w:sz w:val="16"/>
          <w:szCs w:val="16"/>
        </w:rPr>
        <w:t>retail</w:t>
      </w:r>
      <w:proofErr w:type="spellEnd"/>
      <w:r w:rsidRPr="00FE74F7">
        <w:rPr>
          <w:rFonts w:ascii="Verdana" w:hAnsi="Verdana"/>
          <w:sz w:val="16"/>
          <w:szCs w:val="16"/>
        </w:rPr>
        <w:t xml:space="preserve"> beleggingsproducten (PRIPS), de Europese richtlijn voor instellingen voor collectieve belegging in effecten (UCITS), de Europese richtlijn betreffende betalingsdiensten in de interne markt (SEPA), de Europese richtlijn inzake beheerders van alternatieve beleggingsfondsen (AIFMD) en de richtlijn markten voor financiële instrumenten (</w:t>
      </w:r>
      <w:proofErr w:type="spellStart"/>
      <w:r w:rsidRPr="00FE74F7">
        <w:rPr>
          <w:rFonts w:ascii="Verdana" w:hAnsi="Verdana"/>
          <w:sz w:val="16"/>
          <w:szCs w:val="16"/>
        </w:rPr>
        <w:t>MiFID</w:t>
      </w:r>
      <w:proofErr w:type="spellEnd"/>
      <w:r w:rsidRPr="00FE74F7">
        <w:rPr>
          <w:rFonts w:ascii="Verdana" w:hAnsi="Verdana"/>
          <w:sz w:val="16"/>
          <w:szCs w:val="16"/>
        </w:rPr>
        <w:t>) respectievelijk de verordening markten voor financiële instrumenten (</w:t>
      </w:r>
      <w:proofErr w:type="spellStart"/>
      <w:r w:rsidRPr="00FE74F7">
        <w:rPr>
          <w:rFonts w:ascii="Verdana" w:hAnsi="Verdana"/>
          <w:sz w:val="16"/>
          <w:szCs w:val="16"/>
        </w:rPr>
        <w:t>MiFIR</w:t>
      </w:r>
      <w:proofErr w:type="spellEnd"/>
      <w:r w:rsidRPr="00FE74F7">
        <w:rPr>
          <w:rFonts w:ascii="Verdana" w:hAnsi="Verdana"/>
          <w:sz w:val="16"/>
          <w:szCs w:val="16"/>
        </w:rPr>
        <w:t>).</w:t>
      </w:r>
    </w:p>
  </w:footnote>
  <w:footnote w:id="3">
    <w:p w:rsidR="001825CA" w:rsidRPr="003C237E" w:rsidRDefault="001825CA" w:rsidP="00EE6E7A">
      <w:pPr>
        <w:pStyle w:val="Voetnoottekst"/>
        <w:rPr>
          <w:rFonts w:ascii="Verdana" w:hAnsi="Verdana"/>
          <w:sz w:val="16"/>
          <w:szCs w:val="16"/>
        </w:rPr>
      </w:pPr>
      <w:r w:rsidRPr="000F524D">
        <w:rPr>
          <w:rStyle w:val="Voetnootmarkering"/>
          <w:rFonts w:ascii="Verdana" w:hAnsi="Verdana"/>
          <w:sz w:val="16"/>
          <w:szCs w:val="16"/>
        </w:rPr>
        <w:footnoteRef/>
      </w:r>
      <w:r w:rsidRPr="000F524D">
        <w:rPr>
          <w:rFonts w:ascii="Verdana" w:hAnsi="Verdana"/>
          <w:sz w:val="16"/>
          <w:szCs w:val="16"/>
          <w:lang w:val="en-US"/>
        </w:rPr>
        <w:t xml:space="preserve"> </w:t>
      </w:r>
      <w:r w:rsidRPr="003C237E">
        <w:rPr>
          <w:rFonts w:ascii="Verdana" w:eastAsia="AGaramondPro-Regular" w:hAnsi="Verdana" w:cs="AGaramondPro-Regular"/>
          <w:sz w:val="16"/>
          <w:szCs w:val="16"/>
          <w:lang w:val="en-US" w:eastAsia="nl-NL"/>
        </w:rPr>
        <w:t>Bank for International Settlements (2010), “</w:t>
      </w:r>
      <w:r w:rsidRPr="003C237E">
        <w:rPr>
          <w:rFonts w:ascii="Verdana" w:eastAsia="AGaramondPro-Regular" w:hAnsi="Verdana" w:cs="AGaramondPro-Italic"/>
          <w:i/>
          <w:iCs/>
          <w:sz w:val="16"/>
          <w:szCs w:val="16"/>
          <w:lang w:val="en-US" w:eastAsia="nl-NL"/>
        </w:rPr>
        <w:t>An Assessment of the Long-Term Economic Impact of Stronger Capital and Liquidity Requirements”</w:t>
      </w:r>
      <w:r w:rsidRPr="003C237E">
        <w:rPr>
          <w:rFonts w:ascii="Verdana" w:eastAsia="AGaramondPro-Regular" w:hAnsi="Verdana" w:cs="AGaramondPro-Regular"/>
          <w:sz w:val="16"/>
          <w:szCs w:val="16"/>
          <w:lang w:val="en-US" w:eastAsia="nl-NL"/>
        </w:rPr>
        <w:t xml:space="preserve">. </w:t>
      </w:r>
      <w:r w:rsidRPr="003C237E">
        <w:rPr>
          <w:rFonts w:ascii="Verdana" w:hAnsi="Verdana"/>
          <w:sz w:val="16"/>
          <w:szCs w:val="16"/>
          <w:lang w:eastAsia="nl-NL"/>
        </w:rPr>
        <w:t xml:space="preserve">DNB Occasional Paper, Vol.8/No.3 (2010), </w:t>
      </w:r>
      <w:r w:rsidRPr="003C237E">
        <w:rPr>
          <w:rFonts w:ascii="Verdana" w:eastAsia="AGaramondPro-Regular" w:hAnsi="Verdana" w:cs="AGaramondPro-Regular"/>
          <w:sz w:val="16"/>
          <w:szCs w:val="16"/>
          <w:lang w:eastAsia="nl-NL"/>
        </w:rPr>
        <w:t>”</w:t>
      </w:r>
      <w:r w:rsidRPr="003C237E">
        <w:rPr>
          <w:rFonts w:ascii="Verdana" w:hAnsi="Verdana"/>
          <w:i/>
          <w:sz w:val="16"/>
          <w:szCs w:val="16"/>
          <w:lang w:eastAsia="nl-NL"/>
        </w:rPr>
        <w:t xml:space="preserve">Macro-effecten van hogere kapitaal- en liquiditeit standaarden voor banken: Empirische aanwijzingen voor Nederland”. </w:t>
      </w:r>
      <w:r w:rsidRPr="003C237E">
        <w:rPr>
          <w:rFonts w:ascii="Verdana" w:hAnsi="Verdana"/>
          <w:sz w:val="16"/>
          <w:szCs w:val="16"/>
        </w:rPr>
        <w:t>CPB (augustus 2010), “</w:t>
      </w:r>
      <w:r w:rsidRPr="003C237E">
        <w:rPr>
          <w:rFonts w:ascii="Verdana" w:hAnsi="Verdana"/>
          <w:i/>
          <w:sz w:val="16"/>
          <w:szCs w:val="16"/>
        </w:rPr>
        <w:t>Zijn strengere kapitaaleisen kostbaar?”</w:t>
      </w:r>
    </w:p>
  </w:footnote>
  <w:footnote w:id="4">
    <w:p w:rsidR="001825CA" w:rsidRPr="00AE4890" w:rsidRDefault="001825CA" w:rsidP="00AE4890">
      <w:pPr>
        <w:autoSpaceDE w:val="0"/>
        <w:autoSpaceDN w:val="0"/>
        <w:adjustRightInd w:val="0"/>
        <w:rPr>
          <w:rFonts w:ascii="Verdana" w:hAnsi="Verdana" w:cs="Verdana"/>
          <w:sz w:val="16"/>
          <w:szCs w:val="16"/>
        </w:rPr>
      </w:pPr>
      <w:r>
        <w:rPr>
          <w:rStyle w:val="Voetnootmarkering"/>
        </w:rPr>
        <w:footnoteRef/>
      </w:r>
      <w:r>
        <w:t xml:space="preserve"> </w:t>
      </w:r>
      <w:r>
        <w:rPr>
          <w:rFonts w:ascii="Verdana" w:hAnsi="Verdana" w:cs="Verdana"/>
          <w:sz w:val="16"/>
          <w:szCs w:val="16"/>
        </w:rPr>
        <w:t xml:space="preserve">Dit </w:t>
      </w:r>
      <w:proofErr w:type="spellStart"/>
      <w:r>
        <w:rPr>
          <w:rFonts w:ascii="Verdana" w:hAnsi="Verdana" w:cs="Verdana"/>
          <w:sz w:val="16"/>
          <w:szCs w:val="16"/>
        </w:rPr>
        <w:t>funding</w:t>
      </w:r>
      <w:proofErr w:type="spellEnd"/>
      <w:r>
        <w:rPr>
          <w:rFonts w:ascii="Verdana" w:hAnsi="Verdana" w:cs="Verdana"/>
          <w:sz w:val="16"/>
          <w:szCs w:val="16"/>
        </w:rPr>
        <w:t xml:space="preserve"> gap houdt, kort gezegd, in dat op de Nederlandse bankbalansen niet zoveel spaargeld van </w:t>
      </w:r>
      <w:r w:rsidRPr="00AE4890">
        <w:rPr>
          <w:rFonts w:ascii="Verdana" w:hAnsi="Verdana" w:cs="Verdana"/>
          <w:sz w:val="16"/>
          <w:szCs w:val="16"/>
        </w:rPr>
        <w:t>Nederlandse huis</w:t>
      </w:r>
      <w:r>
        <w:rPr>
          <w:rFonts w:ascii="Verdana" w:hAnsi="Verdana" w:cs="Verdana"/>
          <w:sz w:val="16"/>
          <w:szCs w:val="16"/>
        </w:rPr>
        <w:t xml:space="preserve">houdens en bedrijven staat dat de volledige </w:t>
      </w:r>
      <w:r w:rsidRPr="00AE4890">
        <w:rPr>
          <w:rFonts w:ascii="Verdana" w:hAnsi="Verdana" w:cs="Verdana"/>
          <w:sz w:val="16"/>
          <w:szCs w:val="16"/>
        </w:rPr>
        <w:t>kredietverstrekking van deze banken in Nederland</w:t>
      </w:r>
      <w:r>
        <w:rPr>
          <w:rFonts w:ascii="Verdana" w:hAnsi="Verdana" w:cs="Verdana"/>
          <w:sz w:val="16"/>
          <w:szCs w:val="16"/>
        </w:rPr>
        <w:t xml:space="preserve"> hiermee gefinancierd kan worden</w:t>
      </w:r>
      <w:r w:rsidRPr="00AE4890">
        <w:rPr>
          <w:rFonts w:ascii="Verdana" w:hAnsi="Verdana" w:cs="Verdana"/>
          <w:sz w:val="16"/>
          <w:szCs w:val="16"/>
        </w:rPr>
        <w:t>. Dit is onder a</w:t>
      </w:r>
      <w:r>
        <w:rPr>
          <w:rFonts w:ascii="Verdana" w:hAnsi="Verdana" w:cs="Verdana"/>
          <w:sz w:val="16"/>
          <w:szCs w:val="16"/>
        </w:rPr>
        <w:t xml:space="preserve">ndere te verklaren uit het feit </w:t>
      </w:r>
      <w:r w:rsidRPr="00AE4890">
        <w:rPr>
          <w:rFonts w:ascii="Verdana" w:hAnsi="Verdana" w:cs="Verdana"/>
          <w:sz w:val="16"/>
          <w:szCs w:val="16"/>
        </w:rPr>
        <w:t>dat Nederlanders relatief veel sparen via pensioenfondsen en leven</w:t>
      </w:r>
      <w:r>
        <w:rPr>
          <w:rFonts w:ascii="Verdana" w:hAnsi="Verdana" w:cs="Verdana"/>
          <w:sz w:val="16"/>
          <w:szCs w:val="16"/>
        </w:rPr>
        <w:t xml:space="preserve">sverzekeraars (circa 70% van de </w:t>
      </w:r>
      <w:r w:rsidRPr="00AE4890">
        <w:rPr>
          <w:rFonts w:ascii="Verdana" w:hAnsi="Verdana" w:cs="Verdana"/>
          <w:sz w:val="16"/>
          <w:szCs w:val="16"/>
        </w:rPr>
        <w:t xml:space="preserve">besparingen). </w:t>
      </w:r>
      <w:r>
        <w:rPr>
          <w:rFonts w:ascii="Verdana" w:hAnsi="Verdana" w:cs="Verdana"/>
          <w:sz w:val="16"/>
          <w:szCs w:val="16"/>
        </w:rPr>
        <w:t>De belangrijkste reden</w:t>
      </w:r>
      <w:r w:rsidRPr="00AE4890">
        <w:rPr>
          <w:rFonts w:ascii="Verdana" w:hAnsi="Verdana" w:cs="Verdana"/>
          <w:sz w:val="16"/>
          <w:szCs w:val="16"/>
        </w:rPr>
        <w:t xml:space="preserve"> is </w:t>
      </w:r>
      <w:r>
        <w:rPr>
          <w:rFonts w:ascii="Verdana" w:hAnsi="Verdana" w:cs="Verdana"/>
          <w:sz w:val="16"/>
          <w:szCs w:val="16"/>
        </w:rPr>
        <w:t xml:space="preserve">echter </w:t>
      </w:r>
      <w:r w:rsidRPr="00AE4890">
        <w:rPr>
          <w:rFonts w:ascii="Verdana" w:hAnsi="Verdana" w:cs="Verdana"/>
          <w:sz w:val="16"/>
          <w:szCs w:val="16"/>
        </w:rPr>
        <w:t>dat de hypotheekschuld van Nederlanders in</w:t>
      </w:r>
      <w:r>
        <w:rPr>
          <w:rFonts w:ascii="Verdana" w:hAnsi="Verdana" w:cs="Verdana"/>
          <w:sz w:val="16"/>
          <w:szCs w:val="16"/>
        </w:rPr>
        <w:t xml:space="preserve">ternationaal gezien hoog is als </w:t>
      </w:r>
      <w:r w:rsidRPr="00AE4890">
        <w:rPr>
          <w:rFonts w:ascii="Verdana" w:hAnsi="Verdana" w:cs="Verdana"/>
          <w:sz w:val="16"/>
          <w:szCs w:val="16"/>
        </w:rPr>
        <w:t xml:space="preserve">gevolg van de fiscaal gunstige behandeling van eigenwoningbezit (hypotheekrenteaftrek). </w:t>
      </w:r>
      <w:r>
        <w:rPr>
          <w:rFonts w:ascii="Verdana" w:hAnsi="Verdana" w:cs="Verdana"/>
          <w:sz w:val="16"/>
          <w:szCs w:val="16"/>
        </w:rPr>
        <w:t xml:space="preserve">Vanwege het </w:t>
      </w:r>
      <w:proofErr w:type="spellStart"/>
      <w:r w:rsidRPr="00AE4890">
        <w:rPr>
          <w:rFonts w:ascii="Verdana" w:hAnsi="Verdana" w:cs="Verdana"/>
          <w:i/>
          <w:iCs/>
          <w:sz w:val="16"/>
          <w:szCs w:val="16"/>
        </w:rPr>
        <w:t>funding</w:t>
      </w:r>
      <w:proofErr w:type="spellEnd"/>
      <w:r w:rsidRPr="00AE4890">
        <w:rPr>
          <w:rFonts w:ascii="Verdana" w:hAnsi="Verdana" w:cs="Verdana"/>
          <w:i/>
          <w:iCs/>
          <w:sz w:val="16"/>
          <w:szCs w:val="16"/>
        </w:rPr>
        <w:t xml:space="preserve"> gap </w:t>
      </w:r>
      <w:r w:rsidRPr="00AE4890">
        <w:rPr>
          <w:rFonts w:ascii="Verdana" w:hAnsi="Verdana" w:cs="Verdana"/>
          <w:sz w:val="16"/>
          <w:szCs w:val="16"/>
        </w:rPr>
        <w:t>trekken Nederlandse banken ook behoorlijk wat spaargeld aan uit h</w:t>
      </w:r>
      <w:r>
        <w:rPr>
          <w:rFonts w:ascii="Verdana" w:hAnsi="Verdana" w:cs="Verdana"/>
          <w:sz w:val="16"/>
          <w:szCs w:val="16"/>
        </w:rPr>
        <w:t xml:space="preserve">et buitenland. Zie de brief van de Minister van Financiën van </w:t>
      </w:r>
      <w:r w:rsidRPr="00AE4890">
        <w:rPr>
          <w:rFonts w:ascii="Verdana" w:hAnsi="Verdana" w:cs="Verdana"/>
          <w:sz w:val="16"/>
          <w:szCs w:val="16"/>
        </w:rPr>
        <w:t>2 mei 2011 in reactie op kamervragen met nummer 2011Z07640 over Nederla</w:t>
      </w:r>
      <w:r>
        <w:rPr>
          <w:rFonts w:ascii="Verdana" w:hAnsi="Verdana" w:cs="Verdana"/>
          <w:sz w:val="16"/>
          <w:szCs w:val="16"/>
        </w:rPr>
        <w:t xml:space="preserve">ndse garanties voor buitenlands </w:t>
      </w:r>
      <w:r w:rsidRPr="00AE4890">
        <w:rPr>
          <w:rFonts w:ascii="Verdana" w:hAnsi="Verdana" w:cs="Verdana"/>
          <w:sz w:val="16"/>
          <w:szCs w:val="16"/>
        </w:rPr>
        <w:t>spaargeld (Brief met kenmerk FM/2011/8672 U). Zie ook DNB, “Overzicht Financiële Stabiliteit in Nederland”</w:t>
      </w:r>
      <w:r>
        <w:rPr>
          <w:rFonts w:ascii="Verdana" w:hAnsi="Verdana" w:cs="Verdana"/>
          <w:sz w:val="16"/>
          <w:szCs w:val="16"/>
        </w:rPr>
        <w:t xml:space="preserve">, </w:t>
      </w:r>
      <w:r w:rsidRPr="00AE4890">
        <w:rPr>
          <w:rFonts w:ascii="Verdana" w:hAnsi="Verdana" w:cs="Verdana"/>
          <w:sz w:val="16"/>
          <w:szCs w:val="16"/>
        </w:rPr>
        <w:t>nr</w:t>
      </w:r>
      <w:r>
        <w:rPr>
          <w:rFonts w:ascii="Verdana" w:hAnsi="Verdana" w:cs="Verdana"/>
          <w:sz w:val="16"/>
          <w:szCs w:val="16"/>
        </w:rPr>
        <w:t>.</w:t>
      </w:r>
      <w:r w:rsidRPr="00AE4890">
        <w:rPr>
          <w:rFonts w:ascii="Verdana" w:hAnsi="Verdana" w:cs="Verdana"/>
          <w:sz w:val="16"/>
          <w:szCs w:val="16"/>
        </w:rPr>
        <w:t xml:space="preserve"> 12, November 2010, pag. 26/27, online beschikbaar via</w:t>
      </w:r>
    </w:p>
    <w:p w:rsidR="001825CA" w:rsidRDefault="001825CA" w:rsidP="00AE4890">
      <w:pPr>
        <w:pStyle w:val="Voetnoottekst"/>
      </w:pPr>
      <w:r w:rsidRPr="00AE4890">
        <w:rPr>
          <w:rFonts w:ascii="Verdana" w:hAnsi="Verdana" w:cs="Verdana"/>
          <w:sz w:val="16"/>
          <w:szCs w:val="16"/>
        </w:rPr>
        <w:t>http://www.dnb.nl/binaries/Overzicht%20Financiele%20Stabiliteit%20nov%202010_tcm46-242463.pdf.</w:t>
      </w:r>
    </w:p>
  </w:footnote>
  <w:footnote w:id="5">
    <w:p w:rsidR="001825CA" w:rsidRPr="001D08F8" w:rsidRDefault="001825CA" w:rsidP="00897EA4">
      <w:pPr>
        <w:pStyle w:val="Voetnoottekst"/>
        <w:rPr>
          <w:rFonts w:ascii="Verdana" w:hAnsi="Verdana"/>
          <w:sz w:val="16"/>
          <w:szCs w:val="16"/>
        </w:rPr>
      </w:pPr>
      <w:r w:rsidRPr="003C237E">
        <w:rPr>
          <w:rStyle w:val="Voetnootmarkering"/>
          <w:rFonts w:ascii="Verdana" w:hAnsi="Verdana"/>
          <w:sz w:val="16"/>
          <w:szCs w:val="16"/>
        </w:rPr>
        <w:footnoteRef/>
      </w:r>
      <w:r w:rsidRPr="003C237E">
        <w:rPr>
          <w:rFonts w:ascii="Verdana" w:hAnsi="Verdana"/>
          <w:sz w:val="16"/>
          <w:szCs w:val="16"/>
        </w:rPr>
        <w:t xml:space="preserve"> </w:t>
      </w:r>
      <w:r w:rsidRPr="001D08F8">
        <w:rPr>
          <w:rFonts w:ascii="Verdana" w:hAnsi="Verdana"/>
          <w:sz w:val="16"/>
          <w:szCs w:val="16"/>
        </w:rPr>
        <w:t>Brief van de Minister van Economische Zaken, Landbouw en Innovatie van 31 mei 2012. Kamerstukken 2011/2012 II, 32637 nr. 34, "Ontwikkelingen en voorgenomen acties ten aanzien van bedrijfsfinanciering".</w:t>
      </w:r>
    </w:p>
  </w:footnote>
  <w:footnote w:id="6">
    <w:p w:rsidR="00A03CAE" w:rsidRDefault="00A03CAE">
      <w:pPr>
        <w:pStyle w:val="Voetnoottekst"/>
      </w:pPr>
      <w:r>
        <w:rPr>
          <w:rStyle w:val="Voetnootmarkering"/>
        </w:rPr>
        <w:footnoteRef/>
      </w:r>
      <w:r>
        <w:t xml:space="preserve"> Overzicht Financi</w:t>
      </w:r>
      <w:r>
        <w:rPr>
          <w:rFonts w:ascii="Verdana" w:hAnsi="Verdana"/>
        </w:rPr>
        <w:t>ë</w:t>
      </w:r>
      <w:r>
        <w:t>le Stabiliteit, najaar 2012, DNB</w:t>
      </w:r>
    </w:p>
  </w:footnote>
  <w:footnote w:id="7">
    <w:p w:rsidR="001825CA" w:rsidRPr="00595606" w:rsidRDefault="001825CA" w:rsidP="0026763D">
      <w:pPr>
        <w:pStyle w:val="Voetnoottekst"/>
        <w:rPr>
          <w:rFonts w:ascii="Verdana" w:hAnsi="Verdana"/>
          <w:sz w:val="16"/>
          <w:szCs w:val="16"/>
        </w:rPr>
      </w:pPr>
      <w:r w:rsidRPr="00595606">
        <w:rPr>
          <w:rStyle w:val="Voetnootmarkering"/>
          <w:rFonts w:ascii="Verdana" w:hAnsi="Verdana"/>
          <w:sz w:val="16"/>
          <w:szCs w:val="16"/>
        </w:rPr>
        <w:footnoteRef/>
      </w:r>
      <w:r w:rsidRPr="00595606">
        <w:rPr>
          <w:rFonts w:ascii="Verdana" w:hAnsi="Verdana"/>
          <w:sz w:val="16"/>
          <w:szCs w:val="16"/>
        </w:rPr>
        <w:t xml:space="preserve"> Conform de aangenomen (gewijzigde) motie van het Lid van de Eerste Kamer der Staten-Generaal mevrouw Sent (Kamerstukken I 2011/12, 33 121, J) zullen Eerste Kamer en Tweede Kamer uiterlijk 1 juni 2013 geïnformeerd worden over de kredietverlening in Nederland </w:t>
      </w:r>
      <w:r>
        <w:rPr>
          <w:rFonts w:ascii="Verdana" w:hAnsi="Verdana"/>
          <w:sz w:val="16"/>
          <w:szCs w:val="16"/>
        </w:rPr>
        <w:t>via dit rapport.</w:t>
      </w:r>
    </w:p>
  </w:footnote>
  <w:footnote w:id="8">
    <w:p w:rsidR="001825CA" w:rsidRPr="00EC2636" w:rsidRDefault="001825CA" w:rsidP="00D52952">
      <w:pPr>
        <w:pStyle w:val="Voetnoottekst"/>
        <w:rPr>
          <w:rFonts w:ascii="Verdana" w:hAnsi="Verdana"/>
          <w:sz w:val="16"/>
          <w:szCs w:val="16"/>
        </w:rPr>
      </w:pPr>
      <w:r w:rsidRPr="00EC2636">
        <w:rPr>
          <w:rStyle w:val="Voetnootmarkering"/>
          <w:rFonts w:ascii="Verdana" w:hAnsi="Verdana"/>
          <w:sz w:val="16"/>
          <w:szCs w:val="16"/>
        </w:rPr>
        <w:footnoteRef/>
      </w:r>
      <w:r w:rsidRPr="00EC2636">
        <w:rPr>
          <w:rFonts w:ascii="Verdana" w:hAnsi="Verdana"/>
          <w:sz w:val="16"/>
          <w:szCs w:val="16"/>
        </w:rPr>
        <w:t xml:space="preserve"> COM(2012)280/3. Voorstel voor </w:t>
      </w:r>
      <w:r w:rsidRPr="00EC2636">
        <w:rPr>
          <w:rFonts w:ascii="Verdana" w:hAnsi="Verdana"/>
          <w:iCs/>
          <w:sz w:val="16"/>
          <w:szCs w:val="16"/>
        </w:rPr>
        <w:t>richtlijn van het Europees Parlement en de Raad betreffende de totstandbrenging van een kader voor het herstel en de afwikkeling van kredietinstellingen en beleggingsondernemingen en tot wijziging van de Richtlijnen 77/91/EEG, 82/891/EG, 2001/24/EG, 2002/47/EG, 2004/25/EG, 2005/56/EG, 2007/36/EG en 2011/35/EU en Verordening (EU) nr. 1093/2010.</w:t>
      </w:r>
    </w:p>
  </w:footnote>
  <w:footnote w:id="9">
    <w:p w:rsidR="001825CA" w:rsidRDefault="001825CA" w:rsidP="008C4163">
      <w:pPr>
        <w:pStyle w:val="Voetnoottekst"/>
      </w:pPr>
      <w:r w:rsidRPr="00595606">
        <w:rPr>
          <w:rStyle w:val="Voetnootmarkering"/>
          <w:rFonts w:ascii="Verdana" w:hAnsi="Verdana"/>
          <w:sz w:val="16"/>
          <w:szCs w:val="16"/>
        </w:rPr>
        <w:footnoteRef/>
      </w:r>
      <w:r w:rsidRPr="00595606">
        <w:rPr>
          <w:rFonts w:ascii="Verdana" w:hAnsi="Verdana"/>
          <w:sz w:val="16"/>
          <w:szCs w:val="16"/>
        </w:rPr>
        <w:t xml:space="preserve"> De Europese Commissie schat een gemiddeld effect van 28 basispunten. Het voorliggende rapport refereert aan een studie van JP Morgan waarin voor een bank </w:t>
      </w:r>
      <w:r>
        <w:rPr>
          <w:rFonts w:ascii="Verdana" w:hAnsi="Verdana"/>
          <w:sz w:val="16"/>
          <w:szCs w:val="16"/>
        </w:rPr>
        <w:t xml:space="preserve">met een zogenaamde single A rating </w:t>
      </w:r>
      <w:r w:rsidRPr="00595606">
        <w:rPr>
          <w:rFonts w:ascii="Verdana" w:hAnsi="Verdana"/>
          <w:sz w:val="16"/>
          <w:szCs w:val="16"/>
        </w:rPr>
        <w:t>het effect op 87 basispunten  wordt geschat</w:t>
      </w:r>
      <w:r>
        <w:rPr>
          <w:rFonts w:ascii="Verdana" w:hAnsi="Verdana"/>
          <w:sz w:val="16"/>
          <w:szCs w:val="16"/>
        </w:rPr>
        <w:t xml:space="preserve">.  </w:t>
      </w:r>
    </w:p>
  </w:footnote>
  <w:footnote w:id="10">
    <w:p w:rsidR="001825CA" w:rsidRPr="003C237E" w:rsidRDefault="001825CA">
      <w:pPr>
        <w:pStyle w:val="Voetnoottekst"/>
        <w:rPr>
          <w:rFonts w:ascii="Verdana" w:hAnsi="Verdana"/>
          <w:sz w:val="16"/>
          <w:szCs w:val="16"/>
        </w:rPr>
      </w:pPr>
      <w:r w:rsidRPr="003C237E">
        <w:rPr>
          <w:rStyle w:val="Voetnootmarkering"/>
          <w:rFonts w:ascii="Verdana" w:hAnsi="Verdana"/>
          <w:sz w:val="16"/>
          <w:szCs w:val="16"/>
        </w:rPr>
        <w:footnoteRef/>
      </w:r>
      <w:r w:rsidRPr="003C237E">
        <w:rPr>
          <w:rFonts w:ascii="Verdana" w:hAnsi="Verdana"/>
          <w:sz w:val="16"/>
          <w:szCs w:val="16"/>
        </w:rPr>
        <w:t xml:space="preserve"> </w:t>
      </w:r>
      <w:r>
        <w:rPr>
          <w:rFonts w:ascii="Verdana" w:hAnsi="Verdana"/>
          <w:sz w:val="16"/>
          <w:szCs w:val="16"/>
        </w:rPr>
        <w:t xml:space="preserve">Kamervragen (Aanhangsel) 2011/2012 II, </w:t>
      </w:r>
      <w:proofErr w:type="spellStart"/>
      <w:r>
        <w:rPr>
          <w:rFonts w:ascii="Verdana" w:hAnsi="Verdana"/>
          <w:sz w:val="16"/>
          <w:szCs w:val="16"/>
        </w:rPr>
        <w:t>nr</w:t>
      </w:r>
      <w:proofErr w:type="spellEnd"/>
      <w:r>
        <w:rPr>
          <w:rFonts w:ascii="Verdana" w:hAnsi="Verdana"/>
          <w:sz w:val="16"/>
          <w:szCs w:val="16"/>
        </w:rPr>
        <w:t xml:space="preserve"> 3343, </w:t>
      </w:r>
      <w:r>
        <w:rPr>
          <w:rFonts w:ascii="Verdana" w:hAnsi="Verdana" w:cs="Times New Roman"/>
          <w:sz w:val="16"/>
          <w:szCs w:val="16"/>
        </w:rPr>
        <w:t>“</w:t>
      </w:r>
      <w:r w:rsidRPr="00604C98">
        <w:rPr>
          <w:rFonts w:ascii="Verdana" w:hAnsi="Verdana" w:cs="Times New Roman"/>
          <w:sz w:val="16"/>
          <w:szCs w:val="16"/>
        </w:rPr>
        <w:t xml:space="preserve">Vragen van het lid </w:t>
      </w:r>
      <w:proofErr w:type="spellStart"/>
      <w:r w:rsidRPr="00604C98">
        <w:rPr>
          <w:rFonts w:ascii="Verdana" w:hAnsi="Verdana" w:cs="Times New Roman"/>
          <w:bCs/>
          <w:sz w:val="16"/>
          <w:szCs w:val="16"/>
        </w:rPr>
        <w:t>Blanksma-van</w:t>
      </w:r>
      <w:proofErr w:type="spellEnd"/>
      <w:r w:rsidRPr="00604C98">
        <w:rPr>
          <w:rFonts w:ascii="Verdana" w:hAnsi="Verdana" w:cs="Times New Roman"/>
          <w:bCs/>
          <w:sz w:val="16"/>
          <w:szCs w:val="16"/>
        </w:rPr>
        <w:t xml:space="preserve"> den Heuvel</w:t>
      </w:r>
      <w:r w:rsidRPr="00604C98">
        <w:rPr>
          <w:rFonts w:ascii="Verdana" w:hAnsi="Verdana" w:cs="Times New Roman"/>
          <w:b/>
          <w:bCs/>
          <w:sz w:val="16"/>
          <w:szCs w:val="16"/>
        </w:rPr>
        <w:t xml:space="preserve"> </w:t>
      </w:r>
      <w:r w:rsidRPr="00604C98">
        <w:rPr>
          <w:rFonts w:ascii="Verdana" w:hAnsi="Verdana" w:cs="Times New Roman"/>
          <w:sz w:val="16"/>
          <w:szCs w:val="16"/>
        </w:rPr>
        <w:t xml:space="preserve">(CDA) aan de minister van Financiën over </w:t>
      </w:r>
      <w:r w:rsidRPr="00604C98">
        <w:rPr>
          <w:rFonts w:ascii="Verdana" w:hAnsi="Verdana" w:cs="Times New Roman"/>
          <w:iCs/>
          <w:sz w:val="16"/>
          <w:szCs w:val="16"/>
        </w:rPr>
        <w:t>de resultaten van het onderzoek door consultancybureau AT waaruit blijkt dat de kosten van banken sinds het uitbreken van de crisis nauwelijks meer zijn gedaald</w:t>
      </w:r>
      <w:r>
        <w:rPr>
          <w:rFonts w:ascii="Verdana" w:hAnsi="Verdana" w:cs="Times New Roman"/>
          <w:iCs/>
          <w:sz w:val="16"/>
          <w:szCs w:val="16"/>
        </w:rPr>
        <w:t>”</w:t>
      </w:r>
      <w:r w:rsidRPr="00604C98">
        <w:rPr>
          <w:rFonts w:ascii="Verdana" w:hAnsi="Verdana" w:cs="Times New Roman"/>
          <w:iCs/>
          <w:sz w:val="16"/>
          <w:szCs w:val="16"/>
        </w:rPr>
        <w:t xml:space="preserve"> </w:t>
      </w:r>
      <w:r w:rsidRPr="00604C98">
        <w:rPr>
          <w:rFonts w:ascii="Verdana" w:hAnsi="Verdana" w:cs="Times New Roman"/>
          <w:sz w:val="16"/>
          <w:szCs w:val="16"/>
        </w:rPr>
        <w:t>(ingezonden 7</w:t>
      </w:r>
      <w:r>
        <w:rPr>
          <w:rFonts w:ascii="Verdana" w:hAnsi="Verdana" w:cs="Times New Roman"/>
          <w:sz w:val="16"/>
          <w:szCs w:val="16"/>
        </w:rPr>
        <w:t xml:space="preserve"> augustus 2012)</w:t>
      </w:r>
      <w:r w:rsidRPr="00604C98">
        <w:rPr>
          <w:rFonts w:ascii="Verdana" w:hAnsi="Verdana" w:cs="Times New Roman"/>
          <w:sz w:val="16"/>
          <w:szCs w:val="16"/>
        </w:rPr>
        <w:t>.</w:t>
      </w:r>
    </w:p>
  </w:footnote>
  <w:footnote w:id="11">
    <w:p w:rsidR="001825CA" w:rsidRPr="003C237E" w:rsidRDefault="001825CA">
      <w:pPr>
        <w:pStyle w:val="Voetnoottekst"/>
        <w:rPr>
          <w:rFonts w:ascii="Verdana" w:hAnsi="Verdana"/>
          <w:sz w:val="16"/>
          <w:szCs w:val="16"/>
        </w:rPr>
      </w:pPr>
      <w:r w:rsidRPr="003C237E">
        <w:rPr>
          <w:rStyle w:val="Voetnootmarkering"/>
          <w:rFonts w:ascii="Verdana" w:hAnsi="Verdana"/>
          <w:sz w:val="16"/>
          <w:szCs w:val="16"/>
        </w:rPr>
        <w:footnoteRef/>
      </w:r>
      <w:r w:rsidRPr="003C237E">
        <w:rPr>
          <w:rFonts w:ascii="Verdana" w:hAnsi="Verdana"/>
          <w:sz w:val="16"/>
          <w:szCs w:val="16"/>
        </w:rPr>
        <w:t xml:space="preserve"> Overzicht Financiële Stabiliteit, najaar 2012, De Nederlandsche Bank</w:t>
      </w:r>
      <w:r>
        <w:rPr>
          <w:rFonts w:ascii="Verdana" w:hAnsi="Verdana"/>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D5F02"/>
    <w:multiLevelType w:val="hybridMultilevel"/>
    <w:tmpl w:val="54B62A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7DA01F0"/>
    <w:multiLevelType w:val="hybridMultilevel"/>
    <w:tmpl w:val="23A0FEC4"/>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
    <w:nsid w:val="2EDA2687"/>
    <w:multiLevelType w:val="hybridMultilevel"/>
    <w:tmpl w:val="6C5C7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527742"/>
    <w:multiLevelType w:val="hybridMultilevel"/>
    <w:tmpl w:val="BD6EC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AC677E"/>
    <w:multiLevelType w:val="hybridMultilevel"/>
    <w:tmpl w:val="BB14A7CC"/>
    <w:lvl w:ilvl="0" w:tplc="03A88A86">
      <w:start w:val="70"/>
      <w:numFmt w:val="bullet"/>
      <w:lvlText w:val="-"/>
      <w:lvlJc w:val="left"/>
      <w:pPr>
        <w:ind w:left="720" w:hanging="360"/>
      </w:pPr>
      <w:rPr>
        <w:rFonts w:ascii="Verdana" w:eastAsiaTheme="minorHAnsi" w:hAnsi="Verdana" w:cstheme="minorBidi"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nsid w:val="7F605407"/>
    <w:multiLevelType w:val="hybridMultilevel"/>
    <w:tmpl w:val="B6D471B6"/>
    <w:lvl w:ilvl="0" w:tplc="F6A6FC9C">
      <w:start w:val="1"/>
      <w:numFmt w:val="decimal"/>
      <w:lvlText w:val="%1)"/>
      <w:lvlJc w:val="left"/>
      <w:pPr>
        <w:ind w:left="720" w:hanging="360"/>
      </w:pPr>
      <w:rPr>
        <w:sz w:val="16"/>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characterSpacingControl w:val="doNotCompress"/>
  <w:footnotePr>
    <w:footnote w:id="-1"/>
    <w:footnote w:id="0"/>
  </w:footnotePr>
  <w:endnotePr>
    <w:endnote w:id="-1"/>
    <w:endnote w:id="0"/>
  </w:endnotePr>
  <w:compat/>
  <w:rsids>
    <w:rsidRoot w:val="00B84092"/>
    <w:rsid w:val="00003206"/>
    <w:rsid w:val="000065E8"/>
    <w:rsid w:val="000149D7"/>
    <w:rsid w:val="00015F3F"/>
    <w:rsid w:val="00021DEE"/>
    <w:rsid w:val="00026C33"/>
    <w:rsid w:val="000403EB"/>
    <w:rsid w:val="0004492A"/>
    <w:rsid w:val="00051D07"/>
    <w:rsid w:val="00055557"/>
    <w:rsid w:val="0005702E"/>
    <w:rsid w:val="000570B4"/>
    <w:rsid w:val="00064754"/>
    <w:rsid w:val="000660CA"/>
    <w:rsid w:val="0007546B"/>
    <w:rsid w:val="000818F0"/>
    <w:rsid w:val="00084379"/>
    <w:rsid w:val="00085EFA"/>
    <w:rsid w:val="000A2A32"/>
    <w:rsid w:val="000B1C67"/>
    <w:rsid w:val="000B6195"/>
    <w:rsid w:val="000D0D77"/>
    <w:rsid w:val="000E28CE"/>
    <w:rsid w:val="000E2EAB"/>
    <w:rsid w:val="000E51B5"/>
    <w:rsid w:val="000F31ED"/>
    <w:rsid w:val="000F524D"/>
    <w:rsid w:val="00107138"/>
    <w:rsid w:val="00121DA4"/>
    <w:rsid w:val="00130F88"/>
    <w:rsid w:val="00134517"/>
    <w:rsid w:val="00137BB9"/>
    <w:rsid w:val="00141542"/>
    <w:rsid w:val="00141E5D"/>
    <w:rsid w:val="00153763"/>
    <w:rsid w:val="00155175"/>
    <w:rsid w:val="001578A0"/>
    <w:rsid w:val="00162ECC"/>
    <w:rsid w:val="0016383C"/>
    <w:rsid w:val="00163E4F"/>
    <w:rsid w:val="001665F1"/>
    <w:rsid w:val="001724D2"/>
    <w:rsid w:val="00174E83"/>
    <w:rsid w:val="00174F2A"/>
    <w:rsid w:val="00175482"/>
    <w:rsid w:val="001825CA"/>
    <w:rsid w:val="001916A9"/>
    <w:rsid w:val="00197AD1"/>
    <w:rsid w:val="001B3A99"/>
    <w:rsid w:val="001D08F8"/>
    <w:rsid w:val="001D13BA"/>
    <w:rsid w:val="001D61D0"/>
    <w:rsid w:val="001E6562"/>
    <w:rsid w:val="00205AFE"/>
    <w:rsid w:val="0021768C"/>
    <w:rsid w:val="002316CE"/>
    <w:rsid w:val="0023189D"/>
    <w:rsid w:val="00234480"/>
    <w:rsid w:val="002360DE"/>
    <w:rsid w:val="002430D8"/>
    <w:rsid w:val="002536CD"/>
    <w:rsid w:val="00253A12"/>
    <w:rsid w:val="0026763D"/>
    <w:rsid w:val="00270183"/>
    <w:rsid w:val="0027321E"/>
    <w:rsid w:val="00273B70"/>
    <w:rsid w:val="002A68C9"/>
    <w:rsid w:val="002B2448"/>
    <w:rsid w:val="002B4257"/>
    <w:rsid w:val="002C3B27"/>
    <w:rsid w:val="002D2651"/>
    <w:rsid w:val="002D74E4"/>
    <w:rsid w:val="002D7673"/>
    <w:rsid w:val="0030004D"/>
    <w:rsid w:val="00302096"/>
    <w:rsid w:val="0030296C"/>
    <w:rsid w:val="00302F60"/>
    <w:rsid w:val="003116C4"/>
    <w:rsid w:val="00323241"/>
    <w:rsid w:val="00330767"/>
    <w:rsid w:val="003352C8"/>
    <w:rsid w:val="00337797"/>
    <w:rsid w:val="003414FC"/>
    <w:rsid w:val="0034405C"/>
    <w:rsid w:val="00372F4F"/>
    <w:rsid w:val="003871E5"/>
    <w:rsid w:val="00395B43"/>
    <w:rsid w:val="00396D03"/>
    <w:rsid w:val="003A265F"/>
    <w:rsid w:val="003A36AE"/>
    <w:rsid w:val="003A4598"/>
    <w:rsid w:val="003A45D3"/>
    <w:rsid w:val="003B1204"/>
    <w:rsid w:val="003B21AE"/>
    <w:rsid w:val="003B27DC"/>
    <w:rsid w:val="003B31FE"/>
    <w:rsid w:val="003C0A88"/>
    <w:rsid w:val="003C237E"/>
    <w:rsid w:val="003C29A3"/>
    <w:rsid w:val="003C3E2C"/>
    <w:rsid w:val="003C62C5"/>
    <w:rsid w:val="003D007F"/>
    <w:rsid w:val="003E27ED"/>
    <w:rsid w:val="003E389C"/>
    <w:rsid w:val="003F0CF0"/>
    <w:rsid w:val="00405158"/>
    <w:rsid w:val="00405B7D"/>
    <w:rsid w:val="004259F4"/>
    <w:rsid w:val="00431DD4"/>
    <w:rsid w:val="004330BA"/>
    <w:rsid w:val="004337CF"/>
    <w:rsid w:val="00436756"/>
    <w:rsid w:val="00444715"/>
    <w:rsid w:val="00451C17"/>
    <w:rsid w:val="004531F5"/>
    <w:rsid w:val="00462243"/>
    <w:rsid w:val="00462AA4"/>
    <w:rsid w:val="0047393F"/>
    <w:rsid w:val="00474A3B"/>
    <w:rsid w:val="00475937"/>
    <w:rsid w:val="00482759"/>
    <w:rsid w:val="004A0313"/>
    <w:rsid w:val="004A420E"/>
    <w:rsid w:val="004B4B62"/>
    <w:rsid w:val="004B6AD2"/>
    <w:rsid w:val="004E025F"/>
    <w:rsid w:val="004E40F3"/>
    <w:rsid w:val="004E4DBF"/>
    <w:rsid w:val="004F3AF9"/>
    <w:rsid w:val="00512F64"/>
    <w:rsid w:val="005457BF"/>
    <w:rsid w:val="00553A8D"/>
    <w:rsid w:val="00562245"/>
    <w:rsid w:val="00562359"/>
    <w:rsid w:val="0056239A"/>
    <w:rsid w:val="005637B2"/>
    <w:rsid w:val="005813C6"/>
    <w:rsid w:val="00582DBF"/>
    <w:rsid w:val="00584B9E"/>
    <w:rsid w:val="005900C2"/>
    <w:rsid w:val="005907DC"/>
    <w:rsid w:val="00595606"/>
    <w:rsid w:val="005A49E1"/>
    <w:rsid w:val="005B6CE5"/>
    <w:rsid w:val="005B7285"/>
    <w:rsid w:val="005C75F6"/>
    <w:rsid w:val="005F526C"/>
    <w:rsid w:val="00604C98"/>
    <w:rsid w:val="0060705E"/>
    <w:rsid w:val="006253F5"/>
    <w:rsid w:val="006259D9"/>
    <w:rsid w:val="0062742F"/>
    <w:rsid w:val="006312AC"/>
    <w:rsid w:val="006356F2"/>
    <w:rsid w:val="006529D3"/>
    <w:rsid w:val="00667BC7"/>
    <w:rsid w:val="0067208D"/>
    <w:rsid w:val="006731F5"/>
    <w:rsid w:val="00675DE7"/>
    <w:rsid w:val="00680069"/>
    <w:rsid w:val="00685CF7"/>
    <w:rsid w:val="0069397E"/>
    <w:rsid w:val="006A1815"/>
    <w:rsid w:val="006B379B"/>
    <w:rsid w:val="006D06DD"/>
    <w:rsid w:val="006D71D7"/>
    <w:rsid w:val="006E0411"/>
    <w:rsid w:val="006E6479"/>
    <w:rsid w:val="006F0DB2"/>
    <w:rsid w:val="006F4BC0"/>
    <w:rsid w:val="006F57C6"/>
    <w:rsid w:val="00733BE2"/>
    <w:rsid w:val="0074556E"/>
    <w:rsid w:val="00756B77"/>
    <w:rsid w:val="00765E30"/>
    <w:rsid w:val="0078074A"/>
    <w:rsid w:val="007840E4"/>
    <w:rsid w:val="0079248D"/>
    <w:rsid w:val="00792C90"/>
    <w:rsid w:val="007A21AF"/>
    <w:rsid w:val="007A228F"/>
    <w:rsid w:val="007A6599"/>
    <w:rsid w:val="007B25DE"/>
    <w:rsid w:val="007B2F80"/>
    <w:rsid w:val="007D578E"/>
    <w:rsid w:val="007E59C3"/>
    <w:rsid w:val="007F05CD"/>
    <w:rsid w:val="007F2CF5"/>
    <w:rsid w:val="00816CA3"/>
    <w:rsid w:val="00827786"/>
    <w:rsid w:val="008428A2"/>
    <w:rsid w:val="00847871"/>
    <w:rsid w:val="008532CD"/>
    <w:rsid w:val="00874A5B"/>
    <w:rsid w:val="00883A37"/>
    <w:rsid w:val="00886E18"/>
    <w:rsid w:val="00897EA4"/>
    <w:rsid w:val="00897FD1"/>
    <w:rsid w:val="008B4422"/>
    <w:rsid w:val="008C4163"/>
    <w:rsid w:val="008C6E56"/>
    <w:rsid w:val="008D16CC"/>
    <w:rsid w:val="008D468C"/>
    <w:rsid w:val="008E2C9E"/>
    <w:rsid w:val="008E6684"/>
    <w:rsid w:val="008E72E4"/>
    <w:rsid w:val="008F27B9"/>
    <w:rsid w:val="008F4568"/>
    <w:rsid w:val="008F5143"/>
    <w:rsid w:val="0090068B"/>
    <w:rsid w:val="00903D21"/>
    <w:rsid w:val="00912CB9"/>
    <w:rsid w:val="00927657"/>
    <w:rsid w:val="009336D7"/>
    <w:rsid w:val="00937E5D"/>
    <w:rsid w:val="009413C5"/>
    <w:rsid w:val="00955A48"/>
    <w:rsid w:val="00971D51"/>
    <w:rsid w:val="00991CA9"/>
    <w:rsid w:val="00991FB5"/>
    <w:rsid w:val="00996A1D"/>
    <w:rsid w:val="009C5BE9"/>
    <w:rsid w:val="009C6765"/>
    <w:rsid w:val="009D4FAD"/>
    <w:rsid w:val="009F0C37"/>
    <w:rsid w:val="009F143D"/>
    <w:rsid w:val="009F53BA"/>
    <w:rsid w:val="00A00788"/>
    <w:rsid w:val="00A019BA"/>
    <w:rsid w:val="00A01FE4"/>
    <w:rsid w:val="00A03CAE"/>
    <w:rsid w:val="00A12F4F"/>
    <w:rsid w:val="00A33223"/>
    <w:rsid w:val="00A362B0"/>
    <w:rsid w:val="00A3722B"/>
    <w:rsid w:val="00A41166"/>
    <w:rsid w:val="00A478DC"/>
    <w:rsid w:val="00A57731"/>
    <w:rsid w:val="00A71736"/>
    <w:rsid w:val="00A76E71"/>
    <w:rsid w:val="00AA1507"/>
    <w:rsid w:val="00AB600A"/>
    <w:rsid w:val="00AB6AD2"/>
    <w:rsid w:val="00AC2ED9"/>
    <w:rsid w:val="00AC34CA"/>
    <w:rsid w:val="00AC5DFC"/>
    <w:rsid w:val="00AE0BB6"/>
    <w:rsid w:val="00AE4808"/>
    <w:rsid w:val="00AE4890"/>
    <w:rsid w:val="00B017B5"/>
    <w:rsid w:val="00B04F43"/>
    <w:rsid w:val="00B06B09"/>
    <w:rsid w:val="00B10E90"/>
    <w:rsid w:val="00B14370"/>
    <w:rsid w:val="00B17078"/>
    <w:rsid w:val="00B20EEF"/>
    <w:rsid w:val="00B21379"/>
    <w:rsid w:val="00B22011"/>
    <w:rsid w:val="00B34AB6"/>
    <w:rsid w:val="00B374A4"/>
    <w:rsid w:val="00B55B38"/>
    <w:rsid w:val="00B63CB9"/>
    <w:rsid w:val="00B664FA"/>
    <w:rsid w:val="00B730A8"/>
    <w:rsid w:val="00B7773F"/>
    <w:rsid w:val="00B803E9"/>
    <w:rsid w:val="00B80A10"/>
    <w:rsid w:val="00B819E6"/>
    <w:rsid w:val="00B84092"/>
    <w:rsid w:val="00B86429"/>
    <w:rsid w:val="00BA004B"/>
    <w:rsid w:val="00BB0FBD"/>
    <w:rsid w:val="00BB15D6"/>
    <w:rsid w:val="00BB561E"/>
    <w:rsid w:val="00BD595A"/>
    <w:rsid w:val="00BD6FF8"/>
    <w:rsid w:val="00BE213E"/>
    <w:rsid w:val="00BE2515"/>
    <w:rsid w:val="00BE6436"/>
    <w:rsid w:val="00BF6323"/>
    <w:rsid w:val="00C066F6"/>
    <w:rsid w:val="00C12E2C"/>
    <w:rsid w:val="00C40977"/>
    <w:rsid w:val="00C46048"/>
    <w:rsid w:val="00C51F01"/>
    <w:rsid w:val="00C57320"/>
    <w:rsid w:val="00C63B46"/>
    <w:rsid w:val="00C66FEC"/>
    <w:rsid w:val="00C82D11"/>
    <w:rsid w:val="00C90473"/>
    <w:rsid w:val="00C90B1B"/>
    <w:rsid w:val="00C913CD"/>
    <w:rsid w:val="00C959D7"/>
    <w:rsid w:val="00C97BDB"/>
    <w:rsid w:val="00CA3B48"/>
    <w:rsid w:val="00CD32EE"/>
    <w:rsid w:val="00CD53AE"/>
    <w:rsid w:val="00CD54A0"/>
    <w:rsid w:val="00CE24C4"/>
    <w:rsid w:val="00CE37EC"/>
    <w:rsid w:val="00CF0506"/>
    <w:rsid w:val="00D050C3"/>
    <w:rsid w:val="00D14ABC"/>
    <w:rsid w:val="00D16D8B"/>
    <w:rsid w:val="00D20CCC"/>
    <w:rsid w:val="00D2567A"/>
    <w:rsid w:val="00D52952"/>
    <w:rsid w:val="00D61289"/>
    <w:rsid w:val="00D76EDD"/>
    <w:rsid w:val="00D86820"/>
    <w:rsid w:val="00D92EB8"/>
    <w:rsid w:val="00DD1F3C"/>
    <w:rsid w:val="00DD62C1"/>
    <w:rsid w:val="00DE2C4A"/>
    <w:rsid w:val="00DF62DF"/>
    <w:rsid w:val="00E164A2"/>
    <w:rsid w:val="00E17A1A"/>
    <w:rsid w:val="00E231C6"/>
    <w:rsid w:val="00E41B65"/>
    <w:rsid w:val="00E50940"/>
    <w:rsid w:val="00E623E7"/>
    <w:rsid w:val="00E62D2C"/>
    <w:rsid w:val="00E659E8"/>
    <w:rsid w:val="00E65ADC"/>
    <w:rsid w:val="00E7213F"/>
    <w:rsid w:val="00E74D7F"/>
    <w:rsid w:val="00E85F1C"/>
    <w:rsid w:val="00E917CA"/>
    <w:rsid w:val="00E91B66"/>
    <w:rsid w:val="00E91F21"/>
    <w:rsid w:val="00EA1673"/>
    <w:rsid w:val="00EA4921"/>
    <w:rsid w:val="00EB3464"/>
    <w:rsid w:val="00EB40FD"/>
    <w:rsid w:val="00EB7418"/>
    <w:rsid w:val="00EC05A8"/>
    <w:rsid w:val="00EC203D"/>
    <w:rsid w:val="00EC2636"/>
    <w:rsid w:val="00EC543E"/>
    <w:rsid w:val="00EC7941"/>
    <w:rsid w:val="00ED3CCF"/>
    <w:rsid w:val="00ED6866"/>
    <w:rsid w:val="00EE032C"/>
    <w:rsid w:val="00EE4F19"/>
    <w:rsid w:val="00EE5965"/>
    <w:rsid w:val="00EE6E7A"/>
    <w:rsid w:val="00F002E3"/>
    <w:rsid w:val="00F03FD4"/>
    <w:rsid w:val="00F13FED"/>
    <w:rsid w:val="00F35A67"/>
    <w:rsid w:val="00F432A8"/>
    <w:rsid w:val="00F4573F"/>
    <w:rsid w:val="00F47212"/>
    <w:rsid w:val="00F50649"/>
    <w:rsid w:val="00F50720"/>
    <w:rsid w:val="00F52B42"/>
    <w:rsid w:val="00F52DDA"/>
    <w:rsid w:val="00F63D4D"/>
    <w:rsid w:val="00F71298"/>
    <w:rsid w:val="00F71942"/>
    <w:rsid w:val="00F92ECF"/>
    <w:rsid w:val="00FA376E"/>
    <w:rsid w:val="00FB1235"/>
    <w:rsid w:val="00FB1B22"/>
    <w:rsid w:val="00FB25E5"/>
    <w:rsid w:val="00FB28F3"/>
    <w:rsid w:val="00FC09BC"/>
    <w:rsid w:val="00FC6B35"/>
    <w:rsid w:val="00FD1AE3"/>
    <w:rsid w:val="00FD42E1"/>
    <w:rsid w:val="00FD5288"/>
    <w:rsid w:val="00FD5D6F"/>
    <w:rsid w:val="00FE74F7"/>
    <w:rsid w:val="00FF5091"/>
    <w:rsid w:val="00FF5AA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84092"/>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84092"/>
    <w:pPr>
      <w:ind w:left="720"/>
    </w:pPr>
  </w:style>
  <w:style w:type="paragraph" w:styleId="Tekstzonderopmaak">
    <w:name w:val="Plain Text"/>
    <w:basedOn w:val="Standaard"/>
    <w:link w:val="TekstzonderopmaakChar"/>
    <w:uiPriority w:val="99"/>
    <w:unhideWhenUsed/>
    <w:rsid w:val="00971D51"/>
    <w:rPr>
      <w:rFonts w:ascii="Verdana" w:hAnsi="Verdana"/>
      <w:sz w:val="20"/>
      <w:szCs w:val="21"/>
    </w:rPr>
  </w:style>
  <w:style w:type="character" w:customStyle="1" w:styleId="TekstzonderopmaakChar">
    <w:name w:val="Tekst zonder opmaak Char"/>
    <w:basedOn w:val="Standaardalinea-lettertype"/>
    <w:link w:val="Tekstzonderopmaak"/>
    <w:uiPriority w:val="99"/>
    <w:rsid w:val="00971D51"/>
    <w:rPr>
      <w:rFonts w:ascii="Verdana" w:hAnsi="Verdana"/>
      <w:sz w:val="20"/>
      <w:szCs w:val="21"/>
    </w:rPr>
  </w:style>
  <w:style w:type="paragraph" w:styleId="Voetnoottekst">
    <w:name w:val="footnote text"/>
    <w:basedOn w:val="Standaard"/>
    <w:link w:val="VoetnoottekstChar"/>
    <w:uiPriority w:val="99"/>
    <w:semiHidden/>
    <w:unhideWhenUsed/>
    <w:rsid w:val="00971D51"/>
    <w:rPr>
      <w:sz w:val="20"/>
      <w:szCs w:val="20"/>
    </w:rPr>
  </w:style>
  <w:style w:type="character" w:customStyle="1" w:styleId="VoetnoottekstChar">
    <w:name w:val="Voetnoottekst Char"/>
    <w:basedOn w:val="Standaardalinea-lettertype"/>
    <w:link w:val="Voetnoottekst"/>
    <w:uiPriority w:val="99"/>
    <w:semiHidden/>
    <w:rsid w:val="00971D51"/>
    <w:rPr>
      <w:sz w:val="20"/>
      <w:szCs w:val="20"/>
    </w:rPr>
  </w:style>
  <w:style w:type="character" w:styleId="Voetnootmarkering">
    <w:name w:val="footnote reference"/>
    <w:basedOn w:val="Standaardalinea-lettertype"/>
    <w:uiPriority w:val="99"/>
    <w:semiHidden/>
    <w:unhideWhenUsed/>
    <w:rsid w:val="00971D51"/>
    <w:rPr>
      <w:vertAlign w:val="superscript"/>
    </w:rPr>
  </w:style>
  <w:style w:type="paragraph" w:styleId="Ballontekst">
    <w:name w:val="Balloon Text"/>
    <w:basedOn w:val="Standaard"/>
    <w:link w:val="BallontekstChar"/>
    <w:uiPriority w:val="99"/>
    <w:semiHidden/>
    <w:unhideWhenUsed/>
    <w:rsid w:val="005637B2"/>
    <w:rPr>
      <w:rFonts w:ascii="Tahoma" w:hAnsi="Tahoma" w:cs="Tahoma"/>
      <w:sz w:val="16"/>
      <w:szCs w:val="16"/>
    </w:rPr>
  </w:style>
  <w:style w:type="character" w:customStyle="1" w:styleId="BallontekstChar">
    <w:name w:val="Ballontekst Char"/>
    <w:basedOn w:val="Standaardalinea-lettertype"/>
    <w:link w:val="Ballontekst"/>
    <w:uiPriority w:val="99"/>
    <w:semiHidden/>
    <w:rsid w:val="005637B2"/>
    <w:rPr>
      <w:rFonts w:ascii="Tahoma" w:hAnsi="Tahoma" w:cs="Tahoma"/>
      <w:sz w:val="16"/>
      <w:szCs w:val="16"/>
    </w:rPr>
  </w:style>
  <w:style w:type="character" w:styleId="Verwijzingopmerking">
    <w:name w:val="annotation reference"/>
    <w:basedOn w:val="Standaardalinea-lettertype"/>
    <w:uiPriority w:val="99"/>
    <w:semiHidden/>
    <w:unhideWhenUsed/>
    <w:rsid w:val="008B4422"/>
    <w:rPr>
      <w:sz w:val="16"/>
      <w:szCs w:val="16"/>
    </w:rPr>
  </w:style>
  <w:style w:type="paragraph" w:styleId="Tekstopmerking">
    <w:name w:val="annotation text"/>
    <w:basedOn w:val="Standaard"/>
    <w:link w:val="TekstopmerkingChar"/>
    <w:uiPriority w:val="99"/>
    <w:semiHidden/>
    <w:unhideWhenUsed/>
    <w:rsid w:val="008B4422"/>
    <w:rPr>
      <w:sz w:val="20"/>
      <w:szCs w:val="20"/>
    </w:rPr>
  </w:style>
  <w:style w:type="character" w:customStyle="1" w:styleId="TekstopmerkingChar">
    <w:name w:val="Tekst opmerking Char"/>
    <w:basedOn w:val="Standaardalinea-lettertype"/>
    <w:link w:val="Tekstopmerking"/>
    <w:uiPriority w:val="99"/>
    <w:semiHidden/>
    <w:rsid w:val="008B4422"/>
    <w:rPr>
      <w:sz w:val="20"/>
      <w:szCs w:val="20"/>
    </w:rPr>
  </w:style>
  <w:style w:type="paragraph" w:styleId="Onderwerpvanopmerking">
    <w:name w:val="annotation subject"/>
    <w:basedOn w:val="Tekstopmerking"/>
    <w:next w:val="Tekstopmerking"/>
    <w:link w:val="OnderwerpvanopmerkingChar"/>
    <w:uiPriority w:val="99"/>
    <w:semiHidden/>
    <w:unhideWhenUsed/>
    <w:rsid w:val="008B4422"/>
    <w:rPr>
      <w:b/>
      <w:bCs/>
    </w:rPr>
  </w:style>
  <w:style w:type="character" w:customStyle="1" w:styleId="OnderwerpvanopmerkingChar">
    <w:name w:val="Onderwerp van opmerking Char"/>
    <w:basedOn w:val="TekstopmerkingChar"/>
    <w:link w:val="Onderwerpvanopmerking"/>
    <w:uiPriority w:val="99"/>
    <w:semiHidden/>
    <w:rsid w:val="008B4422"/>
    <w:rPr>
      <w:b/>
      <w:bCs/>
      <w:sz w:val="20"/>
      <w:szCs w:val="20"/>
    </w:rPr>
  </w:style>
  <w:style w:type="paragraph" w:customStyle="1" w:styleId="Default">
    <w:name w:val="Default"/>
    <w:rsid w:val="00595606"/>
    <w:pPr>
      <w:autoSpaceDE w:val="0"/>
      <w:autoSpaceDN w:val="0"/>
      <w:adjustRightInd w:val="0"/>
      <w:spacing w:after="0" w:line="240" w:lineRule="auto"/>
    </w:pPr>
    <w:rPr>
      <w:rFonts w:ascii="EJMME B+ Univers" w:hAnsi="EJMME B+ Univers" w:cs="EJMME B+ Univers"/>
      <w:color w:val="000000"/>
      <w:sz w:val="24"/>
      <w:szCs w:val="24"/>
    </w:rPr>
  </w:style>
  <w:style w:type="character" w:styleId="Zwaar">
    <w:name w:val="Strong"/>
    <w:basedOn w:val="Standaardalinea-lettertype"/>
    <w:uiPriority w:val="22"/>
    <w:qFormat/>
    <w:rsid w:val="002B24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09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092"/>
    <w:pPr>
      <w:ind w:left="720"/>
    </w:pPr>
  </w:style>
  <w:style w:type="paragraph" w:styleId="PlainText">
    <w:name w:val="Plain Text"/>
    <w:basedOn w:val="Normal"/>
    <w:link w:val="PlainTextChar"/>
    <w:uiPriority w:val="99"/>
    <w:unhideWhenUsed/>
    <w:rsid w:val="00971D51"/>
    <w:rPr>
      <w:rFonts w:ascii="Verdana" w:hAnsi="Verdana"/>
      <w:sz w:val="20"/>
      <w:szCs w:val="21"/>
    </w:rPr>
  </w:style>
  <w:style w:type="character" w:customStyle="1" w:styleId="PlainTextChar">
    <w:name w:val="Plain Text Char"/>
    <w:basedOn w:val="DefaultParagraphFont"/>
    <w:link w:val="PlainText"/>
    <w:uiPriority w:val="99"/>
    <w:rsid w:val="00971D51"/>
    <w:rPr>
      <w:rFonts w:ascii="Verdana" w:hAnsi="Verdana"/>
      <w:sz w:val="20"/>
      <w:szCs w:val="21"/>
    </w:rPr>
  </w:style>
  <w:style w:type="paragraph" w:styleId="FootnoteText">
    <w:name w:val="footnote text"/>
    <w:basedOn w:val="Normal"/>
    <w:link w:val="FootnoteTextChar"/>
    <w:uiPriority w:val="99"/>
    <w:semiHidden/>
    <w:unhideWhenUsed/>
    <w:rsid w:val="00971D51"/>
    <w:rPr>
      <w:sz w:val="20"/>
      <w:szCs w:val="20"/>
    </w:rPr>
  </w:style>
  <w:style w:type="character" w:customStyle="1" w:styleId="FootnoteTextChar">
    <w:name w:val="Footnote Text Char"/>
    <w:basedOn w:val="DefaultParagraphFont"/>
    <w:link w:val="FootnoteText"/>
    <w:uiPriority w:val="99"/>
    <w:semiHidden/>
    <w:rsid w:val="00971D51"/>
    <w:rPr>
      <w:sz w:val="20"/>
      <w:szCs w:val="20"/>
    </w:rPr>
  </w:style>
  <w:style w:type="character" w:styleId="FootnoteReference">
    <w:name w:val="footnote reference"/>
    <w:basedOn w:val="DefaultParagraphFont"/>
    <w:uiPriority w:val="99"/>
    <w:semiHidden/>
    <w:unhideWhenUsed/>
    <w:rsid w:val="00971D51"/>
    <w:rPr>
      <w:vertAlign w:val="superscript"/>
    </w:rPr>
  </w:style>
  <w:style w:type="paragraph" w:styleId="BalloonText">
    <w:name w:val="Balloon Text"/>
    <w:basedOn w:val="Normal"/>
    <w:link w:val="BalloonTextChar"/>
    <w:uiPriority w:val="99"/>
    <w:semiHidden/>
    <w:unhideWhenUsed/>
    <w:rsid w:val="005637B2"/>
    <w:rPr>
      <w:rFonts w:ascii="Tahoma" w:hAnsi="Tahoma" w:cs="Tahoma"/>
      <w:sz w:val="16"/>
      <w:szCs w:val="16"/>
    </w:rPr>
  </w:style>
  <w:style w:type="character" w:customStyle="1" w:styleId="BalloonTextChar">
    <w:name w:val="Balloon Text Char"/>
    <w:basedOn w:val="DefaultParagraphFont"/>
    <w:link w:val="BalloonText"/>
    <w:uiPriority w:val="99"/>
    <w:semiHidden/>
    <w:rsid w:val="005637B2"/>
    <w:rPr>
      <w:rFonts w:ascii="Tahoma" w:hAnsi="Tahoma" w:cs="Tahoma"/>
      <w:sz w:val="16"/>
      <w:szCs w:val="16"/>
    </w:rPr>
  </w:style>
  <w:style w:type="character" w:styleId="CommentReference">
    <w:name w:val="annotation reference"/>
    <w:basedOn w:val="DefaultParagraphFont"/>
    <w:uiPriority w:val="99"/>
    <w:semiHidden/>
    <w:unhideWhenUsed/>
    <w:rsid w:val="008B4422"/>
    <w:rPr>
      <w:sz w:val="16"/>
      <w:szCs w:val="16"/>
    </w:rPr>
  </w:style>
  <w:style w:type="paragraph" w:styleId="CommentText">
    <w:name w:val="annotation text"/>
    <w:basedOn w:val="Normal"/>
    <w:link w:val="CommentTextChar"/>
    <w:uiPriority w:val="99"/>
    <w:semiHidden/>
    <w:unhideWhenUsed/>
    <w:rsid w:val="008B4422"/>
    <w:rPr>
      <w:sz w:val="20"/>
      <w:szCs w:val="20"/>
    </w:rPr>
  </w:style>
  <w:style w:type="character" w:customStyle="1" w:styleId="CommentTextChar">
    <w:name w:val="Comment Text Char"/>
    <w:basedOn w:val="DefaultParagraphFont"/>
    <w:link w:val="CommentText"/>
    <w:uiPriority w:val="99"/>
    <w:semiHidden/>
    <w:rsid w:val="008B4422"/>
    <w:rPr>
      <w:sz w:val="20"/>
      <w:szCs w:val="20"/>
    </w:rPr>
  </w:style>
  <w:style w:type="paragraph" w:styleId="CommentSubject">
    <w:name w:val="annotation subject"/>
    <w:basedOn w:val="CommentText"/>
    <w:next w:val="CommentText"/>
    <w:link w:val="CommentSubjectChar"/>
    <w:uiPriority w:val="99"/>
    <w:semiHidden/>
    <w:unhideWhenUsed/>
    <w:rsid w:val="008B4422"/>
    <w:rPr>
      <w:b/>
      <w:bCs/>
    </w:rPr>
  </w:style>
  <w:style w:type="character" w:customStyle="1" w:styleId="CommentSubjectChar">
    <w:name w:val="Comment Subject Char"/>
    <w:basedOn w:val="CommentTextChar"/>
    <w:link w:val="CommentSubject"/>
    <w:uiPriority w:val="99"/>
    <w:semiHidden/>
    <w:rsid w:val="008B4422"/>
    <w:rPr>
      <w:b/>
      <w:bCs/>
      <w:sz w:val="20"/>
      <w:szCs w:val="20"/>
    </w:rPr>
  </w:style>
  <w:style w:type="paragraph" w:customStyle="1" w:styleId="Default">
    <w:name w:val="Default"/>
    <w:rsid w:val="00595606"/>
    <w:pPr>
      <w:autoSpaceDE w:val="0"/>
      <w:autoSpaceDN w:val="0"/>
      <w:adjustRightInd w:val="0"/>
      <w:spacing w:after="0" w:line="240" w:lineRule="auto"/>
    </w:pPr>
    <w:rPr>
      <w:rFonts w:ascii="EJMME B+ Univers" w:hAnsi="EJMME B+ Univers" w:cs="EJMME B+ Univers"/>
      <w:color w:val="000000"/>
      <w:sz w:val="24"/>
      <w:szCs w:val="24"/>
    </w:rPr>
  </w:style>
</w:styles>
</file>

<file path=word/webSettings.xml><?xml version="1.0" encoding="utf-8"?>
<w:webSettings xmlns:r="http://schemas.openxmlformats.org/officeDocument/2006/relationships" xmlns:w="http://schemas.openxmlformats.org/wordprocessingml/2006/main">
  <w:divs>
    <w:div w:id="53428589">
      <w:bodyDiv w:val="1"/>
      <w:marLeft w:val="0"/>
      <w:marRight w:val="0"/>
      <w:marTop w:val="0"/>
      <w:marBottom w:val="0"/>
      <w:divBdr>
        <w:top w:val="none" w:sz="0" w:space="0" w:color="auto"/>
        <w:left w:val="none" w:sz="0" w:space="0" w:color="auto"/>
        <w:bottom w:val="none" w:sz="0" w:space="0" w:color="auto"/>
        <w:right w:val="none" w:sz="0" w:space="0" w:color="auto"/>
      </w:divBdr>
    </w:div>
    <w:div w:id="872615322">
      <w:bodyDiv w:val="1"/>
      <w:marLeft w:val="0"/>
      <w:marRight w:val="0"/>
      <w:marTop w:val="0"/>
      <w:marBottom w:val="0"/>
      <w:divBdr>
        <w:top w:val="none" w:sz="0" w:space="0" w:color="auto"/>
        <w:left w:val="none" w:sz="0" w:space="0" w:color="auto"/>
        <w:bottom w:val="none" w:sz="0" w:space="0" w:color="auto"/>
        <w:right w:val="none" w:sz="0" w:space="0" w:color="auto"/>
      </w:divBdr>
    </w:div>
    <w:div w:id="915284296">
      <w:bodyDiv w:val="1"/>
      <w:marLeft w:val="0"/>
      <w:marRight w:val="0"/>
      <w:marTop w:val="0"/>
      <w:marBottom w:val="0"/>
      <w:divBdr>
        <w:top w:val="none" w:sz="0" w:space="0" w:color="auto"/>
        <w:left w:val="none" w:sz="0" w:space="0" w:color="auto"/>
        <w:bottom w:val="none" w:sz="0" w:space="0" w:color="auto"/>
        <w:right w:val="none" w:sz="0" w:space="0" w:color="auto"/>
      </w:divBdr>
    </w:div>
    <w:div w:id="1416248074">
      <w:bodyDiv w:val="1"/>
      <w:marLeft w:val="0"/>
      <w:marRight w:val="0"/>
      <w:marTop w:val="0"/>
      <w:marBottom w:val="0"/>
      <w:divBdr>
        <w:top w:val="none" w:sz="0" w:space="0" w:color="auto"/>
        <w:left w:val="none" w:sz="0" w:space="0" w:color="auto"/>
        <w:bottom w:val="none" w:sz="0" w:space="0" w:color="auto"/>
        <w:right w:val="none" w:sz="0" w:space="0" w:color="auto"/>
      </w:divBdr>
    </w:div>
    <w:div w:id="1466268877">
      <w:bodyDiv w:val="1"/>
      <w:marLeft w:val="0"/>
      <w:marRight w:val="0"/>
      <w:marTop w:val="0"/>
      <w:marBottom w:val="0"/>
      <w:divBdr>
        <w:top w:val="none" w:sz="0" w:space="0" w:color="auto"/>
        <w:left w:val="none" w:sz="0" w:space="0" w:color="auto"/>
        <w:bottom w:val="none" w:sz="0" w:space="0" w:color="auto"/>
        <w:right w:val="none" w:sz="0" w:space="0" w:color="auto"/>
      </w:divBdr>
    </w:div>
    <w:div w:id="159705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microsoft.com/office/2007/relationships/stylesWithEffects" Target="stylesWithEffects.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2676</ap:Words>
  <ap:Characters>14718</ap:Characters>
  <ap:DocSecurity>0</ap:DocSecurity>
  <ap:Lines>122</ap:Lines>
  <ap:Paragraphs>34</ap:Paragraphs>
  <ap:ScaleCrop>false</ap:ScaleCrop>
  <ap:HeadingPairs>
    <vt:vector baseType="variant" size="6">
      <vt:variant>
        <vt:lpstr>Titel</vt:lpstr>
      </vt:variant>
      <vt:variant>
        <vt:i4>1</vt:i4>
      </vt:variant>
      <vt:variant>
        <vt:lpstr>Title</vt:lpstr>
      </vt:variant>
      <vt:variant>
        <vt:i4>1</vt:i4>
      </vt:variant>
      <vt:variant>
        <vt:lpstr>Título</vt:lpstr>
      </vt:variant>
      <vt:variant>
        <vt:i4>1</vt:i4>
      </vt:variant>
    </vt:vector>
  </ap:HeadingPairs>
  <ap:TitlesOfParts>
    <vt:vector baseType="lpstr" size="3">
      <vt:lpstr/>
      <vt:lpstr/>
      <vt:lpstr/>
    </vt:vector>
  </ap:TitlesOfParts>
  <ap:LinksUpToDate>false</ap:LinksUpToDate>
  <ap:CharactersWithSpaces>17360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2012-11-22T10:45:00.0000000Z</lastPrinted>
  <dcterms:created xsi:type="dcterms:W3CDTF">2012-11-22T11:05:00.0000000Z</dcterms:created>
  <dcterms:modified xsi:type="dcterms:W3CDTF">2012-11-22T11:05:00.0000000Z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0x0101002DB62F0D38DF8341B35564D02C2BEF7D</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