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E17E2" w:rsidR="008E17E2" w:rsidP="00D02E8C" w:rsidRDefault="008E17E2" w14:paraId="5F9B817E" w14:textId="77777777">
      <w:pPr>
        <w:autoSpaceDE w:val="0"/>
        <w:autoSpaceDN w:val="0"/>
        <w:adjustRightInd w:val="0"/>
        <w:rPr>
          <w:b/>
          <w:bCs/>
        </w:rPr>
      </w:pPr>
      <w:bookmarkStart w:name="_GoBack" w:id="0"/>
      <w:bookmarkEnd w:id="0"/>
      <w:r w:rsidRPr="008E17E2">
        <w:rPr>
          <w:b/>
          <w:bCs/>
        </w:rPr>
        <w:t xml:space="preserve">Verdrag inzake de overbrenging van gevonniste personen tussen het Koninkrijk der Nederlanden en de Republiek Peru; </w:t>
      </w:r>
      <w:r w:rsidRPr="00CC68CE" w:rsidR="005B3EA7">
        <w:rPr>
          <w:b/>
          <w:bCs/>
        </w:rPr>
        <w:t>‘s-Gravenhage</w:t>
      </w:r>
      <w:r w:rsidRPr="00CC68CE">
        <w:rPr>
          <w:b/>
          <w:bCs/>
        </w:rPr>
        <w:t>, 12</w:t>
      </w:r>
      <w:r w:rsidRPr="008E17E2">
        <w:rPr>
          <w:b/>
          <w:bCs/>
        </w:rPr>
        <w:t xml:space="preserve"> mei 2011 (Trb. 2011, 109)</w:t>
      </w:r>
    </w:p>
    <w:p w:rsidRPr="008E17E2" w:rsidR="008E17E2" w:rsidP="00D02E8C" w:rsidRDefault="008E17E2" w14:paraId="6BC39BE8" w14:textId="77777777">
      <w:pPr>
        <w:autoSpaceDE w:val="0"/>
        <w:autoSpaceDN w:val="0"/>
        <w:adjustRightInd w:val="0"/>
        <w:rPr>
          <w:b/>
          <w:bCs/>
        </w:rPr>
      </w:pPr>
    </w:p>
    <w:p w:rsidR="00236855" w:rsidP="00D02E8C" w:rsidRDefault="00236855" w14:paraId="4A410B04" w14:textId="77777777">
      <w:pPr>
        <w:autoSpaceDE w:val="0"/>
        <w:autoSpaceDN w:val="0"/>
        <w:adjustRightInd w:val="0"/>
        <w:rPr>
          <w:b/>
          <w:bCs/>
        </w:rPr>
      </w:pPr>
    </w:p>
    <w:p w:rsidR="008E17E2" w:rsidP="00D02E8C" w:rsidRDefault="00C24FF3" w14:paraId="3C507C55" w14:textId="77777777">
      <w:pPr>
        <w:autoSpaceDE w:val="0"/>
        <w:autoSpaceDN w:val="0"/>
        <w:adjustRightInd w:val="0"/>
        <w:rPr>
          <w:b/>
          <w:bCs/>
        </w:rPr>
      </w:pPr>
      <w:r>
        <w:rPr>
          <w:b/>
          <w:bCs/>
        </w:rPr>
        <w:t xml:space="preserve">Toelichtende nota </w:t>
      </w:r>
    </w:p>
    <w:p w:rsidRPr="008E17E2" w:rsidR="00C24FF3" w:rsidP="00D02E8C" w:rsidRDefault="00C24FF3" w14:paraId="76BEA796" w14:textId="77777777">
      <w:pPr>
        <w:autoSpaceDE w:val="0"/>
        <w:autoSpaceDN w:val="0"/>
        <w:adjustRightInd w:val="0"/>
        <w:rPr>
          <w:b/>
          <w:bCs/>
        </w:rPr>
      </w:pPr>
    </w:p>
    <w:p w:rsidRPr="008E17E2" w:rsidR="008E17E2" w:rsidP="00D02E8C" w:rsidRDefault="008E17E2" w14:paraId="0B30161D" w14:textId="77777777">
      <w:pPr>
        <w:autoSpaceDE w:val="0"/>
        <w:autoSpaceDN w:val="0"/>
        <w:adjustRightInd w:val="0"/>
        <w:rPr>
          <w:b/>
          <w:bCs/>
        </w:rPr>
      </w:pPr>
      <w:r w:rsidRPr="008E17E2">
        <w:rPr>
          <w:b/>
          <w:bCs/>
        </w:rPr>
        <w:t>Inleiding</w:t>
      </w:r>
    </w:p>
    <w:p w:rsidRPr="008E17E2" w:rsidR="008E17E2" w:rsidP="00D02E8C" w:rsidRDefault="005B3EA7" w14:paraId="4ECD0A4F" w14:textId="77777777">
      <w:pPr>
        <w:autoSpaceDE w:val="0"/>
        <w:autoSpaceDN w:val="0"/>
        <w:adjustRightInd w:val="0"/>
        <w:rPr>
          <w:bCs/>
        </w:rPr>
      </w:pPr>
      <w:r>
        <w:rPr>
          <w:bCs/>
        </w:rPr>
        <w:t>Op 12 mei 2011 kwam</w:t>
      </w:r>
      <w:r w:rsidR="00161E0F">
        <w:rPr>
          <w:bCs/>
        </w:rPr>
        <w:t xml:space="preserve"> tot stand </w:t>
      </w:r>
      <w:r>
        <w:rPr>
          <w:bCs/>
        </w:rPr>
        <w:t>h</w:t>
      </w:r>
      <w:r w:rsidRPr="008E17E2">
        <w:rPr>
          <w:bCs/>
        </w:rPr>
        <w:t xml:space="preserve">et </w:t>
      </w:r>
      <w:r w:rsidRPr="008E17E2" w:rsidR="008E17E2">
        <w:rPr>
          <w:bCs/>
        </w:rPr>
        <w:t>Verdrag inzake de overbrenging van gevonniste personen tussen het Koninkrijk der Nederlanden en de Republiek Peru</w:t>
      </w:r>
      <w:r w:rsidR="00161E0F">
        <w:rPr>
          <w:bCs/>
        </w:rPr>
        <w:t xml:space="preserve"> (Trb. 2011, 109)</w:t>
      </w:r>
      <w:r w:rsidR="00F82796">
        <w:rPr>
          <w:bCs/>
        </w:rPr>
        <w:t xml:space="preserve"> </w:t>
      </w:r>
      <w:r>
        <w:rPr>
          <w:bCs/>
        </w:rPr>
        <w:t>(</w:t>
      </w:r>
      <w:r w:rsidRPr="00083E46" w:rsidR="00BB7C28">
        <w:rPr>
          <w:bCs/>
        </w:rPr>
        <w:t>hierna</w:t>
      </w:r>
      <w:r w:rsidRPr="00083E46">
        <w:rPr>
          <w:bCs/>
        </w:rPr>
        <w:t>:</w:t>
      </w:r>
      <w:r>
        <w:rPr>
          <w:bCs/>
        </w:rPr>
        <w:t xml:space="preserve"> het verdrag)</w:t>
      </w:r>
      <w:r w:rsidR="00161E0F">
        <w:rPr>
          <w:bCs/>
        </w:rPr>
        <w:t>.</w:t>
      </w:r>
      <w:r>
        <w:rPr>
          <w:bCs/>
        </w:rPr>
        <w:t xml:space="preserve"> </w:t>
      </w:r>
    </w:p>
    <w:p w:rsidRPr="008E17E2" w:rsidR="008E17E2" w:rsidP="00D02E8C" w:rsidRDefault="008E17E2" w14:paraId="2B11663F" w14:textId="77777777">
      <w:pPr>
        <w:autoSpaceDE w:val="0"/>
        <w:autoSpaceDN w:val="0"/>
        <w:adjustRightInd w:val="0"/>
        <w:rPr>
          <w:bCs/>
        </w:rPr>
      </w:pPr>
    </w:p>
    <w:p w:rsidR="005B3EA7" w:rsidP="00D02E8C" w:rsidRDefault="008E17E2" w14:paraId="558C47CA" w14:textId="77777777">
      <w:pPr>
        <w:pStyle w:val="FootnoteText"/>
        <w:rPr>
          <w:rFonts w:ascii="Times New Roman" w:hAnsi="Times New Roman"/>
          <w:sz w:val="24"/>
          <w:szCs w:val="24"/>
        </w:rPr>
      </w:pPr>
      <w:r w:rsidRPr="00B54F7E">
        <w:rPr>
          <w:rFonts w:ascii="Times New Roman" w:hAnsi="Times New Roman"/>
          <w:sz w:val="24"/>
          <w:szCs w:val="24"/>
        </w:rPr>
        <w:t xml:space="preserve">Op 7 november 2007 zond de toenmalige </w:t>
      </w:r>
      <w:r w:rsidR="004C13F6">
        <w:rPr>
          <w:rFonts w:ascii="Times New Roman" w:hAnsi="Times New Roman"/>
          <w:sz w:val="24"/>
          <w:szCs w:val="24"/>
        </w:rPr>
        <w:t>M</w:t>
      </w:r>
      <w:r w:rsidRPr="00B54F7E">
        <w:rPr>
          <w:rFonts w:ascii="Times New Roman" w:hAnsi="Times New Roman"/>
          <w:sz w:val="24"/>
          <w:szCs w:val="24"/>
        </w:rPr>
        <w:t xml:space="preserve">inister van Justitie aan de Tweede Kamer het beleidskader betreffende de overdracht en overname van de tenuitvoerlegging van strafvonnissen </w:t>
      </w:r>
      <w:r w:rsidR="00FE697A">
        <w:rPr>
          <w:rFonts w:ascii="Times New Roman" w:hAnsi="Times New Roman"/>
          <w:sz w:val="24"/>
          <w:szCs w:val="24"/>
        </w:rPr>
        <w:t xml:space="preserve">naar </w:t>
      </w:r>
      <w:r w:rsidR="004C13F6">
        <w:rPr>
          <w:rFonts w:ascii="Times New Roman" w:hAnsi="Times New Roman"/>
          <w:sz w:val="24"/>
          <w:szCs w:val="24"/>
        </w:rPr>
        <w:t xml:space="preserve">de Tweede Kamer der Staten-Generaal </w:t>
      </w:r>
      <w:r w:rsidRPr="00B54F7E" w:rsidR="004C13F6">
        <w:rPr>
          <w:rFonts w:ascii="Times New Roman" w:hAnsi="Times New Roman"/>
          <w:sz w:val="24"/>
          <w:szCs w:val="24"/>
        </w:rPr>
        <w:t>(Kamerstukken II 2007/08, 31 200 VI, nr. 30)</w:t>
      </w:r>
      <w:r w:rsidRPr="00B54F7E">
        <w:rPr>
          <w:rFonts w:ascii="Times New Roman" w:hAnsi="Times New Roman"/>
          <w:sz w:val="24"/>
          <w:szCs w:val="24"/>
        </w:rPr>
        <w:t xml:space="preserve">. Naar aanleiding daarvan vond op 13 februari 2008 een Algemeen Overleg plaats (Kamerstukken II 2008/09, 31 200 VI, nr. 115). In dat overleg kondigde de </w:t>
      </w:r>
      <w:r w:rsidRPr="00B54F7E" w:rsidR="00073B3B">
        <w:rPr>
          <w:rFonts w:ascii="Times New Roman" w:hAnsi="Times New Roman"/>
          <w:sz w:val="24"/>
          <w:szCs w:val="24"/>
        </w:rPr>
        <w:t>toe</w:t>
      </w:r>
      <w:r w:rsidRPr="00B54F7E">
        <w:rPr>
          <w:rFonts w:ascii="Times New Roman" w:hAnsi="Times New Roman"/>
          <w:sz w:val="24"/>
          <w:szCs w:val="24"/>
        </w:rPr>
        <w:t xml:space="preserve">nmalige </w:t>
      </w:r>
      <w:r w:rsidR="004C13F6">
        <w:rPr>
          <w:rFonts w:ascii="Times New Roman" w:hAnsi="Times New Roman"/>
          <w:sz w:val="24"/>
          <w:szCs w:val="24"/>
        </w:rPr>
        <w:t>M</w:t>
      </w:r>
      <w:r w:rsidRPr="00B54F7E">
        <w:rPr>
          <w:rFonts w:ascii="Times New Roman" w:hAnsi="Times New Roman"/>
          <w:sz w:val="24"/>
          <w:szCs w:val="24"/>
        </w:rPr>
        <w:t xml:space="preserve">inister van Justitie aan dat hij alle landen waar Nederlandse onderdanen waren gedetineerd en waarmee geen verdragsrelatie bestond, de vraag zou doen voorleggen over de wijze waarop deze relatie tot stand zou kunnen worden gebracht. </w:t>
      </w:r>
      <w:r w:rsidRPr="005B3EA7" w:rsidR="005B3EA7">
        <w:rPr>
          <w:rFonts w:ascii="Times New Roman" w:hAnsi="Times New Roman"/>
          <w:sz w:val="24"/>
          <w:szCs w:val="24"/>
        </w:rPr>
        <w:t>De resultaten daarvan zijn gepubliceerd in Kamerstukken II 2008/09, 30 010, nr. 13</w:t>
      </w:r>
      <w:r w:rsidR="005B3EA7">
        <w:rPr>
          <w:rFonts w:ascii="Times New Roman" w:hAnsi="Times New Roman"/>
          <w:sz w:val="24"/>
          <w:szCs w:val="24"/>
        </w:rPr>
        <w:t xml:space="preserve">. </w:t>
      </w:r>
    </w:p>
    <w:p w:rsidR="00161E0F" w:rsidP="00D02E8C" w:rsidRDefault="00161E0F" w14:paraId="01AB0679" w14:textId="77777777">
      <w:pPr>
        <w:pStyle w:val="FootnoteText"/>
        <w:rPr>
          <w:rFonts w:ascii="Times New Roman" w:hAnsi="Times New Roman"/>
          <w:sz w:val="24"/>
          <w:szCs w:val="24"/>
        </w:rPr>
      </w:pPr>
    </w:p>
    <w:p w:rsidR="00A91A27" w:rsidP="00D02E8C" w:rsidRDefault="008E17E2" w14:paraId="19240DA0" w14:textId="77777777">
      <w:pPr>
        <w:pStyle w:val="FootnoteText"/>
        <w:rPr>
          <w:rFonts w:ascii="Times New Roman" w:hAnsi="Times New Roman"/>
          <w:sz w:val="24"/>
          <w:szCs w:val="24"/>
        </w:rPr>
      </w:pPr>
      <w:r w:rsidRPr="00B54F7E">
        <w:rPr>
          <w:rFonts w:ascii="Times New Roman" w:hAnsi="Times New Roman"/>
          <w:sz w:val="24"/>
          <w:szCs w:val="24"/>
        </w:rPr>
        <w:t>De Republiek Peru (</w:t>
      </w:r>
      <w:r w:rsidRPr="00083E46" w:rsidR="00BB7C28">
        <w:rPr>
          <w:rFonts w:ascii="Times New Roman" w:hAnsi="Times New Roman"/>
          <w:sz w:val="24"/>
          <w:szCs w:val="24"/>
        </w:rPr>
        <w:t>hierna</w:t>
      </w:r>
      <w:r w:rsidRPr="00083E46">
        <w:rPr>
          <w:rFonts w:ascii="Times New Roman" w:hAnsi="Times New Roman"/>
          <w:sz w:val="24"/>
          <w:szCs w:val="24"/>
        </w:rPr>
        <w:t>:</w:t>
      </w:r>
      <w:r w:rsidRPr="00B54F7E">
        <w:rPr>
          <w:rFonts w:ascii="Times New Roman" w:hAnsi="Times New Roman"/>
          <w:sz w:val="24"/>
          <w:szCs w:val="24"/>
        </w:rPr>
        <w:t xml:space="preserve"> Peru), waar </w:t>
      </w:r>
      <w:r w:rsidRPr="00B54F7E" w:rsidR="00AB699C">
        <w:rPr>
          <w:rFonts w:ascii="Times New Roman" w:hAnsi="Times New Roman"/>
          <w:sz w:val="24"/>
          <w:szCs w:val="24"/>
        </w:rPr>
        <w:t xml:space="preserve">toen </w:t>
      </w:r>
      <w:r w:rsidRPr="00B54F7E">
        <w:rPr>
          <w:rFonts w:ascii="Times New Roman" w:hAnsi="Times New Roman"/>
          <w:sz w:val="24"/>
          <w:szCs w:val="24"/>
        </w:rPr>
        <w:t xml:space="preserve">ruim </w:t>
      </w:r>
      <w:r w:rsidRPr="00B54F7E" w:rsidR="00AB699C">
        <w:rPr>
          <w:rFonts w:ascii="Times New Roman" w:hAnsi="Times New Roman"/>
          <w:sz w:val="24"/>
          <w:szCs w:val="24"/>
        </w:rPr>
        <w:t>100</w:t>
      </w:r>
      <w:r w:rsidRPr="00B54F7E">
        <w:rPr>
          <w:rFonts w:ascii="Times New Roman" w:hAnsi="Times New Roman"/>
          <w:sz w:val="24"/>
          <w:szCs w:val="24"/>
        </w:rPr>
        <w:t xml:space="preserve"> Nederlanders </w:t>
      </w:r>
      <w:r w:rsidR="00831FF3">
        <w:rPr>
          <w:rFonts w:ascii="Times New Roman" w:hAnsi="Times New Roman"/>
          <w:sz w:val="24"/>
          <w:szCs w:val="24"/>
        </w:rPr>
        <w:t>waren</w:t>
      </w:r>
      <w:r w:rsidRPr="00B54F7E">
        <w:rPr>
          <w:rFonts w:ascii="Times New Roman" w:hAnsi="Times New Roman"/>
          <w:sz w:val="24"/>
          <w:szCs w:val="24"/>
        </w:rPr>
        <w:t xml:space="preserve"> gedetineerd</w:t>
      </w:r>
      <w:r w:rsidR="00831FF3">
        <w:rPr>
          <w:rFonts w:ascii="Times New Roman" w:hAnsi="Times New Roman"/>
          <w:sz w:val="24"/>
          <w:szCs w:val="24"/>
        </w:rPr>
        <w:t>,</w:t>
      </w:r>
      <w:r w:rsidRPr="00B54F7E">
        <w:rPr>
          <w:rFonts w:ascii="Times New Roman" w:hAnsi="Times New Roman"/>
          <w:sz w:val="24"/>
          <w:szCs w:val="24"/>
        </w:rPr>
        <w:t xml:space="preserve"> behoorde tot die landen.</w:t>
      </w:r>
      <w:r w:rsidR="00831FF3">
        <w:rPr>
          <w:rFonts w:ascii="Times New Roman" w:hAnsi="Times New Roman"/>
          <w:sz w:val="24"/>
          <w:szCs w:val="24"/>
        </w:rPr>
        <w:t xml:space="preserve"> G</w:t>
      </w:r>
      <w:r w:rsidRPr="00B54F7E">
        <w:rPr>
          <w:rFonts w:ascii="Times New Roman" w:hAnsi="Times New Roman"/>
          <w:sz w:val="24"/>
          <w:szCs w:val="24"/>
        </w:rPr>
        <w:t xml:space="preserve">elet op de voorkeur van het Koninkrijk voor toetreding door </w:t>
      </w:r>
      <w:r w:rsidR="004C13F6">
        <w:rPr>
          <w:rFonts w:ascii="Times New Roman" w:hAnsi="Times New Roman"/>
          <w:sz w:val="24"/>
          <w:szCs w:val="24"/>
        </w:rPr>
        <w:t xml:space="preserve">derde </w:t>
      </w:r>
      <w:r w:rsidRPr="00B54F7E">
        <w:rPr>
          <w:rFonts w:ascii="Times New Roman" w:hAnsi="Times New Roman"/>
          <w:sz w:val="24"/>
          <w:szCs w:val="24"/>
        </w:rPr>
        <w:t>landen tot het op 21 maart 1983 in het kader van de Raad van Europa te Straatsburg tot stand gekomen Verdrag inzake de overbrenging van gevonniste personen (Trb. 1983, 74) (</w:t>
      </w:r>
      <w:r w:rsidRPr="00083E46" w:rsidR="00FA1938">
        <w:rPr>
          <w:rFonts w:ascii="Times New Roman" w:hAnsi="Times New Roman"/>
          <w:sz w:val="24"/>
          <w:szCs w:val="24"/>
        </w:rPr>
        <w:t>hierna</w:t>
      </w:r>
      <w:r w:rsidRPr="00083E46">
        <w:rPr>
          <w:rFonts w:ascii="Times New Roman" w:hAnsi="Times New Roman"/>
          <w:sz w:val="24"/>
          <w:szCs w:val="24"/>
        </w:rPr>
        <w:t>:</w:t>
      </w:r>
      <w:r w:rsidRPr="00B54F7E">
        <w:rPr>
          <w:rFonts w:ascii="Times New Roman" w:hAnsi="Times New Roman"/>
          <w:sz w:val="24"/>
          <w:szCs w:val="24"/>
        </w:rPr>
        <w:t xml:space="preserve"> het RvE-verdrag), </w:t>
      </w:r>
      <w:r w:rsidR="00831FF3">
        <w:rPr>
          <w:rFonts w:ascii="Times New Roman" w:hAnsi="Times New Roman"/>
          <w:sz w:val="24"/>
          <w:szCs w:val="24"/>
        </w:rPr>
        <w:t xml:space="preserve">is </w:t>
      </w:r>
      <w:r w:rsidRPr="00B54F7E">
        <w:rPr>
          <w:rFonts w:ascii="Times New Roman" w:hAnsi="Times New Roman"/>
          <w:sz w:val="24"/>
          <w:szCs w:val="24"/>
        </w:rPr>
        <w:t xml:space="preserve">ook </w:t>
      </w:r>
      <w:r w:rsidR="004C13F6">
        <w:rPr>
          <w:rFonts w:ascii="Times New Roman" w:hAnsi="Times New Roman"/>
          <w:sz w:val="24"/>
          <w:szCs w:val="24"/>
        </w:rPr>
        <w:t xml:space="preserve">aan </w:t>
      </w:r>
      <w:r w:rsidRPr="00B54F7E">
        <w:rPr>
          <w:rFonts w:ascii="Times New Roman" w:hAnsi="Times New Roman"/>
          <w:sz w:val="24"/>
          <w:szCs w:val="24"/>
        </w:rPr>
        <w:t xml:space="preserve">Peru </w:t>
      </w:r>
      <w:r w:rsidR="004C13F6">
        <w:rPr>
          <w:rFonts w:ascii="Times New Roman" w:hAnsi="Times New Roman"/>
          <w:sz w:val="24"/>
          <w:szCs w:val="24"/>
        </w:rPr>
        <w:t xml:space="preserve">gevraagd of het </w:t>
      </w:r>
      <w:r w:rsidRPr="00B54F7E">
        <w:rPr>
          <w:rFonts w:ascii="Times New Roman" w:hAnsi="Times New Roman"/>
          <w:sz w:val="24"/>
          <w:szCs w:val="24"/>
        </w:rPr>
        <w:t>zou willen toetreden tot dat verdrag. Dat bleek niet het geval</w:t>
      </w:r>
      <w:r w:rsidRPr="00B54F7E" w:rsidR="00073B3B">
        <w:rPr>
          <w:rFonts w:ascii="Times New Roman" w:hAnsi="Times New Roman"/>
          <w:sz w:val="24"/>
          <w:szCs w:val="24"/>
        </w:rPr>
        <w:t xml:space="preserve">, omdat Peru </w:t>
      </w:r>
      <w:r w:rsidR="004C13F6">
        <w:rPr>
          <w:rFonts w:ascii="Times New Roman" w:hAnsi="Times New Roman"/>
          <w:sz w:val="24"/>
          <w:szCs w:val="24"/>
        </w:rPr>
        <w:t>steld</w:t>
      </w:r>
      <w:r w:rsidR="00831FF3">
        <w:rPr>
          <w:rFonts w:ascii="Times New Roman" w:hAnsi="Times New Roman"/>
          <w:sz w:val="24"/>
          <w:szCs w:val="24"/>
        </w:rPr>
        <w:t>e dat toetreding tot het RvE-</w:t>
      </w:r>
      <w:r w:rsidRPr="00B54F7E" w:rsidR="00073B3B">
        <w:rPr>
          <w:rFonts w:ascii="Times New Roman" w:hAnsi="Times New Roman"/>
          <w:sz w:val="24"/>
          <w:szCs w:val="24"/>
        </w:rPr>
        <w:t xml:space="preserve">verdrag </w:t>
      </w:r>
      <w:r w:rsidR="00831FF3">
        <w:rPr>
          <w:rFonts w:ascii="Times New Roman" w:hAnsi="Times New Roman"/>
          <w:sz w:val="24"/>
          <w:szCs w:val="24"/>
        </w:rPr>
        <w:t>grondwettelijke bezwaren zou opleveren</w:t>
      </w:r>
      <w:r w:rsidRPr="00B54F7E" w:rsidR="00073B3B">
        <w:rPr>
          <w:rFonts w:ascii="Times New Roman" w:hAnsi="Times New Roman"/>
          <w:sz w:val="24"/>
          <w:szCs w:val="24"/>
        </w:rPr>
        <w:t xml:space="preserve">. In juli 2008 bleek in een overleg van de </w:t>
      </w:r>
      <w:r w:rsidR="00831FF3">
        <w:rPr>
          <w:rFonts w:ascii="Times New Roman" w:hAnsi="Times New Roman"/>
          <w:sz w:val="24"/>
          <w:szCs w:val="24"/>
        </w:rPr>
        <w:t>toen</w:t>
      </w:r>
      <w:r w:rsidRPr="00B54F7E" w:rsidR="00073B3B">
        <w:rPr>
          <w:rFonts w:ascii="Times New Roman" w:hAnsi="Times New Roman"/>
          <w:sz w:val="24"/>
          <w:szCs w:val="24"/>
        </w:rPr>
        <w:t xml:space="preserve">malige </w:t>
      </w:r>
      <w:r w:rsidR="005B3EA7">
        <w:rPr>
          <w:rFonts w:ascii="Times New Roman" w:hAnsi="Times New Roman"/>
          <w:sz w:val="24"/>
          <w:szCs w:val="24"/>
        </w:rPr>
        <w:t>M</w:t>
      </w:r>
      <w:r w:rsidRPr="00B54F7E" w:rsidR="005B3EA7">
        <w:rPr>
          <w:rFonts w:ascii="Times New Roman" w:hAnsi="Times New Roman"/>
          <w:sz w:val="24"/>
          <w:szCs w:val="24"/>
        </w:rPr>
        <w:t xml:space="preserve">inister </w:t>
      </w:r>
      <w:r w:rsidRPr="00B54F7E" w:rsidR="00073B3B">
        <w:rPr>
          <w:rFonts w:ascii="Times New Roman" w:hAnsi="Times New Roman"/>
          <w:sz w:val="24"/>
          <w:szCs w:val="24"/>
        </w:rPr>
        <w:t xml:space="preserve">van Buitenlandse </w:t>
      </w:r>
      <w:r w:rsidR="004C13F6">
        <w:rPr>
          <w:rFonts w:ascii="Times New Roman" w:hAnsi="Times New Roman"/>
          <w:sz w:val="24"/>
          <w:szCs w:val="24"/>
        </w:rPr>
        <w:t>Z</w:t>
      </w:r>
      <w:r w:rsidRPr="00B54F7E" w:rsidR="00073B3B">
        <w:rPr>
          <w:rFonts w:ascii="Times New Roman" w:hAnsi="Times New Roman"/>
          <w:sz w:val="24"/>
          <w:szCs w:val="24"/>
        </w:rPr>
        <w:t>aken met zijn Peruaanse ambtgenoot</w:t>
      </w:r>
      <w:r w:rsidR="00831FF3">
        <w:rPr>
          <w:rFonts w:ascii="Times New Roman" w:hAnsi="Times New Roman"/>
          <w:sz w:val="24"/>
          <w:szCs w:val="24"/>
        </w:rPr>
        <w:t>,</w:t>
      </w:r>
      <w:r w:rsidRPr="00B54F7E" w:rsidR="00073B3B">
        <w:rPr>
          <w:rFonts w:ascii="Times New Roman" w:hAnsi="Times New Roman"/>
          <w:sz w:val="24"/>
          <w:szCs w:val="24"/>
        </w:rPr>
        <w:t xml:space="preserve"> dat Peru wegens het grote aantal Nederlandse gedetineerden in Peru </w:t>
      </w:r>
      <w:r w:rsidRPr="00083E46" w:rsidR="00BB7C28">
        <w:rPr>
          <w:rFonts w:ascii="Times New Roman" w:hAnsi="Times New Roman"/>
          <w:sz w:val="24"/>
          <w:szCs w:val="24"/>
        </w:rPr>
        <w:t xml:space="preserve">er </w:t>
      </w:r>
      <w:r w:rsidRPr="00083E46" w:rsidR="00073B3B">
        <w:rPr>
          <w:rFonts w:ascii="Times New Roman" w:hAnsi="Times New Roman"/>
          <w:sz w:val="24"/>
          <w:szCs w:val="24"/>
        </w:rPr>
        <w:t>sterk</w:t>
      </w:r>
      <w:r w:rsidRPr="00B54F7E" w:rsidR="00073B3B">
        <w:rPr>
          <w:rFonts w:ascii="Times New Roman" w:hAnsi="Times New Roman"/>
          <w:sz w:val="24"/>
          <w:szCs w:val="24"/>
        </w:rPr>
        <w:t xml:space="preserve"> aan hechtte om met het Koninkrijk een bilateraal verdrag te sluiten. Daarbij werd er op gewezen dat de Peruaanse nationale wetgeving op het terrein van de </w:t>
      </w:r>
      <w:r w:rsidR="00831FF3">
        <w:rPr>
          <w:rFonts w:ascii="Times New Roman" w:hAnsi="Times New Roman"/>
          <w:sz w:val="24"/>
          <w:szCs w:val="24"/>
        </w:rPr>
        <w:t>overdracht van tenuitvoerlegging van strafvonnissen</w:t>
      </w:r>
      <w:r w:rsidRPr="00B54F7E" w:rsidR="00073B3B">
        <w:rPr>
          <w:rFonts w:ascii="Times New Roman" w:hAnsi="Times New Roman"/>
          <w:sz w:val="24"/>
          <w:szCs w:val="24"/>
        </w:rPr>
        <w:t xml:space="preserve"> </w:t>
      </w:r>
      <w:r w:rsidR="004C13F6">
        <w:rPr>
          <w:rFonts w:ascii="Times New Roman" w:hAnsi="Times New Roman"/>
          <w:sz w:val="24"/>
          <w:szCs w:val="24"/>
        </w:rPr>
        <w:t xml:space="preserve">was gewijzigd, </w:t>
      </w:r>
      <w:r w:rsidRPr="00B54F7E" w:rsidR="00073B3B">
        <w:rPr>
          <w:rFonts w:ascii="Times New Roman" w:hAnsi="Times New Roman"/>
          <w:sz w:val="24"/>
          <w:szCs w:val="24"/>
        </w:rPr>
        <w:t xml:space="preserve">waardoor de in het verleden bestaande obstakels bij de behandeling van verzoeken </w:t>
      </w:r>
      <w:r w:rsidR="00831FF3">
        <w:rPr>
          <w:rFonts w:ascii="Times New Roman" w:hAnsi="Times New Roman"/>
          <w:sz w:val="24"/>
          <w:szCs w:val="24"/>
        </w:rPr>
        <w:t>tot over</w:t>
      </w:r>
      <w:r w:rsidR="00FA5351">
        <w:rPr>
          <w:rFonts w:ascii="Times New Roman" w:hAnsi="Times New Roman"/>
          <w:sz w:val="24"/>
          <w:szCs w:val="24"/>
        </w:rPr>
        <w:t xml:space="preserve">brenging van gedetineerden </w:t>
      </w:r>
      <w:r w:rsidRPr="00B54F7E" w:rsidR="00073B3B">
        <w:rPr>
          <w:rFonts w:ascii="Times New Roman" w:hAnsi="Times New Roman"/>
          <w:sz w:val="24"/>
          <w:szCs w:val="24"/>
        </w:rPr>
        <w:t xml:space="preserve">waren weggenomen. Kort daarna werd van Peru een voorstel voor een bilateraal verdrag ontvangen. Aangezien dit </w:t>
      </w:r>
      <w:r w:rsidR="00161E0F">
        <w:rPr>
          <w:rFonts w:ascii="Times New Roman" w:hAnsi="Times New Roman"/>
          <w:sz w:val="24"/>
          <w:szCs w:val="24"/>
        </w:rPr>
        <w:t xml:space="preserve">voorstel </w:t>
      </w:r>
      <w:r w:rsidRPr="00B54F7E" w:rsidR="00073B3B">
        <w:rPr>
          <w:rFonts w:ascii="Times New Roman" w:hAnsi="Times New Roman"/>
          <w:sz w:val="24"/>
          <w:szCs w:val="24"/>
        </w:rPr>
        <w:t xml:space="preserve">afweek van de </w:t>
      </w:r>
      <w:r w:rsidR="004C13F6">
        <w:rPr>
          <w:rFonts w:ascii="Times New Roman" w:hAnsi="Times New Roman"/>
          <w:sz w:val="24"/>
          <w:szCs w:val="24"/>
        </w:rPr>
        <w:t xml:space="preserve">bilaterale </w:t>
      </w:r>
      <w:r w:rsidRPr="00B54F7E" w:rsidR="00073B3B">
        <w:rPr>
          <w:rFonts w:ascii="Times New Roman" w:hAnsi="Times New Roman"/>
          <w:sz w:val="24"/>
          <w:szCs w:val="24"/>
        </w:rPr>
        <w:t>verdragen die het Koninkrijk tot nu toe had gesloten, is in november 2008 een tegenvoorstel gedaan. In de eerste helft van 2009 is daarop een schriftelijke reactie gevolgd van Peruaanse zij</w:t>
      </w:r>
      <w:r w:rsidRPr="00B54F7E" w:rsidR="00CE670F">
        <w:rPr>
          <w:rFonts w:ascii="Times New Roman" w:hAnsi="Times New Roman"/>
          <w:sz w:val="24"/>
          <w:szCs w:val="24"/>
        </w:rPr>
        <w:t>d</w:t>
      </w:r>
      <w:r w:rsidRPr="00B54F7E" w:rsidR="00073B3B">
        <w:rPr>
          <w:rFonts w:ascii="Times New Roman" w:hAnsi="Times New Roman"/>
          <w:sz w:val="24"/>
          <w:szCs w:val="24"/>
        </w:rPr>
        <w:t>e</w:t>
      </w:r>
      <w:r w:rsidRPr="00B54F7E" w:rsidR="00CE670F">
        <w:rPr>
          <w:rFonts w:ascii="Times New Roman" w:hAnsi="Times New Roman"/>
          <w:sz w:val="24"/>
          <w:szCs w:val="24"/>
        </w:rPr>
        <w:t>, waaruit bleek dat mondelinge onderhandelingen noodzakelijk war</w:t>
      </w:r>
      <w:r w:rsidRPr="00B54F7E" w:rsidR="0049589B">
        <w:rPr>
          <w:rFonts w:ascii="Times New Roman" w:hAnsi="Times New Roman"/>
          <w:sz w:val="24"/>
          <w:szCs w:val="24"/>
        </w:rPr>
        <w:t>en</w:t>
      </w:r>
      <w:r w:rsidRPr="00B54F7E" w:rsidR="00CE670F">
        <w:rPr>
          <w:rFonts w:ascii="Times New Roman" w:hAnsi="Times New Roman"/>
          <w:sz w:val="24"/>
          <w:szCs w:val="24"/>
        </w:rPr>
        <w:t xml:space="preserve">. Die </w:t>
      </w:r>
      <w:r w:rsidRPr="00B54F7E" w:rsidR="0049589B">
        <w:rPr>
          <w:rFonts w:ascii="Times New Roman" w:hAnsi="Times New Roman"/>
          <w:sz w:val="24"/>
          <w:szCs w:val="24"/>
        </w:rPr>
        <w:t xml:space="preserve">onderhandelingen </w:t>
      </w:r>
      <w:r w:rsidRPr="00B54F7E" w:rsidR="00CE670F">
        <w:rPr>
          <w:rFonts w:ascii="Times New Roman" w:hAnsi="Times New Roman"/>
          <w:sz w:val="24"/>
          <w:szCs w:val="24"/>
        </w:rPr>
        <w:t>zijn in september 2009 gevoerd</w:t>
      </w:r>
      <w:r w:rsidRPr="00B54F7E" w:rsidR="0049589B">
        <w:rPr>
          <w:rFonts w:ascii="Times New Roman" w:hAnsi="Times New Roman"/>
          <w:sz w:val="24"/>
          <w:szCs w:val="24"/>
        </w:rPr>
        <w:t xml:space="preserve"> en </w:t>
      </w:r>
      <w:r w:rsidRPr="00B54F7E" w:rsidR="00CE670F">
        <w:rPr>
          <w:rFonts w:ascii="Times New Roman" w:hAnsi="Times New Roman"/>
          <w:sz w:val="24"/>
          <w:szCs w:val="24"/>
        </w:rPr>
        <w:t>verliepen voorspoedig</w:t>
      </w:r>
      <w:r w:rsidRPr="00B54F7E" w:rsidR="0049589B">
        <w:rPr>
          <w:rFonts w:ascii="Times New Roman" w:hAnsi="Times New Roman"/>
          <w:sz w:val="24"/>
          <w:szCs w:val="24"/>
        </w:rPr>
        <w:t>. Toch</w:t>
      </w:r>
      <w:r w:rsidRPr="00B54F7E" w:rsidR="00CE670F">
        <w:rPr>
          <w:rFonts w:ascii="Times New Roman" w:hAnsi="Times New Roman"/>
          <w:sz w:val="24"/>
          <w:szCs w:val="24"/>
        </w:rPr>
        <w:t xml:space="preserve"> konden </w:t>
      </w:r>
      <w:r w:rsidRPr="00B54F7E" w:rsidR="0049589B">
        <w:rPr>
          <w:rFonts w:ascii="Times New Roman" w:hAnsi="Times New Roman"/>
          <w:sz w:val="24"/>
          <w:szCs w:val="24"/>
        </w:rPr>
        <w:t xml:space="preserve">ze </w:t>
      </w:r>
      <w:r w:rsidRPr="00B54F7E" w:rsidR="00CE670F">
        <w:rPr>
          <w:rFonts w:ascii="Times New Roman" w:hAnsi="Times New Roman"/>
          <w:sz w:val="24"/>
          <w:szCs w:val="24"/>
        </w:rPr>
        <w:t xml:space="preserve">niet </w:t>
      </w:r>
      <w:r w:rsidR="00831FF3">
        <w:rPr>
          <w:rFonts w:ascii="Times New Roman" w:hAnsi="Times New Roman"/>
          <w:sz w:val="24"/>
          <w:szCs w:val="24"/>
        </w:rPr>
        <w:t xml:space="preserve">meteen succesvol </w:t>
      </w:r>
      <w:r w:rsidRPr="00B54F7E" w:rsidR="00CE670F">
        <w:rPr>
          <w:rFonts w:ascii="Times New Roman" w:hAnsi="Times New Roman"/>
          <w:sz w:val="24"/>
          <w:szCs w:val="24"/>
        </w:rPr>
        <w:t>worden afgesloten</w:t>
      </w:r>
      <w:r w:rsidR="00831FF3">
        <w:rPr>
          <w:rFonts w:ascii="Times New Roman" w:hAnsi="Times New Roman"/>
          <w:sz w:val="24"/>
          <w:szCs w:val="24"/>
        </w:rPr>
        <w:t xml:space="preserve">. Binnen </w:t>
      </w:r>
      <w:r w:rsidRPr="00B54F7E" w:rsidR="00CE670F">
        <w:rPr>
          <w:rFonts w:ascii="Times New Roman" w:hAnsi="Times New Roman"/>
          <w:sz w:val="24"/>
          <w:szCs w:val="24"/>
        </w:rPr>
        <w:t xml:space="preserve">de Peruaanse delegatie </w:t>
      </w:r>
      <w:r w:rsidR="00FA5351">
        <w:rPr>
          <w:rFonts w:ascii="Times New Roman" w:hAnsi="Times New Roman"/>
          <w:sz w:val="24"/>
          <w:szCs w:val="24"/>
        </w:rPr>
        <w:t>ont</w:t>
      </w:r>
      <w:r w:rsidR="00831FF3">
        <w:rPr>
          <w:rFonts w:ascii="Times New Roman" w:hAnsi="Times New Roman"/>
          <w:sz w:val="24"/>
          <w:szCs w:val="24"/>
        </w:rPr>
        <w:t xml:space="preserve">stond </w:t>
      </w:r>
      <w:r w:rsidR="00FA5351">
        <w:rPr>
          <w:rFonts w:ascii="Times New Roman" w:hAnsi="Times New Roman"/>
          <w:sz w:val="24"/>
          <w:szCs w:val="24"/>
        </w:rPr>
        <w:t xml:space="preserve">tijdens de onderhandelingen </w:t>
      </w:r>
      <w:r w:rsidR="00831FF3">
        <w:rPr>
          <w:rFonts w:ascii="Times New Roman" w:hAnsi="Times New Roman"/>
          <w:sz w:val="24"/>
          <w:szCs w:val="24"/>
        </w:rPr>
        <w:t xml:space="preserve">een verschil van inzicht </w:t>
      </w:r>
      <w:r w:rsidRPr="00B54F7E" w:rsidR="00CE670F">
        <w:rPr>
          <w:rFonts w:ascii="Times New Roman" w:hAnsi="Times New Roman"/>
          <w:sz w:val="24"/>
          <w:szCs w:val="24"/>
        </w:rPr>
        <w:t xml:space="preserve">over </w:t>
      </w:r>
      <w:r w:rsidRPr="00B54F7E" w:rsidR="0049589B">
        <w:rPr>
          <w:rFonts w:ascii="Times New Roman" w:hAnsi="Times New Roman"/>
          <w:sz w:val="24"/>
          <w:szCs w:val="24"/>
        </w:rPr>
        <w:t xml:space="preserve">de </w:t>
      </w:r>
      <w:r w:rsidR="00831FF3">
        <w:rPr>
          <w:rFonts w:ascii="Times New Roman" w:hAnsi="Times New Roman"/>
          <w:sz w:val="24"/>
          <w:szCs w:val="24"/>
        </w:rPr>
        <w:t>verenigbaarheid van twee onderdelen van de onderhandelde tekst met het Peruaanse constitutionele recht</w:t>
      </w:r>
      <w:r w:rsidR="004C13F6">
        <w:rPr>
          <w:rFonts w:ascii="Times New Roman" w:hAnsi="Times New Roman"/>
          <w:sz w:val="24"/>
          <w:szCs w:val="24"/>
        </w:rPr>
        <w:t>.</w:t>
      </w:r>
      <w:r w:rsidRPr="00B54F7E" w:rsidR="00CE670F">
        <w:rPr>
          <w:rFonts w:ascii="Times New Roman" w:hAnsi="Times New Roman"/>
          <w:sz w:val="24"/>
          <w:szCs w:val="24"/>
        </w:rPr>
        <w:t xml:space="preserve"> </w:t>
      </w:r>
      <w:r w:rsidRPr="00B54F7E" w:rsidR="0049589B">
        <w:rPr>
          <w:rFonts w:ascii="Times New Roman" w:hAnsi="Times New Roman"/>
          <w:sz w:val="24"/>
          <w:szCs w:val="24"/>
        </w:rPr>
        <w:t xml:space="preserve">Vervolgens </w:t>
      </w:r>
      <w:r w:rsidRPr="00B54F7E" w:rsidR="00CE670F">
        <w:rPr>
          <w:rFonts w:ascii="Times New Roman" w:hAnsi="Times New Roman"/>
          <w:sz w:val="24"/>
          <w:szCs w:val="24"/>
        </w:rPr>
        <w:t xml:space="preserve">heeft </w:t>
      </w:r>
      <w:r w:rsidRPr="00B54F7E" w:rsidR="0049589B">
        <w:rPr>
          <w:rFonts w:ascii="Times New Roman" w:hAnsi="Times New Roman"/>
          <w:sz w:val="24"/>
          <w:szCs w:val="24"/>
        </w:rPr>
        <w:t xml:space="preserve">in Peru </w:t>
      </w:r>
      <w:r w:rsidRPr="00B54F7E" w:rsidR="00CE670F">
        <w:rPr>
          <w:rFonts w:ascii="Times New Roman" w:hAnsi="Times New Roman"/>
          <w:sz w:val="24"/>
          <w:szCs w:val="24"/>
        </w:rPr>
        <w:t xml:space="preserve">intern overleg </w:t>
      </w:r>
      <w:r w:rsidRPr="00B54F7E" w:rsidR="0049589B">
        <w:rPr>
          <w:rFonts w:ascii="Times New Roman" w:hAnsi="Times New Roman"/>
          <w:sz w:val="24"/>
          <w:szCs w:val="24"/>
        </w:rPr>
        <w:t>plaatsgevonden</w:t>
      </w:r>
      <w:r w:rsidRPr="00B54F7E" w:rsidR="00CE670F">
        <w:rPr>
          <w:rFonts w:ascii="Times New Roman" w:hAnsi="Times New Roman"/>
          <w:sz w:val="24"/>
          <w:szCs w:val="24"/>
        </w:rPr>
        <w:t xml:space="preserve">, </w:t>
      </w:r>
      <w:r w:rsidRPr="00B54F7E" w:rsidR="0049589B">
        <w:rPr>
          <w:rFonts w:ascii="Times New Roman" w:hAnsi="Times New Roman"/>
          <w:sz w:val="24"/>
          <w:szCs w:val="24"/>
        </w:rPr>
        <w:t xml:space="preserve">hetgeen leidde tot een nadere standpuntbepaling van Peruaanse zijde. Daarop </w:t>
      </w:r>
      <w:r w:rsidRPr="00B54F7E" w:rsidR="00CE670F">
        <w:rPr>
          <w:rFonts w:ascii="Times New Roman" w:hAnsi="Times New Roman"/>
          <w:sz w:val="24"/>
          <w:szCs w:val="24"/>
        </w:rPr>
        <w:t xml:space="preserve">kon </w:t>
      </w:r>
      <w:r w:rsidR="00FA5351">
        <w:rPr>
          <w:rFonts w:ascii="Times New Roman" w:hAnsi="Times New Roman"/>
          <w:sz w:val="24"/>
          <w:szCs w:val="24"/>
        </w:rPr>
        <w:t>in</w:t>
      </w:r>
      <w:r w:rsidRPr="00B54F7E" w:rsidR="0049589B">
        <w:rPr>
          <w:rFonts w:ascii="Times New Roman" w:hAnsi="Times New Roman"/>
          <w:sz w:val="24"/>
          <w:szCs w:val="24"/>
        </w:rPr>
        <w:t xml:space="preserve"> </w:t>
      </w:r>
      <w:r w:rsidRPr="00B54F7E" w:rsidR="00CE670F">
        <w:rPr>
          <w:rFonts w:ascii="Times New Roman" w:hAnsi="Times New Roman"/>
          <w:sz w:val="24"/>
          <w:szCs w:val="24"/>
        </w:rPr>
        <w:t>2010 overeenstemming worden bereikt over de tekst</w:t>
      </w:r>
      <w:r w:rsidR="00DE4D07">
        <w:rPr>
          <w:rFonts w:ascii="Times New Roman" w:hAnsi="Times New Roman"/>
          <w:sz w:val="24"/>
          <w:szCs w:val="24"/>
        </w:rPr>
        <w:t xml:space="preserve"> van het verdrag</w:t>
      </w:r>
      <w:r w:rsidRPr="00B54F7E" w:rsidR="00CE670F">
        <w:rPr>
          <w:rFonts w:ascii="Times New Roman" w:hAnsi="Times New Roman"/>
          <w:sz w:val="24"/>
          <w:szCs w:val="24"/>
        </w:rPr>
        <w:t xml:space="preserve">. </w:t>
      </w:r>
      <w:r w:rsidRPr="00DE4251" w:rsidR="004C13F6">
        <w:rPr>
          <w:rFonts w:ascii="Times New Roman" w:hAnsi="Times New Roman"/>
          <w:sz w:val="24"/>
          <w:szCs w:val="24"/>
        </w:rPr>
        <w:t>Vervolgens</w:t>
      </w:r>
      <w:r w:rsidRPr="00DE4251" w:rsidR="00895DE3">
        <w:rPr>
          <w:rFonts w:ascii="Times New Roman" w:hAnsi="Times New Roman"/>
          <w:sz w:val="24"/>
          <w:szCs w:val="24"/>
        </w:rPr>
        <w:t xml:space="preserve"> vergde </w:t>
      </w:r>
      <w:r w:rsidRPr="00DE4251" w:rsidR="00CE670F">
        <w:rPr>
          <w:rFonts w:ascii="Times New Roman" w:hAnsi="Times New Roman"/>
          <w:sz w:val="24"/>
          <w:szCs w:val="24"/>
        </w:rPr>
        <w:t xml:space="preserve">de voorbereiding van de ondertekening ook nog </w:t>
      </w:r>
      <w:r w:rsidRPr="00DE4251" w:rsidR="004C13F6">
        <w:rPr>
          <w:rFonts w:ascii="Times New Roman" w:hAnsi="Times New Roman"/>
          <w:sz w:val="24"/>
          <w:szCs w:val="24"/>
        </w:rPr>
        <w:t>geruime</w:t>
      </w:r>
      <w:r w:rsidRPr="00DE4251" w:rsidR="00CE670F">
        <w:rPr>
          <w:rFonts w:ascii="Times New Roman" w:hAnsi="Times New Roman"/>
          <w:sz w:val="24"/>
          <w:szCs w:val="24"/>
        </w:rPr>
        <w:t xml:space="preserve"> tijd, </w:t>
      </w:r>
      <w:r w:rsidRPr="00DE4251" w:rsidR="004D6399">
        <w:rPr>
          <w:rFonts w:ascii="Times New Roman" w:hAnsi="Times New Roman"/>
          <w:sz w:val="24"/>
          <w:szCs w:val="24"/>
        </w:rPr>
        <w:t>voor</w:t>
      </w:r>
      <w:r w:rsidRPr="00DE4251" w:rsidR="00CE670F">
        <w:rPr>
          <w:rFonts w:ascii="Times New Roman" w:hAnsi="Times New Roman"/>
          <w:sz w:val="24"/>
          <w:szCs w:val="24"/>
        </w:rPr>
        <w:t xml:space="preserve">dat het verdrag </w:t>
      </w:r>
      <w:r w:rsidRPr="00DE4251" w:rsidR="004D6399">
        <w:rPr>
          <w:rFonts w:ascii="Times New Roman" w:hAnsi="Times New Roman"/>
          <w:sz w:val="24"/>
          <w:szCs w:val="24"/>
        </w:rPr>
        <w:t>uiteindelijk</w:t>
      </w:r>
      <w:r w:rsidRPr="00DE4251" w:rsidR="00CE670F">
        <w:rPr>
          <w:rFonts w:ascii="Times New Roman" w:hAnsi="Times New Roman"/>
          <w:sz w:val="24"/>
          <w:szCs w:val="24"/>
        </w:rPr>
        <w:t xml:space="preserve"> </w:t>
      </w:r>
      <w:r w:rsidRPr="00DE4251" w:rsidR="004D6399">
        <w:rPr>
          <w:rFonts w:ascii="Times New Roman" w:hAnsi="Times New Roman"/>
          <w:sz w:val="24"/>
          <w:szCs w:val="24"/>
        </w:rPr>
        <w:t xml:space="preserve">op 12 </w:t>
      </w:r>
      <w:r w:rsidRPr="00DE4251" w:rsidR="00CE670F">
        <w:rPr>
          <w:rFonts w:ascii="Times New Roman" w:hAnsi="Times New Roman"/>
          <w:sz w:val="24"/>
          <w:szCs w:val="24"/>
        </w:rPr>
        <w:t xml:space="preserve">mei 2011 </w:t>
      </w:r>
      <w:r w:rsidRPr="00DE4251" w:rsidR="0049589B">
        <w:rPr>
          <w:rFonts w:ascii="Times New Roman" w:hAnsi="Times New Roman"/>
          <w:sz w:val="24"/>
          <w:szCs w:val="24"/>
        </w:rPr>
        <w:t>te Den Haag</w:t>
      </w:r>
      <w:r w:rsidRPr="00DE4251" w:rsidR="004D6399">
        <w:rPr>
          <w:rFonts w:ascii="Times New Roman" w:hAnsi="Times New Roman"/>
          <w:sz w:val="24"/>
          <w:szCs w:val="24"/>
        </w:rPr>
        <w:t xml:space="preserve"> kon worden</w:t>
      </w:r>
      <w:r w:rsidRPr="00DE4251" w:rsidR="00CE670F">
        <w:rPr>
          <w:rFonts w:ascii="Times New Roman" w:hAnsi="Times New Roman"/>
          <w:sz w:val="24"/>
          <w:szCs w:val="24"/>
        </w:rPr>
        <w:t xml:space="preserve"> ondertekend.</w:t>
      </w:r>
      <w:r w:rsidRPr="00B54F7E" w:rsidR="00CE670F">
        <w:rPr>
          <w:rFonts w:ascii="Times New Roman" w:hAnsi="Times New Roman"/>
          <w:sz w:val="24"/>
          <w:szCs w:val="24"/>
        </w:rPr>
        <w:t xml:space="preserve"> </w:t>
      </w:r>
    </w:p>
    <w:p w:rsidRPr="00B54F7E" w:rsidR="005B3EA7" w:rsidP="00D02E8C" w:rsidRDefault="005B3EA7" w14:paraId="172B796A" w14:textId="77777777">
      <w:pPr>
        <w:pStyle w:val="FootnoteText"/>
        <w:rPr>
          <w:rFonts w:ascii="Times New Roman" w:hAnsi="Times New Roman"/>
          <w:sz w:val="24"/>
          <w:szCs w:val="24"/>
        </w:rPr>
      </w:pPr>
    </w:p>
    <w:p w:rsidR="005B3EA7" w:rsidP="00D02E8C" w:rsidRDefault="00EF5C2D" w14:paraId="79DD8A28" w14:textId="77777777">
      <w:r>
        <w:t>Ondanks de bezwaren van Peru tegen het RvE-verdrag bleef h</w:t>
      </w:r>
      <w:r w:rsidR="002163DE">
        <w:t>et streven van het Koninkrijk er</w:t>
      </w:r>
      <w:r>
        <w:t xml:space="preserve">op gericht het te sluiten bilaterale verdrag </w:t>
      </w:r>
      <w:r w:rsidR="002163DE">
        <w:t xml:space="preserve">zoveel mogelijk te laten </w:t>
      </w:r>
      <w:r w:rsidR="004D6399">
        <w:t>aansluiten</w:t>
      </w:r>
      <w:r w:rsidR="002163DE">
        <w:t xml:space="preserve"> op </w:t>
      </w:r>
      <w:r w:rsidR="004D6399">
        <w:t xml:space="preserve">de inhoud van </w:t>
      </w:r>
      <w:r w:rsidR="002163DE">
        <w:t>het RvE-verdrag.</w:t>
      </w:r>
      <w:r w:rsidR="00895DE3">
        <w:t xml:space="preserve"> </w:t>
      </w:r>
      <w:r w:rsidR="002163DE">
        <w:t xml:space="preserve">Dat is </w:t>
      </w:r>
      <w:r w:rsidR="004C13F6">
        <w:t xml:space="preserve">grotendeels </w:t>
      </w:r>
      <w:r w:rsidR="002163DE">
        <w:t>gelukt</w:t>
      </w:r>
      <w:r w:rsidR="004C13F6">
        <w:t xml:space="preserve">. Wel moest een oplossing worden gevonden </w:t>
      </w:r>
      <w:r w:rsidR="00FA5351">
        <w:lastRenderedPageBreak/>
        <w:t xml:space="preserve">voor </w:t>
      </w:r>
      <w:r w:rsidR="002163DE">
        <w:t xml:space="preserve">de </w:t>
      </w:r>
      <w:r w:rsidR="00FA5351">
        <w:t xml:space="preserve">constitutionele bezwaren </w:t>
      </w:r>
      <w:r w:rsidR="002163DE">
        <w:t>van Peru</w:t>
      </w:r>
      <w:r w:rsidR="00FA5351">
        <w:t xml:space="preserve"> die </w:t>
      </w:r>
      <w:r w:rsidR="004C13F6">
        <w:t>hadden geleid tot een afwijzing van het RvE-verdrag</w:t>
      </w:r>
      <w:r w:rsidR="00FA5351">
        <w:t>, welke ook een rol speelden i</w:t>
      </w:r>
      <w:r w:rsidR="004C13F6">
        <w:t>n de bilaterale onderhandelingen.</w:t>
      </w:r>
      <w:r w:rsidR="002163DE">
        <w:t xml:space="preserve"> D</w:t>
      </w:r>
      <w:r w:rsidR="00A91A27">
        <w:t>e</w:t>
      </w:r>
      <w:r w:rsidR="00FA5351">
        <w:t xml:space="preserve"> bezwaren</w:t>
      </w:r>
      <w:r w:rsidR="002163DE">
        <w:t xml:space="preserve"> betr</w:t>
      </w:r>
      <w:r w:rsidR="004C13F6">
        <w:t>o</w:t>
      </w:r>
      <w:r w:rsidR="002163DE">
        <w:t>ffen in concreto</w:t>
      </w:r>
      <w:r w:rsidR="00161E0F">
        <w:t>:</w:t>
      </w:r>
      <w:r w:rsidR="002163DE">
        <w:t xml:space="preserve"> de in het RvE-verdrag voorziene </w:t>
      </w:r>
      <w:r w:rsidR="00A91A27">
        <w:t xml:space="preserve">mogelijkheden van aanpassing van de opgelegde straf en de </w:t>
      </w:r>
      <w:r w:rsidR="004C13F6">
        <w:t xml:space="preserve">wijze van </w:t>
      </w:r>
      <w:r w:rsidR="00A91A27">
        <w:t xml:space="preserve">gratieverlening. </w:t>
      </w:r>
    </w:p>
    <w:p w:rsidR="00161E0F" w:rsidP="00D02E8C" w:rsidRDefault="00161E0F" w14:paraId="430A18A4" w14:textId="77777777"/>
    <w:p w:rsidR="00F35A18" w:rsidP="00D02E8C" w:rsidRDefault="00EF5C2D" w14:paraId="75602C02" w14:textId="06822F59">
      <w:r>
        <w:t xml:space="preserve">Wat betreft de aanpassing van de opgelegde straf, </w:t>
      </w:r>
      <w:r w:rsidR="00A91A27">
        <w:t xml:space="preserve">bleek de in artikel </w:t>
      </w:r>
      <w:r>
        <w:t>11</w:t>
      </w:r>
      <w:r w:rsidR="00A91A27">
        <w:t xml:space="preserve"> van het RvE-verdrag voorziene procedure van omzetting van de </w:t>
      </w:r>
      <w:r>
        <w:t xml:space="preserve">opgelegde </w:t>
      </w:r>
      <w:r w:rsidR="00A91A27">
        <w:t>straf</w:t>
      </w:r>
      <w:r>
        <w:t xml:space="preserve"> in een straf die naar het recht van de ontvangende staat gebruikelijk is,</w:t>
      </w:r>
      <w:r w:rsidR="00A91A27">
        <w:t xml:space="preserve"> onbespreekbaar. </w:t>
      </w:r>
      <w:r>
        <w:t xml:space="preserve">Deze was </w:t>
      </w:r>
      <w:r w:rsidR="004C13F6">
        <w:t xml:space="preserve">ook in </w:t>
      </w:r>
      <w:r>
        <w:t xml:space="preserve">het voorstel </w:t>
      </w:r>
      <w:r w:rsidR="005B3EA7">
        <w:t xml:space="preserve">van het Koninkrijk </w:t>
      </w:r>
      <w:r w:rsidR="004C13F6">
        <w:t xml:space="preserve">voor een bilateraal verdrag </w:t>
      </w:r>
      <w:r>
        <w:t xml:space="preserve">opgenomen, omdat daaraan indertijd in de Tweede Kamer </w:t>
      </w:r>
      <w:r w:rsidR="00895DE3">
        <w:t>veel</w:t>
      </w:r>
      <w:r>
        <w:t xml:space="preserve"> waarde werd gehecht. Peru wilde a</w:t>
      </w:r>
      <w:r w:rsidR="00092437">
        <w:t xml:space="preserve">lleen </w:t>
      </w:r>
      <w:r>
        <w:t xml:space="preserve">akkoord gaan met </w:t>
      </w:r>
      <w:r w:rsidR="00092437">
        <w:t xml:space="preserve">het </w:t>
      </w:r>
      <w:r>
        <w:t xml:space="preserve">in het RvE-verdrag bestaande </w:t>
      </w:r>
      <w:r w:rsidR="00092437">
        <w:t>alternatief,</w:t>
      </w:r>
      <w:r w:rsidRPr="00AA0EE3" w:rsidR="002163DE">
        <w:t xml:space="preserve"> de procedure v</w:t>
      </w:r>
      <w:r>
        <w:t>an</w:t>
      </w:r>
      <w:r w:rsidRPr="00AA0EE3" w:rsidR="002163DE">
        <w:t xml:space="preserve"> voortgezette tenuitvoerlegging</w:t>
      </w:r>
      <w:r>
        <w:t>.</w:t>
      </w:r>
      <w:r w:rsidR="00092437">
        <w:t xml:space="preserve"> </w:t>
      </w:r>
      <w:r w:rsidRPr="00AA0EE3" w:rsidR="002163DE">
        <w:t xml:space="preserve">Dat wil zeggen dat de straf die door de rechter is opgelegd </w:t>
      </w:r>
      <w:r w:rsidR="00FA5351">
        <w:t>na de overbrenging door</w:t>
      </w:r>
      <w:r w:rsidRPr="00AA0EE3" w:rsidR="002163DE">
        <w:t xml:space="preserve"> het andere land </w:t>
      </w:r>
      <w:r w:rsidR="007E6F11">
        <w:t xml:space="preserve">in beginsel zonder aanpassing </w:t>
      </w:r>
      <w:r w:rsidRPr="00AA0EE3" w:rsidR="002163DE">
        <w:t>verder ten uitvoer wordt gelegd</w:t>
      </w:r>
      <w:r>
        <w:t xml:space="preserve">. </w:t>
      </w:r>
      <w:r w:rsidR="00FA5351">
        <w:t xml:space="preserve">Vervolgens </w:t>
      </w:r>
      <w:r>
        <w:t xml:space="preserve">bleek </w:t>
      </w:r>
      <w:r w:rsidR="00FA5351">
        <w:t xml:space="preserve">dat </w:t>
      </w:r>
      <w:r>
        <w:t xml:space="preserve">Peru grondwettelijke bezwaren had tegen de in </w:t>
      </w:r>
      <w:r w:rsidR="002A4502">
        <w:t xml:space="preserve">het RvE-verdrag </w:t>
      </w:r>
      <w:r>
        <w:t>voorziene</w:t>
      </w:r>
      <w:r w:rsidR="002A4502">
        <w:t xml:space="preserve"> </w:t>
      </w:r>
      <w:r w:rsidR="00A91A27">
        <w:t xml:space="preserve">mogelijkheid om in het geval waarin </w:t>
      </w:r>
      <w:r w:rsidRPr="00AA0EE3" w:rsidR="002163DE">
        <w:t xml:space="preserve">de opgelegde straf hoger is dan de maximumstraf die naar het recht van de </w:t>
      </w:r>
      <w:r>
        <w:t xml:space="preserve">ontvangende </w:t>
      </w:r>
      <w:r w:rsidRPr="00AA0EE3" w:rsidR="002163DE">
        <w:t xml:space="preserve">staat op het strafbare feit is gesteld, de opgelegde straf </w:t>
      </w:r>
      <w:r w:rsidR="00A91A27">
        <w:t>terug te brengen t</w:t>
      </w:r>
      <w:r w:rsidRPr="00AA0EE3" w:rsidR="002163DE">
        <w:t>ot het wettelijke strafmaximum</w:t>
      </w:r>
      <w:r>
        <w:t xml:space="preserve">. </w:t>
      </w:r>
      <w:r w:rsidR="00FA5351">
        <w:t>In de visie van het Koninkrijk is die aanpassingsmogelijkheid onverbrekelijk verbonden met de aanvaarding door het Koninkrijk van de procedure van voortgezette tenuitvoerlegging</w:t>
      </w:r>
      <w:r w:rsidR="00447EDA">
        <w:t xml:space="preserve"> en deze werd tijdens de onderhandelingen ook uitgedragen</w:t>
      </w:r>
      <w:r w:rsidR="00FA5351">
        <w:t xml:space="preserve">. </w:t>
      </w:r>
      <w:r w:rsidR="004C13F6">
        <w:t>Kern van het Peruaanse bezwaar was, dat h</w:t>
      </w:r>
      <w:r>
        <w:t>et toestaan van een dergelijke aanpassing</w:t>
      </w:r>
      <w:r w:rsidR="00447EDA">
        <w:t xml:space="preserve">smogelijkheid </w:t>
      </w:r>
      <w:r>
        <w:t xml:space="preserve">een inbreuk </w:t>
      </w:r>
      <w:r w:rsidR="007E6F11">
        <w:t xml:space="preserve">zou vormen </w:t>
      </w:r>
      <w:r>
        <w:t xml:space="preserve">op </w:t>
      </w:r>
      <w:r w:rsidR="00DE3EFF">
        <w:t>de</w:t>
      </w:r>
      <w:r>
        <w:t xml:space="preserve"> in de Peruaanse grondwet gegarandeerde onafhankelijkheid van de rechterlijke macht</w:t>
      </w:r>
      <w:r w:rsidR="00161E0F">
        <w:t xml:space="preserve">. </w:t>
      </w:r>
      <w:r w:rsidR="00895DE3">
        <w:t>Het tweede element dat problematisch bleek</w:t>
      </w:r>
      <w:r w:rsidR="00447EDA">
        <w:t>,</w:t>
      </w:r>
      <w:r w:rsidR="00895DE3">
        <w:t xml:space="preserve"> was het verlenen van gratie nadat de overbrenging heeft plaatsgevonden. Het RvE-verdrag </w:t>
      </w:r>
      <w:r w:rsidR="00A34A0C">
        <w:t xml:space="preserve">voorziet </w:t>
      </w:r>
      <w:r w:rsidR="00895DE3">
        <w:t>in de mogelijkheid dat zowel de overbrengende staat als de ontvangende staat gratie kunnen verlenen</w:t>
      </w:r>
      <w:r w:rsidR="00447EDA">
        <w:t xml:space="preserve"> en</w:t>
      </w:r>
      <w:r w:rsidR="00F35A18">
        <w:t xml:space="preserve"> deze mogelijkheid was </w:t>
      </w:r>
      <w:r w:rsidR="00447EDA">
        <w:t xml:space="preserve">ook </w:t>
      </w:r>
      <w:r w:rsidR="00F35A18">
        <w:t xml:space="preserve">in het voorstel van het Koninkrijk voor een bilateraal verdrag </w:t>
      </w:r>
      <w:r w:rsidR="00675393">
        <w:t>op</w:t>
      </w:r>
      <w:r w:rsidR="00F35A18">
        <w:t xml:space="preserve">genomen. </w:t>
      </w:r>
      <w:r w:rsidR="00895DE3">
        <w:t>Hoewel gratieverlening door de ontvangende staat in de praktijk nauwelijks voorkomt, was het voor Peru nagenoeg on</w:t>
      </w:r>
      <w:r w:rsidR="00675393">
        <w:t>denkbaar</w:t>
      </w:r>
      <w:r w:rsidR="00895DE3">
        <w:t xml:space="preserve"> dat in de landen van het Koninkrijk gratie zou kunnen worden verleend van een straf die in Peru is opgelegd. Ook daartegen voerde men constitutionele bezwaren aan. </w:t>
      </w:r>
    </w:p>
    <w:p w:rsidR="00F35A18" w:rsidP="00D02E8C" w:rsidRDefault="00F35A18" w14:paraId="0585402B" w14:textId="77777777"/>
    <w:p w:rsidR="00E13671" w:rsidP="00D02E8C" w:rsidRDefault="00895DE3" w14:paraId="63FB5343" w14:textId="77777777">
      <w:r>
        <w:t xml:space="preserve">Van de zijde </w:t>
      </w:r>
      <w:r w:rsidR="00A91A27">
        <w:t xml:space="preserve">van het Koninkrijk is </w:t>
      </w:r>
      <w:r w:rsidR="005D39F3">
        <w:t xml:space="preserve">voor de kwestie van </w:t>
      </w:r>
      <w:r>
        <w:t xml:space="preserve">de aanpassing van de </w:t>
      </w:r>
      <w:r w:rsidR="00161E0F">
        <w:t xml:space="preserve">opgelegde </w:t>
      </w:r>
      <w:r>
        <w:t xml:space="preserve">straf </w:t>
      </w:r>
      <w:r w:rsidR="00A91A27">
        <w:t>als oplossing voorgesteld dat de autoriteiten</w:t>
      </w:r>
      <w:r>
        <w:t xml:space="preserve"> van de o</w:t>
      </w:r>
      <w:r w:rsidR="001918C1">
        <w:t>v</w:t>
      </w:r>
      <w:r>
        <w:t>erbrengende staat</w:t>
      </w:r>
      <w:r w:rsidR="00A91A27">
        <w:t xml:space="preserve"> voorafgaand aan de overbrenging worden ingelicht over de wijze van tenuitvoerlegging van de straf </w:t>
      </w:r>
      <w:r>
        <w:t xml:space="preserve">in de ontvangende staat. </w:t>
      </w:r>
      <w:r w:rsidR="002A4502">
        <w:t xml:space="preserve">De wijze van tenuitvoerlegging </w:t>
      </w:r>
      <w:r w:rsidR="00A91A27">
        <w:t>ziet</w:t>
      </w:r>
      <w:r>
        <w:t xml:space="preserve"> </w:t>
      </w:r>
      <w:r w:rsidR="00A91A27">
        <w:t xml:space="preserve">op de </w:t>
      </w:r>
      <w:r>
        <w:t xml:space="preserve">eventueel noodzakelijke </w:t>
      </w:r>
      <w:r w:rsidR="00A91A27">
        <w:t>aanp</w:t>
      </w:r>
      <w:r w:rsidR="002A4502">
        <w:t>a</w:t>
      </w:r>
      <w:r w:rsidR="00A91A27">
        <w:t>ssing van de opgelegde straf aan het wettelijke strafmaximum</w:t>
      </w:r>
      <w:r w:rsidR="002A4502">
        <w:t xml:space="preserve"> naar het recht van </w:t>
      </w:r>
      <w:r w:rsidR="00675393">
        <w:t xml:space="preserve">de </w:t>
      </w:r>
      <w:r w:rsidR="002A4502">
        <w:t>ontvangende staat.</w:t>
      </w:r>
      <w:r w:rsidR="00A91A27">
        <w:t xml:space="preserve"> Doordat informatie </w:t>
      </w:r>
      <w:r>
        <w:t xml:space="preserve">over een voorgenomen aanpassing </w:t>
      </w:r>
      <w:r w:rsidR="00A91A27">
        <w:t xml:space="preserve">voorafgaand aan de overbrenging wordt verstrekt, kan </w:t>
      </w:r>
      <w:r>
        <w:t xml:space="preserve">de overbrengende staat </w:t>
      </w:r>
      <w:r w:rsidR="00A91A27">
        <w:t>in voorkomend geval in die aanpassing aanleiding zien om de overbrenging te weigeren.</w:t>
      </w:r>
      <w:r w:rsidR="002A4502">
        <w:t xml:space="preserve"> Met deze</w:t>
      </w:r>
      <w:r w:rsidR="00A91A27">
        <w:t xml:space="preserve"> oplossing</w:t>
      </w:r>
      <w:r w:rsidR="002A4502">
        <w:t>, die is vastgelegd in artikel 7 van het verdrag,</w:t>
      </w:r>
      <w:r w:rsidR="00A91A27">
        <w:t xml:space="preserve"> </w:t>
      </w:r>
      <w:r w:rsidR="005D39F3">
        <w:t xml:space="preserve">zijn beide </w:t>
      </w:r>
      <w:r w:rsidRPr="00083E46" w:rsidR="005D39F3">
        <w:t>partijen gediend</w:t>
      </w:r>
      <w:r w:rsidR="005D39F3">
        <w:t xml:space="preserve">. </w:t>
      </w:r>
      <w:r w:rsidR="00447EDA">
        <w:t>De landen van h</w:t>
      </w:r>
      <w:r w:rsidR="00675393">
        <w:t>et Koninkrijk</w:t>
      </w:r>
      <w:r w:rsidR="005D39F3">
        <w:t xml:space="preserve"> </w:t>
      </w:r>
      <w:r w:rsidR="00A34A0C">
        <w:t>behoud</w:t>
      </w:r>
      <w:r w:rsidR="00675393">
        <w:t>en</w:t>
      </w:r>
      <w:r w:rsidR="00A34A0C">
        <w:t xml:space="preserve"> </w:t>
      </w:r>
      <w:r w:rsidR="002A4502">
        <w:t xml:space="preserve">de aanpassingsmogelijkheid en Peru </w:t>
      </w:r>
      <w:r w:rsidR="00DE3EFF">
        <w:t xml:space="preserve">behoudt </w:t>
      </w:r>
      <w:r w:rsidR="002A4502">
        <w:t xml:space="preserve">de mogelijkheid om in het geval waarin men de aanpassing </w:t>
      </w:r>
      <w:r w:rsidR="00447EDA">
        <w:t xml:space="preserve">in een concrete zaak </w:t>
      </w:r>
      <w:r w:rsidR="002A4502">
        <w:t xml:space="preserve">echt onoverkomelijk acht, de overbrenging te weigeren. </w:t>
      </w:r>
      <w:r w:rsidR="00E13671">
        <w:t xml:space="preserve">Op grond van de onderhandelingen is </w:t>
      </w:r>
      <w:r w:rsidR="005D39F3">
        <w:t xml:space="preserve">namelijk </w:t>
      </w:r>
      <w:r w:rsidR="00E13671">
        <w:t xml:space="preserve">de verwachting dat Peru in de praktijk </w:t>
      </w:r>
      <w:r w:rsidR="00447EDA">
        <w:t xml:space="preserve">een overbrenging </w:t>
      </w:r>
      <w:r w:rsidR="00E13671">
        <w:t xml:space="preserve">niet snel zal weigeren wegens aanpassing van de straf, maar dat men deze bevoegdheid niet </w:t>
      </w:r>
      <w:r w:rsidR="005D39F3">
        <w:t>zonder meer</w:t>
      </w:r>
      <w:r w:rsidR="00E13671">
        <w:t xml:space="preserve"> in het verdrag wenste op te nemen. </w:t>
      </w:r>
    </w:p>
    <w:p w:rsidR="00A91A27" w:rsidP="00D02E8C" w:rsidRDefault="00E13671" w14:paraId="3BB62089" w14:textId="6CFE8B11">
      <w:pPr>
        <w:autoSpaceDE w:val="0"/>
        <w:autoSpaceDN w:val="0"/>
        <w:adjustRightInd w:val="0"/>
      </w:pPr>
      <w:r>
        <w:t>Wat betreft de gratieverlening kwamen d</w:t>
      </w:r>
      <w:r w:rsidR="004D1998">
        <w:t xml:space="preserve">e Peruaanse bezwaren overeen met die welke </w:t>
      </w:r>
      <w:r>
        <w:t xml:space="preserve">door Brazilië </w:t>
      </w:r>
      <w:r w:rsidR="004D1998">
        <w:t xml:space="preserve">bij de onderhandelingen </w:t>
      </w:r>
      <w:r>
        <w:t xml:space="preserve">over het op 23 januari 2009 te Den Haag </w:t>
      </w:r>
      <w:r w:rsidR="00521AC1">
        <w:t xml:space="preserve">tot stand gekomen </w:t>
      </w:r>
      <w:r w:rsidR="00161E0F">
        <w:t>V</w:t>
      </w:r>
      <w:r w:rsidRPr="00E13671" w:rsidR="00161E0F">
        <w:rPr>
          <w:rFonts w:cs="Univers-Black"/>
          <w:bCs/>
        </w:rPr>
        <w:t xml:space="preserve">erdrag </w:t>
      </w:r>
      <w:r w:rsidRPr="00E13671">
        <w:rPr>
          <w:rFonts w:cs="Univers-Black"/>
          <w:bCs/>
        </w:rPr>
        <w:t>inzake de overdracht van gevonniste personen en van de tenuitvoerlegging van veroordelingen opgelegd bij vonnissen tussen het Koninkrijk der Nederlanden en de Federale Republiek Brazilië (Trb. 2009, 25)</w:t>
      </w:r>
      <w:r>
        <w:rPr>
          <w:rFonts w:cs="Univers-Black"/>
          <w:bCs/>
        </w:rPr>
        <w:t xml:space="preserve"> waren aangevoerd. In </w:t>
      </w:r>
      <w:r w:rsidRPr="00083E46">
        <w:rPr>
          <w:rFonts w:cs="Univers-Black"/>
          <w:bCs/>
        </w:rPr>
        <w:t>het verdrag met Brazilië ontbreekt daarom een bepaling over gratie. V</w:t>
      </w:r>
      <w:r w:rsidRPr="00083E46" w:rsidR="004D1998">
        <w:t xml:space="preserve">an de zijde van het Koninkrijk </w:t>
      </w:r>
      <w:r w:rsidRPr="00083E46">
        <w:t xml:space="preserve">is </w:t>
      </w:r>
      <w:r w:rsidRPr="00083E46" w:rsidR="005D39F3">
        <w:t>in de onderhandelingen</w:t>
      </w:r>
      <w:r w:rsidR="005D39F3">
        <w:t xml:space="preserve"> </w:t>
      </w:r>
      <w:r w:rsidR="005D39F3">
        <w:lastRenderedPageBreak/>
        <w:t>met Peru</w:t>
      </w:r>
      <w:r>
        <w:t xml:space="preserve"> </w:t>
      </w:r>
      <w:r w:rsidR="004D1998">
        <w:t xml:space="preserve">aanvankelijk als oplossing </w:t>
      </w:r>
      <w:r w:rsidR="00A34A0C">
        <w:t>voorgesteld</w:t>
      </w:r>
      <w:r w:rsidR="004D1998">
        <w:t xml:space="preserve"> om in het verdrag geen bepaling over gratie op te nemen, maar d</w:t>
      </w:r>
      <w:r w:rsidR="005D39F3">
        <w:t>a</w:t>
      </w:r>
      <w:r w:rsidR="004D1998">
        <w:t>arover kon geen overeenstemming worden bereikt.</w:t>
      </w:r>
      <w:r w:rsidR="00DE3EFF">
        <w:t xml:space="preserve"> </w:t>
      </w:r>
      <w:r w:rsidR="004D1998">
        <w:t xml:space="preserve">Van de zijde van het Koninkrijk is </w:t>
      </w:r>
      <w:r>
        <w:t xml:space="preserve">daarop </w:t>
      </w:r>
      <w:r w:rsidR="004D1998">
        <w:t>vastgehouden aan</w:t>
      </w:r>
      <w:r>
        <w:t xml:space="preserve"> een acceptabele regeling van</w:t>
      </w:r>
      <w:r w:rsidR="004D1998">
        <w:t xml:space="preserve"> gratieverlen</w:t>
      </w:r>
      <w:r>
        <w:t xml:space="preserve">ing en voorgesteld dat </w:t>
      </w:r>
      <w:r w:rsidR="004D1998">
        <w:t xml:space="preserve">de autoriteiten </w:t>
      </w:r>
      <w:r w:rsidR="005D39F3">
        <w:t xml:space="preserve">van </w:t>
      </w:r>
      <w:r>
        <w:t xml:space="preserve">de ontvangende staat </w:t>
      </w:r>
      <w:r w:rsidR="004D1998">
        <w:t xml:space="preserve">een voornemen </w:t>
      </w:r>
      <w:r>
        <w:t>tot</w:t>
      </w:r>
      <w:r w:rsidR="004D1998">
        <w:t xml:space="preserve"> gratieverlening </w:t>
      </w:r>
      <w:r>
        <w:t>ter kennis breng</w:t>
      </w:r>
      <w:r w:rsidR="005D39F3">
        <w:t>en</w:t>
      </w:r>
      <w:r>
        <w:t xml:space="preserve"> van de autoriteiten van de overbrengende staat.</w:t>
      </w:r>
      <w:r w:rsidR="004D1998">
        <w:t xml:space="preserve"> </w:t>
      </w:r>
      <w:r>
        <w:t xml:space="preserve">Dit was voor </w:t>
      </w:r>
      <w:r w:rsidR="00A34A0C">
        <w:t xml:space="preserve">Peru </w:t>
      </w:r>
      <w:r>
        <w:t>uiteindelijk</w:t>
      </w:r>
      <w:r w:rsidR="004D1998">
        <w:t xml:space="preserve"> </w:t>
      </w:r>
      <w:r>
        <w:t xml:space="preserve">aanvaardbaar, omdat dit de Peruaanse autoriteiten </w:t>
      </w:r>
      <w:r w:rsidR="004D1998">
        <w:t xml:space="preserve">in voorkomend geval </w:t>
      </w:r>
      <w:r>
        <w:t>de gelege</w:t>
      </w:r>
      <w:r w:rsidR="005D39F3">
        <w:t>n</w:t>
      </w:r>
      <w:r>
        <w:t>heid zou bieden h</w:t>
      </w:r>
      <w:r w:rsidR="004D1998">
        <w:t>un zienswijze op dat voornemen kenbaar te maken</w:t>
      </w:r>
      <w:r w:rsidR="00E44F37">
        <w:t xml:space="preserve">. Hoewel het verdrag de landen van het Koninkrijk </w:t>
      </w:r>
      <w:r w:rsidR="005D39F3">
        <w:t xml:space="preserve">daartoe op geen enkele wijze </w:t>
      </w:r>
      <w:r w:rsidR="00E44F37">
        <w:t xml:space="preserve">verplicht, ligt het voor de hand om eventuele inhoudelijke </w:t>
      </w:r>
      <w:r w:rsidR="00A34A0C">
        <w:t xml:space="preserve">bezwaren </w:t>
      </w:r>
      <w:r w:rsidR="00E44F37">
        <w:t xml:space="preserve">van de zijde van Peru </w:t>
      </w:r>
      <w:r w:rsidR="004D1998">
        <w:t xml:space="preserve">bij de besluitvorming over </w:t>
      </w:r>
      <w:r w:rsidR="00E44F37">
        <w:t>een</w:t>
      </w:r>
      <w:r w:rsidR="004D1998">
        <w:t xml:space="preserve"> gratieverlening</w:t>
      </w:r>
      <w:r w:rsidR="00A74657">
        <w:t xml:space="preserve"> </w:t>
      </w:r>
      <w:r w:rsidR="00521AC1">
        <w:t xml:space="preserve"> </w:t>
      </w:r>
      <w:r w:rsidR="00E44F37">
        <w:t xml:space="preserve">te betrekken. De gratieregeling is vastgelegd in artikel 10 van het verdrag. Voor de goede orde wordt nogmaals opgemerkt dat het om een theoretische situatie gaat. </w:t>
      </w:r>
    </w:p>
    <w:p w:rsidR="005D39F3" w:rsidP="00D02E8C" w:rsidRDefault="005D39F3" w14:paraId="550AF086" w14:textId="77777777">
      <w:pPr>
        <w:pStyle w:val="FootnoteText"/>
        <w:rPr>
          <w:rFonts w:ascii="Times New Roman" w:hAnsi="Times New Roman"/>
          <w:sz w:val="24"/>
          <w:szCs w:val="24"/>
        </w:rPr>
      </w:pPr>
    </w:p>
    <w:p w:rsidR="00FB7D8D" w:rsidP="00D02E8C" w:rsidRDefault="00706E9D" w14:paraId="1FBA2CD5" w14:textId="06620192">
      <w:pPr>
        <w:pStyle w:val="FootnoteText"/>
        <w:rPr>
          <w:rFonts w:ascii="Times New Roman" w:hAnsi="Times New Roman"/>
          <w:sz w:val="24"/>
          <w:szCs w:val="24"/>
        </w:rPr>
      </w:pPr>
      <w:r w:rsidRPr="00CD7D84">
        <w:rPr>
          <w:rFonts w:ascii="Times New Roman" w:hAnsi="Times New Roman"/>
          <w:sz w:val="24"/>
          <w:szCs w:val="24"/>
        </w:rPr>
        <w:t>Voorafgaand aan de onderhandelingen van het verdrag heeft het toenmalige lid van de Tweede Kamer</w:t>
      </w:r>
      <w:r>
        <w:rPr>
          <w:rFonts w:ascii="Times New Roman" w:hAnsi="Times New Roman"/>
          <w:sz w:val="24"/>
          <w:szCs w:val="24"/>
        </w:rPr>
        <w:t xml:space="preserve">, </w:t>
      </w:r>
      <w:r w:rsidRPr="00CD7D84">
        <w:rPr>
          <w:rFonts w:ascii="Times New Roman" w:hAnsi="Times New Roman"/>
          <w:sz w:val="24"/>
          <w:szCs w:val="24"/>
        </w:rPr>
        <w:t xml:space="preserve">Van Velzen, </w:t>
      </w:r>
      <w:r>
        <w:rPr>
          <w:rFonts w:ascii="Times New Roman" w:hAnsi="Times New Roman"/>
          <w:sz w:val="24"/>
          <w:szCs w:val="24"/>
        </w:rPr>
        <w:t xml:space="preserve">door middel van </w:t>
      </w:r>
      <w:r w:rsidRPr="00CD7D84">
        <w:rPr>
          <w:rFonts w:ascii="Times New Roman" w:hAnsi="Times New Roman"/>
          <w:sz w:val="24"/>
          <w:szCs w:val="24"/>
        </w:rPr>
        <w:t>Kamervragen aandacht gevraagd voor de mogelijke gevolgen van de in Peru gehanteerde voorwaardelijke invrijheidsstelling, de zogeheten semi</w:t>
      </w:r>
      <w:r>
        <w:rPr>
          <w:rFonts w:ascii="Times New Roman" w:hAnsi="Times New Roman"/>
          <w:sz w:val="24"/>
          <w:szCs w:val="24"/>
        </w:rPr>
        <w:t>-</w:t>
      </w:r>
      <w:r w:rsidRPr="00CD7D84">
        <w:rPr>
          <w:rFonts w:ascii="Times New Roman" w:hAnsi="Times New Roman"/>
          <w:sz w:val="24"/>
          <w:szCs w:val="24"/>
        </w:rPr>
        <w:t>libertad voor de toepasselijkheid van het verdrag (Kamerstukken II 2008</w:t>
      </w:r>
      <w:r>
        <w:rPr>
          <w:rFonts w:ascii="Times New Roman" w:hAnsi="Times New Roman"/>
          <w:sz w:val="24"/>
          <w:szCs w:val="24"/>
        </w:rPr>
        <w:t>/</w:t>
      </w:r>
      <w:r w:rsidRPr="00CD7D84">
        <w:rPr>
          <w:rFonts w:ascii="Times New Roman" w:hAnsi="Times New Roman"/>
          <w:sz w:val="24"/>
          <w:szCs w:val="24"/>
        </w:rPr>
        <w:t>09, Aanhangsel handelingen, 9</w:t>
      </w:r>
      <w:r w:rsidRPr="00054A20">
        <w:rPr>
          <w:rFonts w:ascii="Times New Roman" w:hAnsi="Times New Roman"/>
          <w:sz w:val="24"/>
          <w:szCs w:val="24"/>
        </w:rPr>
        <w:t xml:space="preserve">). </w:t>
      </w:r>
      <w:r w:rsidR="00FB7D8D">
        <w:rPr>
          <w:rFonts w:ascii="Times New Roman" w:hAnsi="Times New Roman"/>
          <w:sz w:val="24"/>
          <w:szCs w:val="24"/>
        </w:rPr>
        <w:t>Mede met het oog daarop is bij de voorbereiding van</w:t>
      </w:r>
      <w:r w:rsidR="00A74657">
        <w:rPr>
          <w:rFonts w:ascii="Times New Roman" w:hAnsi="Times New Roman"/>
          <w:sz w:val="24"/>
          <w:szCs w:val="24"/>
        </w:rPr>
        <w:t xml:space="preserve"> </w:t>
      </w:r>
      <w:r w:rsidRPr="00054A20" w:rsidR="00AB7F5E">
        <w:rPr>
          <w:rFonts w:ascii="Times New Roman" w:hAnsi="Times New Roman"/>
          <w:sz w:val="24"/>
          <w:szCs w:val="24"/>
        </w:rPr>
        <w:t>de onderhandelingen</w:t>
      </w:r>
      <w:r w:rsidR="00A74657">
        <w:rPr>
          <w:rFonts w:ascii="Times New Roman" w:hAnsi="Times New Roman"/>
          <w:sz w:val="24"/>
          <w:szCs w:val="24"/>
        </w:rPr>
        <w:t xml:space="preserve"> </w:t>
      </w:r>
      <w:r w:rsidRPr="00054A20" w:rsidR="00AB7F5E">
        <w:rPr>
          <w:rFonts w:ascii="Times New Roman" w:hAnsi="Times New Roman"/>
          <w:sz w:val="24"/>
          <w:szCs w:val="24"/>
        </w:rPr>
        <w:t>nagegaan hoe de semi</w:t>
      </w:r>
      <w:r w:rsidRPr="00054A20" w:rsidR="00054A20">
        <w:rPr>
          <w:rFonts w:ascii="Times New Roman" w:hAnsi="Times New Roman"/>
          <w:sz w:val="24"/>
          <w:szCs w:val="24"/>
        </w:rPr>
        <w:t>-</w:t>
      </w:r>
      <w:r w:rsidRPr="00054A20" w:rsidR="00AB7F5E">
        <w:rPr>
          <w:rFonts w:ascii="Times New Roman" w:hAnsi="Times New Roman"/>
          <w:sz w:val="24"/>
          <w:szCs w:val="24"/>
        </w:rPr>
        <w:t>liber</w:t>
      </w:r>
      <w:r w:rsidRPr="00054A20" w:rsidR="005D39F3">
        <w:rPr>
          <w:rFonts w:ascii="Times New Roman" w:hAnsi="Times New Roman"/>
          <w:sz w:val="24"/>
          <w:szCs w:val="24"/>
        </w:rPr>
        <w:t>t</w:t>
      </w:r>
      <w:r w:rsidRPr="00054A20" w:rsidR="00AB7F5E">
        <w:rPr>
          <w:rFonts w:ascii="Times New Roman" w:hAnsi="Times New Roman"/>
          <w:sz w:val="24"/>
          <w:szCs w:val="24"/>
        </w:rPr>
        <w:t xml:space="preserve">ad juridisch </w:t>
      </w:r>
      <w:r w:rsidRPr="00054A20" w:rsidR="00521AC1">
        <w:rPr>
          <w:rFonts w:ascii="Times New Roman" w:hAnsi="Times New Roman"/>
          <w:sz w:val="24"/>
          <w:szCs w:val="24"/>
        </w:rPr>
        <w:t xml:space="preserve">in Peru </w:t>
      </w:r>
      <w:r w:rsidRPr="00054A20" w:rsidR="00AB7F5E">
        <w:rPr>
          <w:rFonts w:ascii="Times New Roman" w:hAnsi="Times New Roman"/>
          <w:sz w:val="24"/>
          <w:szCs w:val="24"/>
        </w:rPr>
        <w:t xml:space="preserve">is vormgegeven en hoe een en ander in de praktijk werkt. </w:t>
      </w:r>
      <w:r w:rsidRPr="00054A20" w:rsidR="0009013D">
        <w:rPr>
          <w:rFonts w:ascii="Times New Roman" w:hAnsi="Times New Roman"/>
          <w:sz w:val="24"/>
          <w:szCs w:val="24"/>
        </w:rPr>
        <w:t xml:space="preserve">Daarbij </w:t>
      </w:r>
      <w:r w:rsidRPr="00054A20" w:rsidR="00054A20">
        <w:rPr>
          <w:rFonts w:ascii="Times New Roman" w:hAnsi="Times New Roman"/>
          <w:sz w:val="24"/>
          <w:szCs w:val="24"/>
        </w:rPr>
        <w:t xml:space="preserve">is </w:t>
      </w:r>
      <w:r w:rsidRPr="00054A20" w:rsidR="0009013D">
        <w:rPr>
          <w:rFonts w:ascii="Times New Roman" w:hAnsi="Times New Roman"/>
          <w:sz w:val="24"/>
          <w:szCs w:val="24"/>
        </w:rPr>
        <w:t xml:space="preserve">het volgende beeld </w:t>
      </w:r>
      <w:r w:rsidRPr="00054A20" w:rsidR="00054A20">
        <w:rPr>
          <w:rFonts w:ascii="Times New Roman" w:hAnsi="Times New Roman"/>
          <w:sz w:val="24"/>
          <w:szCs w:val="24"/>
        </w:rPr>
        <w:t xml:space="preserve">te </w:t>
      </w:r>
      <w:r w:rsidRPr="00054A20" w:rsidR="0009013D">
        <w:rPr>
          <w:rFonts w:ascii="Times New Roman" w:hAnsi="Times New Roman"/>
          <w:sz w:val="24"/>
          <w:szCs w:val="24"/>
        </w:rPr>
        <w:t>schets</w:t>
      </w:r>
      <w:r w:rsidRPr="00054A20" w:rsidR="00054A20">
        <w:rPr>
          <w:rFonts w:ascii="Times New Roman" w:hAnsi="Times New Roman"/>
          <w:sz w:val="24"/>
          <w:szCs w:val="24"/>
        </w:rPr>
        <w:t>en</w:t>
      </w:r>
      <w:r w:rsidRPr="00054A20" w:rsidR="0009013D">
        <w:rPr>
          <w:rFonts w:ascii="Times New Roman" w:hAnsi="Times New Roman"/>
          <w:sz w:val="24"/>
          <w:szCs w:val="24"/>
        </w:rPr>
        <w:t>.</w:t>
      </w:r>
      <w:r w:rsidRPr="00054A20" w:rsidR="005D39F3">
        <w:rPr>
          <w:rFonts w:ascii="Times New Roman" w:hAnsi="Times New Roman"/>
          <w:sz w:val="24"/>
          <w:szCs w:val="24"/>
        </w:rPr>
        <w:t xml:space="preserve"> </w:t>
      </w:r>
      <w:r w:rsidR="00FB7D8D">
        <w:rPr>
          <w:rFonts w:ascii="Times New Roman" w:hAnsi="Times New Roman"/>
          <w:sz w:val="24"/>
          <w:szCs w:val="24"/>
        </w:rPr>
        <w:t>Semi</w:t>
      </w:r>
      <w:r>
        <w:rPr>
          <w:rFonts w:ascii="Times New Roman" w:hAnsi="Times New Roman"/>
          <w:sz w:val="24"/>
          <w:szCs w:val="24"/>
        </w:rPr>
        <w:t>-</w:t>
      </w:r>
      <w:r w:rsidR="00FB7D8D">
        <w:rPr>
          <w:rFonts w:ascii="Times New Roman" w:hAnsi="Times New Roman"/>
          <w:sz w:val="24"/>
          <w:szCs w:val="24"/>
        </w:rPr>
        <w:t>libertad houdt in dat een veroordeelde tot een vrijheidsstraf</w:t>
      </w:r>
      <w:r w:rsidR="004F0E32">
        <w:rPr>
          <w:rFonts w:ascii="Times New Roman" w:hAnsi="Times New Roman"/>
          <w:sz w:val="24"/>
          <w:szCs w:val="24"/>
        </w:rPr>
        <w:t>,</w:t>
      </w:r>
      <w:r w:rsidR="00FB7D8D">
        <w:rPr>
          <w:rFonts w:ascii="Times New Roman" w:hAnsi="Times New Roman"/>
          <w:sz w:val="24"/>
          <w:szCs w:val="24"/>
        </w:rPr>
        <w:t xml:space="preserve"> nadat hij een deel van zijn straf heeft ondergaan, met toestemming van de rechter de gevangenis mag verlaten en daarin niet meer behoeft terug te keren. Hij krijgt wel een meldingsplicht opgelegd. Deze maatregel wordt toegepast met het oog op de resocialisatie van de veroordeelde in de Peruaanse samenleving. </w:t>
      </w:r>
      <w:r w:rsidRPr="00054A20" w:rsidR="005D39F3">
        <w:rPr>
          <w:rFonts w:ascii="Times New Roman" w:hAnsi="Times New Roman"/>
          <w:sz w:val="24"/>
          <w:szCs w:val="24"/>
        </w:rPr>
        <w:t xml:space="preserve">De </w:t>
      </w:r>
      <w:r w:rsidRPr="00054A20" w:rsidR="00E44F37">
        <w:rPr>
          <w:rFonts w:ascii="Times New Roman" w:hAnsi="Times New Roman"/>
          <w:sz w:val="24"/>
          <w:szCs w:val="24"/>
        </w:rPr>
        <w:t xml:space="preserve">veroordeelde </w:t>
      </w:r>
      <w:r w:rsidRPr="00054A20" w:rsidR="005D39F3">
        <w:rPr>
          <w:rFonts w:ascii="Times New Roman" w:hAnsi="Times New Roman"/>
          <w:sz w:val="24"/>
          <w:szCs w:val="24"/>
        </w:rPr>
        <w:t xml:space="preserve">dient </w:t>
      </w:r>
      <w:r w:rsidR="00DE3EFF">
        <w:rPr>
          <w:rFonts w:ascii="Times New Roman" w:hAnsi="Times New Roman"/>
          <w:sz w:val="24"/>
          <w:szCs w:val="24"/>
        </w:rPr>
        <w:t xml:space="preserve">daartoe </w:t>
      </w:r>
      <w:r w:rsidRPr="00054A20" w:rsidR="00AB7F5E">
        <w:rPr>
          <w:rFonts w:ascii="Times New Roman" w:hAnsi="Times New Roman"/>
          <w:sz w:val="24"/>
          <w:szCs w:val="24"/>
        </w:rPr>
        <w:t xml:space="preserve">zelf een verzoek </w:t>
      </w:r>
      <w:r w:rsidRPr="00054A20" w:rsidR="005D39F3">
        <w:rPr>
          <w:rFonts w:ascii="Times New Roman" w:hAnsi="Times New Roman"/>
          <w:sz w:val="24"/>
          <w:szCs w:val="24"/>
        </w:rPr>
        <w:t xml:space="preserve">te </w:t>
      </w:r>
      <w:r w:rsidRPr="00054A20" w:rsidR="00AB7F5E">
        <w:rPr>
          <w:rFonts w:ascii="Times New Roman" w:hAnsi="Times New Roman"/>
          <w:sz w:val="24"/>
          <w:szCs w:val="24"/>
        </w:rPr>
        <w:t>doen</w:t>
      </w:r>
      <w:r w:rsidRPr="00054A20" w:rsidR="005D39F3">
        <w:rPr>
          <w:rFonts w:ascii="Times New Roman" w:hAnsi="Times New Roman"/>
          <w:sz w:val="24"/>
          <w:szCs w:val="24"/>
        </w:rPr>
        <w:t xml:space="preserve"> </w:t>
      </w:r>
      <w:r w:rsidRPr="00054A20" w:rsidR="00AB7F5E">
        <w:rPr>
          <w:rFonts w:ascii="Times New Roman" w:hAnsi="Times New Roman"/>
          <w:sz w:val="24"/>
          <w:szCs w:val="24"/>
        </w:rPr>
        <w:t xml:space="preserve">en </w:t>
      </w:r>
      <w:r w:rsidRPr="00054A20" w:rsidR="005D39F3">
        <w:rPr>
          <w:rFonts w:ascii="Times New Roman" w:hAnsi="Times New Roman"/>
          <w:sz w:val="24"/>
          <w:szCs w:val="24"/>
        </w:rPr>
        <w:t>er moet</w:t>
      </w:r>
      <w:r w:rsidRPr="00054A20" w:rsidR="00AB7F5E">
        <w:rPr>
          <w:rFonts w:ascii="Times New Roman" w:hAnsi="Times New Roman"/>
          <w:sz w:val="24"/>
          <w:szCs w:val="24"/>
        </w:rPr>
        <w:t xml:space="preserve"> een psychologische en een sociale rapportage</w:t>
      </w:r>
      <w:r w:rsidRPr="00054A20" w:rsidR="005D39F3">
        <w:rPr>
          <w:rFonts w:ascii="Times New Roman" w:hAnsi="Times New Roman"/>
          <w:sz w:val="24"/>
          <w:szCs w:val="24"/>
        </w:rPr>
        <w:t xml:space="preserve"> worden opgesteld</w:t>
      </w:r>
      <w:r w:rsidRPr="00054A20" w:rsidR="00E44F37">
        <w:rPr>
          <w:rFonts w:ascii="Times New Roman" w:hAnsi="Times New Roman"/>
          <w:sz w:val="24"/>
          <w:szCs w:val="24"/>
        </w:rPr>
        <w:t xml:space="preserve">. Ook dient </w:t>
      </w:r>
      <w:r w:rsidRPr="00054A20" w:rsidR="005D39F3">
        <w:rPr>
          <w:rFonts w:ascii="Times New Roman" w:hAnsi="Times New Roman"/>
          <w:sz w:val="24"/>
          <w:szCs w:val="24"/>
        </w:rPr>
        <w:t>de veroordeelde</w:t>
      </w:r>
      <w:r w:rsidRPr="00054A20" w:rsidR="00E44F37">
        <w:rPr>
          <w:rFonts w:ascii="Times New Roman" w:hAnsi="Times New Roman"/>
          <w:sz w:val="24"/>
          <w:szCs w:val="24"/>
        </w:rPr>
        <w:t xml:space="preserve"> </w:t>
      </w:r>
      <w:r w:rsidRPr="00054A20" w:rsidR="00AB7F5E">
        <w:rPr>
          <w:rFonts w:ascii="Times New Roman" w:hAnsi="Times New Roman"/>
          <w:sz w:val="24"/>
          <w:szCs w:val="24"/>
        </w:rPr>
        <w:t xml:space="preserve">een belofte van goed gedrag </w:t>
      </w:r>
      <w:r w:rsidRPr="00054A20" w:rsidR="00E44F37">
        <w:rPr>
          <w:rFonts w:ascii="Times New Roman" w:hAnsi="Times New Roman"/>
          <w:sz w:val="24"/>
          <w:szCs w:val="24"/>
        </w:rPr>
        <w:t xml:space="preserve">te </w:t>
      </w:r>
      <w:r w:rsidRPr="00054A20" w:rsidR="00AB7F5E">
        <w:rPr>
          <w:rFonts w:ascii="Times New Roman" w:hAnsi="Times New Roman"/>
          <w:sz w:val="24"/>
          <w:szCs w:val="24"/>
        </w:rPr>
        <w:t xml:space="preserve">ondertekenen, </w:t>
      </w:r>
      <w:r w:rsidRPr="00054A20" w:rsidR="00E44F37">
        <w:rPr>
          <w:rFonts w:ascii="Times New Roman" w:hAnsi="Times New Roman"/>
          <w:sz w:val="24"/>
          <w:szCs w:val="24"/>
        </w:rPr>
        <w:t xml:space="preserve">dient hij aan te tonen </w:t>
      </w:r>
      <w:r w:rsidRPr="00054A20" w:rsidR="00AB7F5E">
        <w:rPr>
          <w:rFonts w:ascii="Times New Roman" w:hAnsi="Times New Roman"/>
          <w:sz w:val="24"/>
          <w:szCs w:val="24"/>
        </w:rPr>
        <w:t xml:space="preserve">dat hij </w:t>
      </w:r>
      <w:r w:rsidRPr="00054A20" w:rsidR="00447EDA">
        <w:rPr>
          <w:rFonts w:ascii="Times New Roman" w:hAnsi="Times New Roman"/>
          <w:sz w:val="24"/>
          <w:szCs w:val="24"/>
        </w:rPr>
        <w:t xml:space="preserve">in voorkomend geval </w:t>
      </w:r>
      <w:r w:rsidRPr="00054A20" w:rsidR="00AB7F5E">
        <w:rPr>
          <w:rFonts w:ascii="Times New Roman" w:hAnsi="Times New Roman"/>
          <w:sz w:val="24"/>
          <w:szCs w:val="24"/>
        </w:rPr>
        <w:t xml:space="preserve">aan een opgelegde </w:t>
      </w:r>
      <w:r w:rsidRPr="00054A20" w:rsidR="003D1B17">
        <w:rPr>
          <w:rFonts w:ascii="Times New Roman" w:hAnsi="Times New Roman"/>
          <w:sz w:val="24"/>
          <w:szCs w:val="24"/>
        </w:rPr>
        <w:t xml:space="preserve">plicht tot </w:t>
      </w:r>
      <w:r w:rsidRPr="00054A20" w:rsidR="00447EDA">
        <w:rPr>
          <w:rFonts w:ascii="Times New Roman" w:hAnsi="Times New Roman"/>
          <w:sz w:val="24"/>
          <w:szCs w:val="24"/>
        </w:rPr>
        <w:t xml:space="preserve">betaling van </w:t>
      </w:r>
      <w:r w:rsidRPr="00054A20" w:rsidR="00AB7F5E">
        <w:rPr>
          <w:rFonts w:ascii="Times New Roman" w:hAnsi="Times New Roman"/>
          <w:sz w:val="24"/>
          <w:szCs w:val="24"/>
        </w:rPr>
        <w:t>schadevergoeding heeft voldaan</w:t>
      </w:r>
      <w:r w:rsidRPr="00054A20" w:rsidR="005D39F3">
        <w:rPr>
          <w:rFonts w:ascii="Times New Roman" w:hAnsi="Times New Roman"/>
          <w:sz w:val="24"/>
          <w:szCs w:val="24"/>
        </w:rPr>
        <w:t xml:space="preserve"> </w:t>
      </w:r>
      <w:r w:rsidRPr="00054A20" w:rsidR="00836894">
        <w:rPr>
          <w:rFonts w:ascii="Times New Roman" w:hAnsi="Times New Roman"/>
          <w:sz w:val="24"/>
          <w:szCs w:val="24"/>
        </w:rPr>
        <w:t xml:space="preserve">en </w:t>
      </w:r>
      <w:r w:rsidRPr="00054A20" w:rsidR="005D39F3">
        <w:rPr>
          <w:rFonts w:ascii="Times New Roman" w:hAnsi="Times New Roman"/>
          <w:sz w:val="24"/>
          <w:szCs w:val="24"/>
        </w:rPr>
        <w:t>dient hij</w:t>
      </w:r>
      <w:r w:rsidRPr="00054A20" w:rsidR="00AB7F5E">
        <w:rPr>
          <w:rFonts w:ascii="Times New Roman" w:hAnsi="Times New Roman"/>
          <w:sz w:val="24"/>
          <w:szCs w:val="24"/>
        </w:rPr>
        <w:t xml:space="preserve"> een bewijs van goed gedrag </w:t>
      </w:r>
      <w:r w:rsidRPr="00054A20" w:rsidR="005D39F3">
        <w:rPr>
          <w:rFonts w:ascii="Times New Roman" w:hAnsi="Times New Roman"/>
          <w:sz w:val="24"/>
          <w:szCs w:val="24"/>
        </w:rPr>
        <w:t xml:space="preserve">te </w:t>
      </w:r>
      <w:r w:rsidRPr="00054A20" w:rsidR="00E44F37">
        <w:rPr>
          <w:rFonts w:ascii="Times New Roman" w:hAnsi="Times New Roman"/>
          <w:sz w:val="24"/>
          <w:szCs w:val="24"/>
        </w:rPr>
        <w:t xml:space="preserve">overleggen </w:t>
      </w:r>
      <w:r w:rsidRPr="00054A20" w:rsidR="00AB7F5E">
        <w:rPr>
          <w:rFonts w:ascii="Times New Roman" w:hAnsi="Times New Roman"/>
          <w:sz w:val="24"/>
          <w:szCs w:val="24"/>
        </w:rPr>
        <w:t xml:space="preserve">en </w:t>
      </w:r>
      <w:r w:rsidRPr="00054A20" w:rsidR="00E44F37">
        <w:rPr>
          <w:rFonts w:ascii="Times New Roman" w:hAnsi="Times New Roman"/>
          <w:sz w:val="24"/>
          <w:szCs w:val="24"/>
        </w:rPr>
        <w:t xml:space="preserve">een verklaring over </w:t>
      </w:r>
      <w:r w:rsidRPr="00054A20" w:rsidR="00AB7F5E">
        <w:rPr>
          <w:rFonts w:ascii="Times New Roman" w:hAnsi="Times New Roman"/>
          <w:sz w:val="24"/>
          <w:szCs w:val="24"/>
        </w:rPr>
        <w:t>het verrichten van werk in de gevangenis</w:t>
      </w:r>
      <w:r w:rsidRPr="00054A20" w:rsidR="0009013D">
        <w:rPr>
          <w:rFonts w:ascii="Times New Roman" w:hAnsi="Times New Roman"/>
          <w:sz w:val="24"/>
          <w:szCs w:val="24"/>
        </w:rPr>
        <w:t xml:space="preserve">. </w:t>
      </w:r>
      <w:r w:rsidRPr="00054A20">
        <w:rPr>
          <w:rFonts w:ascii="Times New Roman" w:hAnsi="Times New Roman"/>
          <w:sz w:val="24"/>
          <w:szCs w:val="24"/>
        </w:rPr>
        <w:t xml:space="preserve">De toepassing van semi-libertad in concrete gevallen is geheel aan de Peruaanse autoriteiten. </w:t>
      </w:r>
      <w:r w:rsidRPr="00054A20" w:rsidR="000F4240">
        <w:rPr>
          <w:rFonts w:ascii="Times New Roman" w:hAnsi="Times New Roman"/>
          <w:sz w:val="24"/>
          <w:szCs w:val="24"/>
        </w:rPr>
        <w:t xml:space="preserve">De ervaringen van </w:t>
      </w:r>
      <w:r w:rsidRPr="00054A20" w:rsidR="00447EDA">
        <w:rPr>
          <w:rFonts w:ascii="Times New Roman" w:hAnsi="Times New Roman"/>
          <w:sz w:val="24"/>
          <w:szCs w:val="24"/>
        </w:rPr>
        <w:t xml:space="preserve">Harer Majesteits </w:t>
      </w:r>
      <w:r w:rsidRPr="00054A20" w:rsidR="000F4240">
        <w:rPr>
          <w:rFonts w:ascii="Times New Roman" w:hAnsi="Times New Roman"/>
          <w:sz w:val="24"/>
          <w:szCs w:val="24"/>
        </w:rPr>
        <w:t>ambassade</w:t>
      </w:r>
      <w:r w:rsidRPr="00054A20" w:rsidR="00447EDA">
        <w:rPr>
          <w:rFonts w:ascii="Times New Roman" w:hAnsi="Times New Roman"/>
          <w:sz w:val="24"/>
          <w:szCs w:val="24"/>
        </w:rPr>
        <w:t xml:space="preserve"> te Peru</w:t>
      </w:r>
      <w:r w:rsidRPr="00054A20" w:rsidR="000F4240">
        <w:rPr>
          <w:rFonts w:ascii="Times New Roman" w:hAnsi="Times New Roman"/>
          <w:sz w:val="24"/>
          <w:szCs w:val="24"/>
        </w:rPr>
        <w:t xml:space="preserve"> zijn</w:t>
      </w:r>
      <w:r w:rsidRPr="00054A20" w:rsidR="00447EDA">
        <w:rPr>
          <w:rFonts w:ascii="Times New Roman" w:hAnsi="Times New Roman"/>
          <w:sz w:val="24"/>
          <w:szCs w:val="24"/>
        </w:rPr>
        <w:t>,</w:t>
      </w:r>
      <w:r w:rsidRPr="00054A20" w:rsidR="000F4240">
        <w:rPr>
          <w:rFonts w:ascii="Times New Roman" w:hAnsi="Times New Roman"/>
          <w:sz w:val="24"/>
          <w:szCs w:val="24"/>
        </w:rPr>
        <w:t xml:space="preserve"> dat </w:t>
      </w:r>
      <w:r w:rsidRPr="00054A20" w:rsidR="00E44F37">
        <w:rPr>
          <w:rFonts w:ascii="Times New Roman" w:hAnsi="Times New Roman"/>
          <w:sz w:val="24"/>
          <w:szCs w:val="24"/>
        </w:rPr>
        <w:t>veel</w:t>
      </w:r>
      <w:r w:rsidRPr="00054A20" w:rsidR="000F4240">
        <w:rPr>
          <w:rFonts w:ascii="Times New Roman" w:hAnsi="Times New Roman"/>
          <w:sz w:val="24"/>
          <w:szCs w:val="24"/>
        </w:rPr>
        <w:t xml:space="preserve"> Nederlanders van deze mogelijkheid gebruik maken. </w:t>
      </w:r>
      <w:r w:rsidRPr="00054A20" w:rsidR="00E44F37">
        <w:rPr>
          <w:rFonts w:ascii="Times New Roman" w:hAnsi="Times New Roman"/>
          <w:sz w:val="24"/>
          <w:szCs w:val="24"/>
        </w:rPr>
        <w:t xml:space="preserve">Sinds enkele </w:t>
      </w:r>
      <w:r w:rsidRPr="00054A20" w:rsidR="000F4240">
        <w:rPr>
          <w:rFonts w:ascii="Times New Roman" w:hAnsi="Times New Roman"/>
          <w:sz w:val="24"/>
          <w:szCs w:val="24"/>
        </w:rPr>
        <w:t xml:space="preserve">jaren gaat </w:t>
      </w:r>
      <w:r w:rsidRPr="00054A20" w:rsidR="00E44F37">
        <w:rPr>
          <w:rFonts w:ascii="Times New Roman" w:hAnsi="Times New Roman"/>
          <w:sz w:val="24"/>
          <w:szCs w:val="24"/>
        </w:rPr>
        <w:t xml:space="preserve">het hierbij </w:t>
      </w:r>
      <w:r w:rsidRPr="00054A20" w:rsidR="000F4240">
        <w:rPr>
          <w:rFonts w:ascii="Times New Roman" w:hAnsi="Times New Roman"/>
          <w:sz w:val="24"/>
          <w:szCs w:val="24"/>
        </w:rPr>
        <w:t>om personen die al langer in Peru waren</w:t>
      </w:r>
      <w:r w:rsidRPr="00054A20" w:rsidR="0009013D">
        <w:rPr>
          <w:rFonts w:ascii="Times New Roman" w:hAnsi="Times New Roman"/>
          <w:sz w:val="24"/>
          <w:szCs w:val="24"/>
        </w:rPr>
        <w:t>.</w:t>
      </w:r>
      <w:r w:rsidRPr="00054A20" w:rsidR="000F4240">
        <w:rPr>
          <w:rFonts w:ascii="Times New Roman" w:hAnsi="Times New Roman"/>
          <w:sz w:val="24"/>
          <w:szCs w:val="24"/>
        </w:rPr>
        <w:t xml:space="preserve"> Anders dan </w:t>
      </w:r>
      <w:r w:rsidRPr="00054A20" w:rsidR="00D613C6">
        <w:rPr>
          <w:rFonts w:ascii="Times New Roman" w:hAnsi="Times New Roman"/>
          <w:sz w:val="24"/>
          <w:szCs w:val="24"/>
        </w:rPr>
        <w:t xml:space="preserve">het antwoord op eerdere </w:t>
      </w:r>
      <w:r w:rsidRPr="00054A20" w:rsidR="00A34A0C">
        <w:rPr>
          <w:rFonts w:ascii="Times New Roman" w:hAnsi="Times New Roman"/>
          <w:sz w:val="24"/>
          <w:szCs w:val="24"/>
        </w:rPr>
        <w:t>Kamervragen</w:t>
      </w:r>
      <w:r w:rsidRPr="00054A20" w:rsidR="00D613C6">
        <w:rPr>
          <w:rFonts w:ascii="Times New Roman" w:hAnsi="Times New Roman"/>
          <w:sz w:val="24"/>
          <w:szCs w:val="24"/>
        </w:rPr>
        <w:t xml:space="preserve"> van </w:t>
      </w:r>
      <w:r w:rsidRPr="00054A20" w:rsidR="00375E22">
        <w:rPr>
          <w:rFonts w:ascii="Times New Roman" w:hAnsi="Times New Roman"/>
          <w:sz w:val="24"/>
          <w:szCs w:val="24"/>
        </w:rPr>
        <w:t>het lid</w:t>
      </w:r>
      <w:r w:rsidRPr="00054A20" w:rsidR="00D613C6">
        <w:rPr>
          <w:rFonts w:ascii="Times New Roman" w:hAnsi="Times New Roman"/>
          <w:sz w:val="24"/>
          <w:szCs w:val="24"/>
        </w:rPr>
        <w:t xml:space="preserve"> Van Velzen (Kamerstukken II 2007</w:t>
      </w:r>
      <w:r w:rsidRPr="00054A20" w:rsidR="001457C0">
        <w:rPr>
          <w:rFonts w:ascii="Times New Roman" w:hAnsi="Times New Roman"/>
          <w:sz w:val="24"/>
          <w:szCs w:val="24"/>
        </w:rPr>
        <w:t>/</w:t>
      </w:r>
      <w:r w:rsidRPr="00054A20" w:rsidR="00D613C6">
        <w:rPr>
          <w:rFonts w:ascii="Times New Roman" w:hAnsi="Times New Roman"/>
          <w:sz w:val="24"/>
          <w:szCs w:val="24"/>
        </w:rPr>
        <w:t xml:space="preserve">08, Aanhangsel </w:t>
      </w:r>
      <w:r w:rsidRPr="00054A20" w:rsidR="001457C0">
        <w:rPr>
          <w:rFonts w:ascii="Times New Roman" w:hAnsi="Times New Roman"/>
          <w:sz w:val="24"/>
          <w:szCs w:val="24"/>
        </w:rPr>
        <w:t xml:space="preserve">handelingen </w:t>
      </w:r>
      <w:r w:rsidRPr="00054A20" w:rsidR="00D613C6">
        <w:rPr>
          <w:rFonts w:ascii="Times New Roman" w:hAnsi="Times New Roman"/>
          <w:sz w:val="24"/>
          <w:szCs w:val="24"/>
        </w:rPr>
        <w:t>645)</w:t>
      </w:r>
      <w:r w:rsidRPr="00054A20" w:rsidR="000F4240">
        <w:rPr>
          <w:rFonts w:ascii="Times New Roman" w:hAnsi="Times New Roman"/>
          <w:sz w:val="24"/>
          <w:szCs w:val="24"/>
        </w:rPr>
        <w:t xml:space="preserve"> </w:t>
      </w:r>
      <w:r w:rsidRPr="00054A20" w:rsidR="003D1B17">
        <w:rPr>
          <w:rFonts w:ascii="Times New Roman" w:hAnsi="Times New Roman"/>
          <w:sz w:val="24"/>
          <w:szCs w:val="24"/>
        </w:rPr>
        <w:t>suggereerde</w:t>
      </w:r>
      <w:r w:rsidRPr="00054A20" w:rsidR="00316E90">
        <w:rPr>
          <w:rFonts w:ascii="Times New Roman" w:hAnsi="Times New Roman"/>
          <w:sz w:val="24"/>
          <w:szCs w:val="24"/>
        </w:rPr>
        <w:t>,</w:t>
      </w:r>
      <w:r w:rsidRPr="00054A20" w:rsidR="003D1B17">
        <w:rPr>
          <w:rFonts w:ascii="Times New Roman" w:hAnsi="Times New Roman"/>
          <w:sz w:val="24"/>
          <w:szCs w:val="24"/>
        </w:rPr>
        <w:t xml:space="preserve"> </w:t>
      </w:r>
      <w:r w:rsidRPr="00054A20" w:rsidR="000F4240">
        <w:rPr>
          <w:rFonts w:ascii="Times New Roman" w:hAnsi="Times New Roman"/>
          <w:sz w:val="24"/>
          <w:szCs w:val="24"/>
        </w:rPr>
        <w:t xml:space="preserve">is het dus niet meer zo dat alle </w:t>
      </w:r>
      <w:r w:rsidRPr="00054A20" w:rsidR="00E44F37">
        <w:rPr>
          <w:rFonts w:ascii="Times New Roman" w:hAnsi="Times New Roman"/>
          <w:sz w:val="24"/>
          <w:szCs w:val="24"/>
        </w:rPr>
        <w:t xml:space="preserve">Nederlanders </w:t>
      </w:r>
      <w:r w:rsidRPr="00054A20" w:rsidR="000F4240">
        <w:rPr>
          <w:rFonts w:ascii="Times New Roman" w:hAnsi="Times New Roman"/>
          <w:sz w:val="24"/>
          <w:szCs w:val="24"/>
        </w:rPr>
        <w:t>die vervr</w:t>
      </w:r>
      <w:r w:rsidRPr="00054A20" w:rsidR="00D613C6">
        <w:rPr>
          <w:rFonts w:ascii="Times New Roman" w:hAnsi="Times New Roman"/>
          <w:sz w:val="24"/>
          <w:szCs w:val="24"/>
        </w:rPr>
        <w:t>o</w:t>
      </w:r>
      <w:r w:rsidRPr="00054A20" w:rsidR="000F4240">
        <w:rPr>
          <w:rFonts w:ascii="Times New Roman" w:hAnsi="Times New Roman"/>
          <w:sz w:val="24"/>
          <w:szCs w:val="24"/>
        </w:rPr>
        <w:t>egd z</w:t>
      </w:r>
      <w:r w:rsidRPr="00054A20" w:rsidR="00E44F37">
        <w:rPr>
          <w:rFonts w:ascii="Times New Roman" w:hAnsi="Times New Roman"/>
          <w:sz w:val="24"/>
          <w:szCs w:val="24"/>
        </w:rPr>
        <w:t>i</w:t>
      </w:r>
      <w:r w:rsidRPr="00054A20" w:rsidR="000F4240">
        <w:rPr>
          <w:rFonts w:ascii="Times New Roman" w:hAnsi="Times New Roman"/>
          <w:sz w:val="24"/>
          <w:szCs w:val="24"/>
        </w:rPr>
        <w:t>jn vrijgelaten geen toekomst hebben in Peru</w:t>
      </w:r>
      <w:r w:rsidRPr="00054A20" w:rsidR="0009013D">
        <w:rPr>
          <w:rFonts w:ascii="Times New Roman" w:hAnsi="Times New Roman"/>
          <w:sz w:val="24"/>
          <w:szCs w:val="24"/>
        </w:rPr>
        <w:t>.</w:t>
      </w:r>
      <w:r w:rsidRPr="00054A20" w:rsidR="000F4240">
        <w:rPr>
          <w:rFonts w:ascii="Times New Roman" w:hAnsi="Times New Roman"/>
          <w:sz w:val="24"/>
          <w:szCs w:val="24"/>
        </w:rPr>
        <w:t xml:space="preserve"> </w:t>
      </w:r>
    </w:p>
    <w:p w:rsidR="00FB7D8D" w:rsidP="00601948" w:rsidRDefault="00FB7D8D" w14:paraId="4456AD49" w14:textId="78E30405">
      <w:r>
        <w:t>Tijdens de onderhandelingen over het verdrag is gesproken over de semi</w:t>
      </w:r>
      <w:r w:rsidR="004F0E32">
        <w:t>-</w:t>
      </w:r>
      <w:r>
        <w:t xml:space="preserve">libertad. </w:t>
      </w:r>
      <w:r w:rsidR="00601948">
        <w:t xml:space="preserve">Hoewel het verdrag </w:t>
      </w:r>
      <w:r w:rsidR="004F0E32">
        <w:t>en</w:t>
      </w:r>
      <w:r w:rsidR="00601948">
        <w:t xml:space="preserve"> de semi</w:t>
      </w:r>
      <w:r w:rsidR="00706E9D">
        <w:t>-</w:t>
      </w:r>
      <w:r w:rsidR="00601948">
        <w:t xml:space="preserve">libertad dus gemeen hebben dat zij </w:t>
      </w:r>
      <w:r w:rsidR="00DE3EFF">
        <w:t xml:space="preserve">de </w:t>
      </w:r>
      <w:r w:rsidR="00601948">
        <w:t xml:space="preserve">resocialisatie </w:t>
      </w:r>
      <w:r w:rsidR="00DE3EFF">
        <w:t xml:space="preserve">van de veroordeelde </w:t>
      </w:r>
      <w:r w:rsidR="00601948">
        <w:t>beogen, lo</w:t>
      </w:r>
      <w:r w:rsidR="004F0E32">
        <w:t>o</w:t>
      </w:r>
      <w:r w:rsidR="00601948">
        <w:t>p</w:t>
      </w:r>
      <w:r w:rsidR="004F0E32">
        <w:t>t het uiteindelijke doel van beide regelingen u</w:t>
      </w:r>
      <w:r w:rsidR="00601948">
        <w:t xml:space="preserve">iteen doordat de plaats van de resocialisatie verschilt. </w:t>
      </w:r>
      <w:r w:rsidR="004F0E32">
        <w:t>E</w:t>
      </w:r>
      <w:r w:rsidR="00601948">
        <w:t xml:space="preserve">en verdrag tot overbrenging </w:t>
      </w:r>
      <w:r w:rsidR="004F0E32">
        <w:t xml:space="preserve">dient ertoe </w:t>
      </w:r>
      <w:r w:rsidR="00601948">
        <w:t xml:space="preserve">de resocialisatie van buitenlandse gedetineerden in hun eigen land te bevorderen, terwijl de semi-libertad ziet op resocialisatie </w:t>
      </w:r>
      <w:r w:rsidR="00631E27">
        <w:t>in Peru met het oog op</w:t>
      </w:r>
      <w:r w:rsidR="00601948">
        <w:t xml:space="preserve"> voortgezet verblijf in Peru. Het is aan de Nederlandse gedetineerden zelf te bepalen of zij voor semi-libertad </w:t>
      </w:r>
      <w:r w:rsidR="00846488">
        <w:t xml:space="preserve">of voor overbrenging </w:t>
      </w:r>
      <w:r w:rsidR="00601948">
        <w:t xml:space="preserve">in aanmerking willen komen. Uit een verzoek </w:t>
      </w:r>
      <w:r w:rsidR="00846488">
        <w:t>tot semi-libertad</w:t>
      </w:r>
      <w:r w:rsidR="00601948">
        <w:t xml:space="preserve"> </w:t>
      </w:r>
      <w:r w:rsidR="004F0E32">
        <w:t xml:space="preserve">van een Nederlander </w:t>
      </w:r>
      <w:r w:rsidR="00601948">
        <w:t xml:space="preserve">mag worden afgeleid dat </w:t>
      </w:r>
      <w:r w:rsidRPr="00846488" w:rsidR="00601948">
        <w:t>hij in Peru wil blijven.</w:t>
      </w:r>
      <w:r w:rsidR="00601948">
        <w:t xml:space="preserve"> Een verzoek tot overbrenging</w:t>
      </w:r>
      <w:r w:rsidR="004F0E32">
        <w:t>,</w:t>
      </w:r>
      <w:r w:rsidR="00601948">
        <w:t xml:space="preserve"> </w:t>
      </w:r>
      <w:r w:rsidR="004F0E32">
        <w:t xml:space="preserve">nadat betrokkene zich al in semi-libertad bevindt, </w:t>
      </w:r>
      <w:r w:rsidR="00601948">
        <w:t>naar een van de landen van het Koninkrijk valt daarmee niet te rijmen.</w:t>
      </w:r>
      <w:r w:rsidR="004F0E32">
        <w:t xml:space="preserve"> De conclusie was dan ook dat personen </w:t>
      </w:r>
      <w:r w:rsidR="00631E27">
        <w:t xml:space="preserve">ten aanzien van </w:t>
      </w:r>
      <w:r w:rsidR="004F0E32">
        <w:t>wie</w:t>
      </w:r>
      <w:r w:rsidR="00631E27">
        <w:t xml:space="preserve"> het</w:t>
      </w:r>
      <w:r w:rsidR="004F0E32">
        <w:t xml:space="preserve"> verzoek om semi-libertad is ingewilligd, niet in aanmerking komen voor toepassing van het </w:t>
      </w:r>
      <w:r w:rsidR="00706E9D">
        <w:t xml:space="preserve">verdrag. </w:t>
      </w:r>
    </w:p>
    <w:p w:rsidR="0009013D" w:rsidP="00D02E8C" w:rsidRDefault="0009013D" w14:paraId="4C42B56A" w14:textId="77777777">
      <w:pPr>
        <w:pStyle w:val="FootnoteText"/>
        <w:rPr>
          <w:rFonts w:ascii="Times New Roman" w:hAnsi="Times New Roman"/>
          <w:sz w:val="24"/>
          <w:szCs w:val="24"/>
        </w:rPr>
      </w:pPr>
    </w:p>
    <w:p w:rsidR="00601948" w:rsidP="00601948" w:rsidRDefault="004F0E32" w14:paraId="363692ED" w14:textId="77777777">
      <w:r>
        <w:t xml:space="preserve">Een en ander </w:t>
      </w:r>
      <w:r w:rsidR="00631E27">
        <w:t>b</w:t>
      </w:r>
      <w:r>
        <w:t>etekent dat</w:t>
      </w:r>
      <w:r w:rsidR="00631E27">
        <w:t xml:space="preserve">, </w:t>
      </w:r>
      <w:r>
        <w:t>n</w:t>
      </w:r>
      <w:r w:rsidR="00601948">
        <w:t>adat het onderhavige verdrag in werking is getreden</w:t>
      </w:r>
      <w:r>
        <w:t>,</w:t>
      </w:r>
      <w:r w:rsidR="00601948">
        <w:t xml:space="preserve"> Nederlanders twee opties</w:t>
      </w:r>
      <w:r>
        <w:t xml:space="preserve"> hebben</w:t>
      </w:r>
      <w:r w:rsidR="00601948">
        <w:t xml:space="preserve"> om </w:t>
      </w:r>
      <w:r>
        <w:t xml:space="preserve">te verzoeken om </w:t>
      </w:r>
      <w:r w:rsidR="00601948">
        <w:t xml:space="preserve">voor ommekomst van de hen opgelegde vrijheidsstraf de Peruaanse gevangenis te </w:t>
      </w:r>
      <w:r>
        <w:t xml:space="preserve">mogen </w:t>
      </w:r>
      <w:r w:rsidR="00601948">
        <w:t xml:space="preserve">verlaten, namelijk een verzoek tot </w:t>
      </w:r>
      <w:r w:rsidR="00601948">
        <w:lastRenderedPageBreak/>
        <w:t xml:space="preserve">overbrenging naar een van de landen van het Koninkrijk om daar de rest van </w:t>
      </w:r>
      <w:r>
        <w:t>de</w:t>
      </w:r>
      <w:r w:rsidR="00601948">
        <w:t xml:space="preserve"> straf te ondergaan of een verzoek tot semi</w:t>
      </w:r>
      <w:r>
        <w:t>-</w:t>
      </w:r>
      <w:r w:rsidR="00601948">
        <w:t>libertad in Peru. Kiest men voor de semi</w:t>
      </w:r>
      <w:r>
        <w:t>-</w:t>
      </w:r>
      <w:r w:rsidR="00601948">
        <w:t xml:space="preserve">libertad dan kiest men voor resocialisatie in Peru en daarmee dus niet voor terugkeer naar het Koninkrijk. </w:t>
      </w:r>
    </w:p>
    <w:p w:rsidR="00601948" w:rsidP="00D02E8C" w:rsidRDefault="00DD3DD5" w14:paraId="72C5CD43" w14:textId="77777777">
      <w:pPr>
        <w:pStyle w:val="FootnoteText"/>
        <w:rPr>
          <w:rFonts w:ascii="Times New Roman" w:hAnsi="Times New Roman"/>
          <w:sz w:val="24"/>
          <w:szCs w:val="24"/>
        </w:rPr>
      </w:pPr>
      <w:r w:rsidRPr="0097052B">
        <w:rPr>
          <w:rFonts w:ascii="Times New Roman" w:hAnsi="Times New Roman"/>
          <w:sz w:val="24"/>
          <w:szCs w:val="24"/>
        </w:rPr>
        <w:t xml:space="preserve">Het verdrag zal van toepassing zijn op alle personen die zich in detentie bevinden. Voor zover veroordeelden voor </w:t>
      </w:r>
      <w:r w:rsidR="004F0E32">
        <w:rPr>
          <w:rFonts w:ascii="Times New Roman" w:hAnsi="Times New Roman"/>
          <w:sz w:val="24"/>
          <w:szCs w:val="24"/>
        </w:rPr>
        <w:t xml:space="preserve">de </w:t>
      </w:r>
      <w:r w:rsidRPr="0097052B">
        <w:rPr>
          <w:rFonts w:ascii="Times New Roman" w:hAnsi="Times New Roman"/>
          <w:sz w:val="24"/>
          <w:szCs w:val="24"/>
        </w:rPr>
        <w:t xml:space="preserve">inwerkingtreding van het </w:t>
      </w:r>
      <w:r w:rsidR="00EF4529">
        <w:rPr>
          <w:rFonts w:ascii="Times New Roman" w:hAnsi="Times New Roman"/>
          <w:sz w:val="24"/>
          <w:szCs w:val="24"/>
        </w:rPr>
        <w:t>v</w:t>
      </w:r>
      <w:r w:rsidRPr="0097052B">
        <w:rPr>
          <w:rFonts w:ascii="Times New Roman" w:hAnsi="Times New Roman"/>
          <w:sz w:val="24"/>
          <w:szCs w:val="24"/>
        </w:rPr>
        <w:t>erdrag de keuze hebben gemaakt voor semi</w:t>
      </w:r>
      <w:r w:rsidR="00631E27">
        <w:rPr>
          <w:rFonts w:ascii="Times New Roman" w:hAnsi="Times New Roman"/>
          <w:sz w:val="24"/>
          <w:szCs w:val="24"/>
        </w:rPr>
        <w:t>-</w:t>
      </w:r>
      <w:r w:rsidRPr="0097052B">
        <w:rPr>
          <w:rFonts w:ascii="Times New Roman" w:hAnsi="Times New Roman"/>
          <w:sz w:val="24"/>
          <w:szCs w:val="24"/>
        </w:rPr>
        <w:t xml:space="preserve">libertad, geldt </w:t>
      </w:r>
      <w:r w:rsidR="00DE3EFF">
        <w:rPr>
          <w:rFonts w:ascii="Times New Roman" w:hAnsi="Times New Roman"/>
          <w:sz w:val="24"/>
          <w:szCs w:val="24"/>
        </w:rPr>
        <w:t xml:space="preserve">ook voor hen </w:t>
      </w:r>
      <w:r w:rsidRPr="0097052B">
        <w:rPr>
          <w:rFonts w:ascii="Times New Roman" w:hAnsi="Times New Roman"/>
          <w:sz w:val="24"/>
          <w:szCs w:val="24"/>
        </w:rPr>
        <w:t xml:space="preserve">dat toepassing van het </w:t>
      </w:r>
      <w:r w:rsidR="00EF4529">
        <w:rPr>
          <w:rFonts w:ascii="Times New Roman" w:hAnsi="Times New Roman"/>
          <w:sz w:val="24"/>
          <w:szCs w:val="24"/>
        </w:rPr>
        <w:t>v</w:t>
      </w:r>
      <w:r w:rsidRPr="0097052B">
        <w:rPr>
          <w:rFonts w:ascii="Times New Roman" w:hAnsi="Times New Roman"/>
          <w:sz w:val="24"/>
          <w:szCs w:val="24"/>
        </w:rPr>
        <w:t xml:space="preserve">erdrag niet tot de mogelijkheden behoort. </w:t>
      </w:r>
    </w:p>
    <w:p w:rsidR="00E87E78" w:rsidP="00D02E8C" w:rsidRDefault="00E87E78" w14:paraId="296070BD" w14:textId="77777777">
      <w:pPr>
        <w:pStyle w:val="FootnoteText"/>
        <w:rPr>
          <w:rFonts w:ascii="Times New Roman" w:hAnsi="Times New Roman"/>
          <w:sz w:val="24"/>
          <w:szCs w:val="24"/>
        </w:rPr>
      </w:pPr>
    </w:p>
    <w:p w:rsidR="00461E8E" w:rsidP="00D02E8C" w:rsidRDefault="00DD3DD5" w14:paraId="73D1BDA0" w14:textId="46C36FD9">
      <w:pPr>
        <w:pStyle w:val="FootnoteText"/>
        <w:rPr>
          <w:rFonts w:ascii="Times New Roman" w:hAnsi="Times New Roman"/>
          <w:sz w:val="24"/>
          <w:szCs w:val="24"/>
        </w:rPr>
      </w:pPr>
      <w:r>
        <w:rPr>
          <w:rFonts w:ascii="Times New Roman" w:hAnsi="Times New Roman"/>
          <w:sz w:val="24"/>
          <w:szCs w:val="24"/>
        </w:rPr>
        <w:t>Overigens bedraagt h</w:t>
      </w:r>
      <w:r w:rsidRPr="00BB7C28" w:rsidR="00D613C6">
        <w:rPr>
          <w:rFonts w:ascii="Times New Roman" w:hAnsi="Times New Roman"/>
          <w:sz w:val="24"/>
          <w:szCs w:val="24"/>
        </w:rPr>
        <w:t>et aantal Nederland</w:t>
      </w:r>
      <w:r w:rsidR="00D71E05">
        <w:rPr>
          <w:rFonts w:ascii="Times New Roman" w:hAnsi="Times New Roman"/>
          <w:sz w:val="24"/>
          <w:szCs w:val="24"/>
        </w:rPr>
        <w:t>se gedetineerden</w:t>
      </w:r>
      <w:r w:rsidRPr="00BB7C28" w:rsidR="00D613C6">
        <w:rPr>
          <w:rFonts w:ascii="Times New Roman" w:hAnsi="Times New Roman"/>
          <w:sz w:val="24"/>
          <w:szCs w:val="24"/>
        </w:rPr>
        <w:t xml:space="preserve"> </w:t>
      </w:r>
      <w:r w:rsidRPr="00BB7C28" w:rsidR="00CD7D84">
        <w:rPr>
          <w:rFonts w:ascii="Times New Roman" w:hAnsi="Times New Roman"/>
          <w:sz w:val="24"/>
          <w:szCs w:val="24"/>
        </w:rPr>
        <w:t>dat consulaire bijstand ontvangt in Peru</w:t>
      </w:r>
      <w:r w:rsidR="00A74657">
        <w:rPr>
          <w:rFonts w:ascii="Times New Roman" w:hAnsi="Times New Roman"/>
          <w:sz w:val="24"/>
          <w:szCs w:val="24"/>
        </w:rPr>
        <w:t xml:space="preserve"> </w:t>
      </w:r>
      <w:r w:rsidRPr="00BB7C28" w:rsidR="00CD7D84">
        <w:rPr>
          <w:rFonts w:ascii="Times New Roman" w:hAnsi="Times New Roman"/>
          <w:sz w:val="24"/>
          <w:szCs w:val="24"/>
        </w:rPr>
        <w:t xml:space="preserve">momenteel </w:t>
      </w:r>
      <w:r w:rsidR="006E5AB2">
        <w:rPr>
          <w:rFonts w:ascii="Times New Roman" w:hAnsi="Times New Roman"/>
          <w:sz w:val="24"/>
          <w:szCs w:val="24"/>
        </w:rPr>
        <w:t>97</w:t>
      </w:r>
      <w:r w:rsidRPr="00BB7C28" w:rsidR="00CD7D84">
        <w:rPr>
          <w:rFonts w:ascii="Times New Roman" w:hAnsi="Times New Roman"/>
          <w:sz w:val="24"/>
          <w:szCs w:val="24"/>
        </w:rPr>
        <w:t xml:space="preserve">. </w:t>
      </w:r>
      <w:r w:rsidR="00EF4529">
        <w:rPr>
          <w:rFonts w:ascii="Times New Roman" w:hAnsi="Times New Roman"/>
          <w:sz w:val="24"/>
          <w:szCs w:val="24"/>
        </w:rPr>
        <w:t>78</w:t>
      </w:r>
      <w:r w:rsidRPr="00EF4529" w:rsidR="001A2DD1">
        <w:rPr>
          <w:rFonts w:ascii="Times New Roman" w:hAnsi="Times New Roman"/>
          <w:sz w:val="24"/>
          <w:szCs w:val="24"/>
        </w:rPr>
        <w:t xml:space="preserve"> </w:t>
      </w:r>
      <w:r w:rsidRPr="00EF4529" w:rsidR="00054A20">
        <w:rPr>
          <w:rFonts w:ascii="Times New Roman" w:hAnsi="Times New Roman"/>
          <w:sz w:val="24"/>
          <w:szCs w:val="24"/>
        </w:rPr>
        <w:t>p</w:t>
      </w:r>
      <w:r w:rsidRPr="00EF4529" w:rsidR="001A2DD1">
        <w:rPr>
          <w:rFonts w:ascii="Times New Roman" w:hAnsi="Times New Roman"/>
          <w:sz w:val="24"/>
          <w:szCs w:val="24"/>
        </w:rPr>
        <w:t>ersonen</w:t>
      </w:r>
      <w:r w:rsidRPr="00EF4529" w:rsidR="00CD7D84">
        <w:rPr>
          <w:rFonts w:ascii="Times New Roman" w:hAnsi="Times New Roman"/>
          <w:sz w:val="24"/>
          <w:szCs w:val="24"/>
        </w:rPr>
        <w:t xml:space="preserve"> bevinden zich in detentie en </w:t>
      </w:r>
      <w:r w:rsidRPr="00EF4529" w:rsidR="00EF4529">
        <w:rPr>
          <w:rFonts w:ascii="Times New Roman" w:hAnsi="Times New Roman"/>
          <w:sz w:val="24"/>
          <w:szCs w:val="24"/>
        </w:rPr>
        <w:t>19</w:t>
      </w:r>
      <w:r w:rsidRPr="00EF4529" w:rsidR="00D71E05">
        <w:rPr>
          <w:rFonts w:ascii="Times New Roman" w:hAnsi="Times New Roman"/>
          <w:sz w:val="24"/>
          <w:szCs w:val="24"/>
        </w:rPr>
        <w:t xml:space="preserve"> </w:t>
      </w:r>
      <w:r w:rsidRPr="00EF4529" w:rsidR="001A2DD1">
        <w:rPr>
          <w:rFonts w:ascii="Times New Roman" w:hAnsi="Times New Roman"/>
          <w:sz w:val="24"/>
          <w:szCs w:val="24"/>
        </w:rPr>
        <w:t>personen</w:t>
      </w:r>
      <w:r w:rsidRPr="00BB7C28" w:rsidR="001A2DD1">
        <w:rPr>
          <w:rFonts w:ascii="Times New Roman" w:hAnsi="Times New Roman"/>
          <w:sz w:val="24"/>
          <w:szCs w:val="24"/>
        </w:rPr>
        <w:t xml:space="preserve"> zijn in aanmerking gekomen voor </w:t>
      </w:r>
      <w:r w:rsidRPr="00BB7C28" w:rsidR="00CD7D84">
        <w:rPr>
          <w:rFonts w:ascii="Times New Roman" w:hAnsi="Times New Roman"/>
          <w:sz w:val="24"/>
          <w:szCs w:val="24"/>
        </w:rPr>
        <w:t>semi</w:t>
      </w:r>
      <w:r w:rsidR="000E4338">
        <w:rPr>
          <w:rFonts w:ascii="Times New Roman" w:hAnsi="Times New Roman"/>
          <w:sz w:val="24"/>
          <w:szCs w:val="24"/>
        </w:rPr>
        <w:t>-</w:t>
      </w:r>
      <w:r w:rsidRPr="00BB7C28" w:rsidR="00CD7D84">
        <w:rPr>
          <w:rFonts w:ascii="Times New Roman" w:hAnsi="Times New Roman"/>
          <w:sz w:val="24"/>
          <w:szCs w:val="24"/>
        </w:rPr>
        <w:t>libertad.</w:t>
      </w:r>
      <w:r w:rsidR="00CD7D84">
        <w:rPr>
          <w:rFonts w:ascii="Times New Roman" w:hAnsi="Times New Roman"/>
          <w:sz w:val="24"/>
          <w:szCs w:val="24"/>
        </w:rPr>
        <w:t xml:space="preserve"> Zij komen uit alle landen van het Koninkrijk. </w:t>
      </w:r>
    </w:p>
    <w:p w:rsidR="00E87E78" w:rsidP="00D02E8C" w:rsidRDefault="00E87E78" w14:paraId="5064A174" w14:textId="77777777">
      <w:pPr>
        <w:pStyle w:val="FootnoteText"/>
        <w:rPr>
          <w:rFonts w:ascii="Times New Roman" w:hAnsi="Times New Roman"/>
          <w:sz w:val="24"/>
          <w:szCs w:val="24"/>
        </w:rPr>
      </w:pPr>
    </w:p>
    <w:p w:rsidR="00A34A0C" w:rsidP="00D02E8C" w:rsidRDefault="00CD7D84" w14:paraId="3F92C26C" w14:textId="77777777">
      <w:pPr>
        <w:pStyle w:val="FootnoteText"/>
        <w:rPr>
          <w:rFonts w:ascii="Times New Roman" w:hAnsi="Times New Roman"/>
          <w:sz w:val="24"/>
          <w:szCs w:val="24"/>
        </w:rPr>
      </w:pPr>
      <w:r>
        <w:rPr>
          <w:rFonts w:ascii="Times New Roman" w:hAnsi="Times New Roman"/>
          <w:sz w:val="24"/>
          <w:szCs w:val="24"/>
        </w:rPr>
        <w:t>Het verdrag voorziet er, zoals gebruikelijk</w:t>
      </w:r>
      <w:r w:rsidR="008028AE">
        <w:rPr>
          <w:rFonts w:ascii="Times New Roman" w:hAnsi="Times New Roman"/>
          <w:sz w:val="24"/>
          <w:szCs w:val="24"/>
        </w:rPr>
        <w:t>,</w:t>
      </w:r>
      <w:r>
        <w:rPr>
          <w:rFonts w:ascii="Times New Roman" w:hAnsi="Times New Roman"/>
          <w:sz w:val="24"/>
          <w:szCs w:val="24"/>
        </w:rPr>
        <w:t xml:space="preserve"> in dat elk land van het Koninkrijk als ontvangende staat kan fungeren</w:t>
      </w:r>
      <w:r w:rsidR="00CF6E1F">
        <w:rPr>
          <w:rFonts w:ascii="Times New Roman" w:hAnsi="Times New Roman"/>
          <w:sz w:val="24"/>
          <w:szCs w:val="24"/>
        </w:rPr>
        <w:t xml:space="preserve"> (artikel 1, onderdeel f)</w:t>
      </w:r>
      <w:r w:rsidR="006537B2">
        <w:rPr>
          <w:rFonts w:ascii="Times New Roman" w:hAnsi="Times New Roman"/>
          <w:sz w:val="24"/>
          <w:szCs w:val="24"/>
        </w:rPr>
        <w:t xml:space="preserve"> en dat de ministers van </w:t>
      </w:r>
      <w:r w:rsidR="00521AC1">
        <w:rPr>
          <w:rFonts w:ascii="Times New Roman" w:hAnsi="Times New Roman"/>
          <w:sz w:val="24"/>
          <w:szCs w:val="24"/>
        </w:rPr>
        <w:t xml:space="preserve">Justitie </w:t>
      </w:r>
      <w:r w:rsidR="006537B2">
        <w:rPr>
          <w:rFonts w:ascii="Times New Roman" w:hAnsi="Times New Roman"/>
          <w:sz w:val="24"/>
          <w:szCs w:val="24"/>
        </w:rPr>
        <w:t xml:space="preserve">van alle landen bevoegde autoriteiten zijn </w:t>
      </w:r>
      <w:r w:rsidR="00804D10">
        <w:rPr>
          <w:rFonts w:ascii="Times New Roman" w:hAnsi="Times New Roman"/>
          <w:sz w:val="24"/>
          <w:szCs w:val="24"/>
        </w:rPr>
        <w:t>die</w:t>
      </w:r>
      <w:r w:rsidR="006537B2">
        <w:rPr>
          <w:rFonts w:ascii="Times New Roman" w:hAnsi="Times New Roman"/>
          <w:sz w:val="24"/>
          <w:szCs w:val="24"/>
        </w:rPr>
        <w:t xml:space="preserve"> over een overbrenging beslissen</w:t>
      </w:r>
      <w:r w:rsidR="00804D10">
        <w:rPr>
          <w:rFonts w:ascii="Times New Roman" w:hAnsi="Times New Roman"/>
          <w:sz w:val="24"/>
          <w:szCs w:val="24"/>
        </w:rPr>
        <w:t xml:space="preserve"> (artikel 1, onderdeel g).</w:t>
      </w:r>
      <w:r>
        <w:rPr>
          <w:rFonts w:ascii="Times New Roman" w:hAnsi="Times New Roman"/>
          <w:sz w:val="24"/>
          <w:szCs w:val="24"/>
        </w:rPr>
        <w:t xml:space="preserve"> </w:t>
      </w:r>
      <w:r w:rsidR="00804D10">
        <w:rPr>
          <w:rFonts w:ascii="Times New Roman" w:hAnsi="Times New Roman"/>
          <w:sz w:val="24"/>
          <w:szCs w:val="24"/>
        </w:rPr>
        <w:t>In</w:t>
      </w:r>
      <w:r>
        <w:rPr>
          <w:rFonts w:ascii="Times New Roman" w:hAnsi="Times New Roman"/>
          <w:sz w:val="24"/>
          <w:szCs w:val="24"/>
        </w:rPr>
        <w:t xml:space="preserve"> de praktijk betekent dit </w:t>
      </w:r>
      <w:r w:rsidR="00CF6E1F">
        <w:rPr>
          <w:rFonts w:ascii="Times New Roman" w:hAnsi="Times New Roman"/>
          <w:sz w:val="24"/>
          <w:szCs w:val="24"/>
        </w:rPr>
        <w:t xml:space="preserve">dat overbrenging </w:t>
      </w:r>
      <w:r w:rsidR="001A2DD1">
        <w:rPr>
          <w:rFonts w:ascii="Times New Roman" w:hAnsi="Times New Roman"/>
          <w:sz w:val="24"/>
          <w:szCs w:val="24"/>
        </w:rPr>
        <w:t xml:space="preserve">dient </w:t>
      </w:r>
      <w:r w:rsidR="00CF6E1F">
        <w:rPr>
          <w:rFonts w:ascii="Times New Roman" w:hAnsi="Times New Roman"/>
          <w:sz w:val="24"/>
          <w:szCs w:val="24"/>
        </w:rPr>
        <w:t>plaats</w:t>
      </w:r>
      <w:r w:rsidR="001A2DD1">
        <w:rPr>
          <w:rFonts w:ascii="Times New Roman" w:hAnsi="Times New Roman"/>
          <w:sz w:val="24"/>
          <w:szCs w:val="24"/>
        </w:rPr>
        <w:t xml:space="preserve"> te </w:t>
      </w:r>
      <w:r w:rsidR="00CF6E1F">
        <w:rPr>
          <w:rFonts w:ascii="Times New Roman" w:hAnsi="Times New Roman"/>
          <w:sz w:val="24"/>
          <w:szCs w:val="24"/>
        </w:rPr>
        <w:t>vind</w:t>
      </w:r>
      <w:r w:rsidR="001A2DD1">
        <w:rPr>
          <w:rFonts w:ascii="Times New Roman" w:hAnsi="Times New Roman"/>
          <w:sz w:val="24"/>
          <w:szCs w:val="24"/>
        </w:rPr>
        <w:t>en</w:t>
      </w:r>
      <w:r w:rsidR="00CF6E1F">
        <w:rPr>
          <w:rFonts w:ascii="Times New Roman" w:hAnsi="Times New Roman"/>
          <w:sz w:val="24"/>
          <w:szCs w:val="24"/>
        </w:rPr>
        <w:t xml:space="preserve"> naar het land van </w:t>
      </w:r>
      <w:r>
        <w:rPr>
          <w:rFonts w:ascii="Times New Roman" w:hAnsi="Times New Roman"/>
          <w:sz w:val="24"/>
          <w:szCs w:val="24"/>
        </w:rPr>
        <w:t xml:space="preserve">het </w:t>
      </w:r>
      <w:r w:rsidR="00CF6E1F">
        <w:rPr>
          <w:rFonts w:ascii="Times New Roman" w:hAnsi="Times New Roman"/>
          <w:sz w:val="24"/>
          <w:szCs w:val="24"/>
        </w:rPr>
        <w:t>K</w:t>
      </w:r>
      <w:r>
        <w:rPr>
          <w:rFonts w:ascii="Times New Roman" w:hAnsi="Times New Roman"/>
          <w:sz w:val="24"/>
          <w:szCs w:val="24"/>
        </w:rPr>
        <w:t xml:space="preserve">oninkrijk waar betrokkene vandaan </w:t>
      </w:r>
      <w:r w:rsidR="00A34A0C">
        <w:rPr>
          <w:rFonts w:ascii="Times New Roman" w:hAnsi="Times New Roman"/>
          <w:sz w:val="24"/>
          <w:szCs w:val="24"/>
        </w:rPr>
        <w:t xml:space="preserve">komt. </w:t>
      </w:r>
    </w:p>
    <w:p w:rsidR="00A34A0C" w:rsidP="00D02E8C" w:rsidRDefault="00A34A0C" w14:paraId="7C39768F" w14:textId="77777777">
      <w:pPr>
        <w:pStyle w:val="FootnoteText"/>
        <w:rPr>
          <w:rFonts w:ascii="Times New Roman" w:hAnsi="Times New Roman"/>
          <w:sz w:val="24"/>
          <w:szCs w:val="24"/>
        </w:rPr>
      </w:pPr>
    </w:p>
    <w:p w:rsidRPr="00083E46" w:rsidR="00CF6E1F" w:rsidP="00D02E8C" w:rsidRDefault="00CF6E1F" w14:paraId="4386372C" w14:textId="4B5F1ED5">
      <w:pPr>
        <w:pStyle w:val="FootnoteText"/>
        <w:rPr>
          <w:rFonts w:ascii="Times New Roman" w:hAnsi="Times New Roman"/>
          <w:b/>
          <w:sz w:val="24"/>
          <w:szCs w:val="24"/>
        </w:rPr>
      </w:pPr>
      <w:r w:rsidRPr="00083E46">
        <w:rPr>
          <w:rFonts w:ascii="Times New Roman" w:hAnsi="Times New Roman"/>
          <w:b/>
          <w:sz w:val="24"/>
          <w:szCs w:val="24"/>
        </w:rPr>
        <w:t>Koninkrijkspositie</w:t>
      </w:r>
    </w:p>
    <w:p w:rsidRPr="00083E46" w:rsidR="00521AC1" w:rsidP="00D02E8C" w:rsidRDefault="00B65C00" w14:paraId="0EFF6A21" w14:textId="77777777">
      <w:pPr>
        <w:pStyle w:val="FootnoteText"/>
        <w:rPr>
          <w:rFonts w:ascii="Times New Roman" w:hAnsi="Times New Roman"/>
          <w:sz w:val="24"/>
          <w:szCs w:val="24"/>
        </w:rPr>
      </w:pPr>
      <w:r w:rsidRPr="00083E46">
        <w:rPr>
          <w:rFonts w:ascii="Times New Roman" w:hAnsi="Times New Roman"/>
          <w:sz w:val="24"/>
          <w:szCs w:val="24"/>
        </w:rPr>
        <w:t>Artikel 17, tweede lid, van het</w:t>
      </w:r>
      <w:r w:rsidRPr="00083E46" w:rsidR="00521AC1">
        <w:rPr>
          <w:rFonts w:ascii="Times New Roman" w:hAnsi="Times New Roman"/>
          <w:sz w:val="24"/>
          <w:szCs w:val="24"/>
        </w:rPr>
        <w:t xml:space="preserve"> verdrag voorziet in een toepassing op het Europese deel en het Caribische deel van Nederland, alsmede op Aruba, Curaçao en Sint Maarten. De goedkeuring van het verdrag wordt dan ook voor het gehele Koninkrijk gevraagd. </w:t>
      </w:r>
    </w:p>
    <w:p w:rsidRPr="00083E46" w:rsidR="00521AC1" w:rsidP="00D02E8C" w:rsidRDefault="00521AC1" w14:paraId="779730FA" w14:textId="77777777">
      <w:pPr>
        <w:pStyle w:val="FootnoteText"/>
        <w:rPr>
          <w:rFonts w:ascii="Times New Roman" w:hAnsi="Times New Roman"/>
          <w:sz w:val="24"/>
          <w:szCs w:val="24"/>
        </w:rPr>
      </w:pPr>
      <w:r w:rsidRPr="00083E46">
        <w:rPr>
          <w:rFonts w:ascii="Times New Roman" w:hAnsi="Times New Roman"/>
          <w:sz w:val="24"/>
          <w:szCs w:val="24"/>
        </w:rPr>
        <w:t>De regering</w:t>
      </w:r>
      <w:r w:rsidRPr="00083E46" w:rsidR="00BB7C28">
        <w:rPr>
          <w:rFonts w:ascii="Times New Roman" w:hAnsi="Times New Roman"/>
          <w:sz w:val="24"/>
          <w:szCs w:val="24"/>
        </w:rPr>
        <w:t>en</w:t>
      </w:r>
      <w:r w:rsidRPr="00083E46">
        <w:rPr>
          <w:rFonts w:ascii="Times New Roman" w:hAnsi="Times New Roman"/>
          <w:sz w:val="24"/>
          <w:szCs w:val="24"/>
        </w:rPr>
        <w:t xml:space="preserve"> van Aruba </w:t>
      </w:r>
      <w:r w:rsidRPr="00083E46" w:rsidR="00BB7C28">
        <w:rPr>
          <w:rFonts w:ascii="Times New Roman" w:hAnsi="Times New Roman"/>
          <w:sz w:val="24"/>
          <w:szCs w:val="24"/>
        </w:rPr>
        <w:t xml:space="preserve">en Curaçao </w:t>
      </w:r>
      <w:r w:rsidRPr="00083E46">
        <w:rPr>
          <w:rFonts w:ascii="Times New Roman" w:hAnsi="Times New Roman"/>
          <w:sz w:val="24"/>
          <w:szCs w:val="24"/>
        </w:rPr>
        <w:t>he</w:t>
      </w:r>
      <w:r w:rsidRPr="00083E46" w:rsidR="00BB7C28">
        <w:rPr>
          <w:rFonts w:ascii="Times New Roman" w:hAnsi="Times New Roman"/>
          <w:sz w:val="24"/>
          <w:szCs w:val="24"/>
        </w:rPr>
        <w:t>bben</w:t>
      </w:r>
      <w:r w:rsidRPr="00083E46">
        <w:rPr>
          <w:rFonts w:ascii="Times New Roman" w:hAnsi="Times New Roman"/>
          <w:sz w:val="24"/>
          <w:szCs w:val="24"/>
        </w:rPr>
        <w:t xml:space="preserve"> te kennen gegeven medegelding van het verdrag voor h</w:t>
      </w:r>
      <w:r w:rsidRPr="00083E46" w:rsidR="00BB7C28">
        <w:rPr>
          <w:rFonts w:ascii="Times New Roman" w:hAnsi="Times New Roman"/>
          <w:sz w:val="24"/>
          <w:szCs w:val="24"/>
        </w:rPr>
        <w:t xml:space="preserve">un </w:t>
      </w:r>
      <w:r w:rsidRPr="00083E46">
        <w:rPr>
          <w:rFonts w:ascii="Times New Roman" w:hAnsi="Times New Roman"/>
          <w:sz w:val="24"/>
          <w:szCs w:val="24"/>
        </w:rPr>
        <w:t xml:space="preserve">land wenselijk te achten en dat voor het verdrag geen uitvoeringswetgeving nodig is. </w:t>
      </w:r>
    </w:p>
    <w:p w:rsidR="00A34A0C" w:rsidP="00D02E8C" w:rsidRDefault="00521AC1" w14:paraId="7E3EE179" w14:textId="77777777">
      <w:pPr>
        <w:pStyle w:val="FootnoteText"/>
        <w:rPr>
          <w:rFonts w:ascii="Times New Roman" w:hAnsi="Times New Roman"/>
          <w:sz w:val="24"/>
          <w:szCs w:val="24"/>
        </w:rPr>
      </w:pPr>
      <w:r w:rsidRPr="00083E46">
        <w:rPr>
          <w:rFonts w:ascii="Times New Roman" w:hAnsi="Times New Roman"/>
          <w:sz w:val="24"/>
          <w:szCs w:val="24"/>
        </w:rPr>
        <w:t>De regering van Sint Maarten beraadt zich nog over de wenselijkheid van medegelding van het verdrag voor haar land. Wanneer deze regering medegelding wenselijk acht, zal het verdrag ook voor Sint Maarten kunnen worden bekrachtigd</w:t>
      </w:r>
      <w:r w:rsidRPr="00083E46">
        <w:t>.</w:t>
      </w:r>
    </w:p>
    <w:p w:rsidR="006537B2" w:rsidP="00D02E8C" w:rsidRDefault="006537B2" w14:paraId="4D5CEC7F" w14:textId="77777777">
      <w:pPr>
        <w:pStyle w:val="FootnoteText"/>
        <w:rPr>
          <w:rFonts w:ascii="Times New Roman" w:hAnsi="Times New Roman"/>
          <w:sz w:val="24"/>
          <w:szCs w:val="24"/>
        </w:rPr>
      </w:pPr>
    </w:p>
    <w:p w:rsidR="006537B2" w:rsidP="00D02E8C" w:rsidRDefault="006537B2" w14:paraId="00E9A2A0" w14:textId="77777777">
      <w:pPr>
        <w:pStyle w:val="FootnoteText"/>
        <w:rPr>
          <w:rFonts w:ascii="Times New Roman" w:hAnsi="Times New Roman"/>
          <w:b/>
          <w:sz w:val="24"/>
          <w:szCs w:val="24"/>
        </w:rPr>
      </w:pPr>
      <w:r w:rsidRPr="006537B2">
        <w:rPr>
          <w:rFonts w:ascii="Times New Roman" w:hAnsi="Times New Roman"/>
          <w:b/>
          <w:sz w:val="24"/>
          <w:szCs w:val="24"/>
        </w:rPr>
        <w:t>Artikelsgewijze toelichting</w:t>
      </w:r>
    </w:p>
    <w:p w:rsidR="006537B2" w:rsidP="00D02E8C" w:rsidRDefault="006537B2" w14:paraId="1E10897A" w14:textId="77777777">
      <w:pPr>
        <w:pStyle w:val="FootnoteText"/>
        <w:rPr>
          <w:rFonts w:ascii="Times New Roman" w:hAnsi="Times New Roman"/>
          <w:b/>
          <w:sz w:val="24"/>
          <w:szCs w:val="24"/>
        </w:rPr>
      </w:pPr>
    </w:p>
    <w:p w:rsidR="006537B2" w:rsidP="00D02E8C" w:rsidRDefault="006537B2" w14:paraId="7B76CD62" w14:textId="77777777">
      <w:pPr>
        <w:pStyle w:val="FootnoteText"/>
        <w:rPr>
          <w:rFonts w:ascii="Times New Roman" w:hAnsi="Times New Roman"/>
          <w:b/>
          <w:sz w:val="24"/>
          <w:szCs w:val="24"/>
        </w:rPr>
      </w:pPr>
      <w:r>
        <w:rPr>
          <w:rFonts w:ascii="Times New Roman" w:hAnsi="Times New Roman"/>
          <w:b/>
          <w:sz w:val="24"/>
          <w:szCs w:val="24"/>
        </w:rPr>
        <w:t>Artikel 1</w:t>
      </w:r>
    </w:p>
    <w:p w:rsidR="006537B2" w:rsidP="00D02E8C" w:rsidRDefault="006537B2" w14:paraId="17B2198F" w14:textId="32CEFCC7">
      <w:pPr>
        <w:autoSpaceDE w:val="0"/>
        <w:autoSpaceDN w:val="0"/>
        <w:adjustRightInd w:val="0"/>
      </w:pPr>
      <w:r w:rsidRPr="00083E46">
        <w:t xml:space="preserve">Dit artikel bevat de in deze verdragen gebruikelijke definities. Uit </w:t>
      </w:r>
      <w:r w:rsidRPr="00083E46">
        <w:rPr>
          <w:i/>
        </w:rPr>
        <w:t>onderdeel g</w:t>
      </w:r>
      <w:r w:rsidRPr="00083E46">
        <w:t xml:space="preserve"> blijkt dat in Peru de uitvoering van het verdrag niet door het Ministerie van Justitie plaatsvindt, </w:t>
      </w:r>
      <w:r w:rsidRPr="00DE4251">
        <w:t xml:space="preserve">maar door </w:t>
      </w:r>
      <w:r w:rsidRPr="00083E46">
        <w:t xml:space="preserve">een commissie die onder leiding </w:t>
      </w:r>
      <w:r w:rsidRPr="00083E46" w:rsidR="0086607E">
        <w:t xml:space="preserve">staat </w:t>
      </w:r>
      <w:r w:rsidRPr="00083E46">
        <w:t xml:space="preserve">van het openbaar ministerie, het </w:t>
      </w:r>
      <w:r w:rsidRPr="00083E46" w:rsidR="001A2DD1">
        <w:t>“</w:t>
      </w:r>
      <w:r w:rsidRPr="00083E46">
        <w:t>Ministerio Público-Fiscalía de la Nacion</w:t>
      </w:r>
      <w:r w:rsidRPr="00083E46" w:rsidR="001A2DD1">
        <w:t>”</w:t>
      </w:r>
      <w:r w:rsidRPr="00083E46" w:rsidR="000B5EC0">
        <w:t>.</w:t>
      </w:r>
      <w:r w:rsidRPr="00083E46" w:rsidR="00F71FB0">
        <w:t xml:space="preserve"> </w:t>
      </w:r>
      <w:r w:rsidRPr="00083E46" w:rsidR="007B15F0">
        <w:t xml:space="preserve">Verder zijn in dit onderdeel </w:t>
      </w:r>
      <w:r w:rsidRPr="00083E46" w:rsidR="00F71FB0">
        <w:t xml:space="preserve">de ministers van Justitie van de verschillende landen van het Koninkrijk aangewezen als bevoegde autoriteit. </w:t>
      </w:r>
      <w:r w:rsidRPr="00083E46" w:rsidR="00CA1390">
        <w:t>Bij de bekrachtiging van het verdrag voor het Koninkrijk zal aan de Peruaanse autoriteiten worden meegedeeld dat voor Nederland de Minister van Veiligheid en Justitie als bevoegde autoriteit zal optreden.</w:t>
      </w:r>
    </w:p>
    <w:p w:rsidR="006537B2" w:rsidP="00D02E8C" w:rsidRDefault="006537B2" w14:paraId="268B42DD" w14:textId="77777777">
      <w:pPr>
        <w:autoSpaceDE w:val="0"/>
        <w:autoSpaceDN w:val="0"/>
        <w:adjustRightInd w:val="0"/>
        <w:rPr>
          <w:b/>
        </w:rPr>
      </w:pPr>
    </w:p>
    <w:p w:rsidR="00B54F7E" w:rsidP="00D02E8C" w:rsidRDefault="00B54F7E" w14:paraId="4790EFCD" w14:textId="77777777">
      <w:pPr>
        <w:autoSpaceDE w:val="0"/>
        <w:autoSpaceDN w:val="0"/>
        <w:adjustRightInd w:val="0"/>
        <w:rPr>
          <w:b/>
        </w:rPr>
      </w:pPr>
      <w:r>
        <w:rPr>
          <w:b/>
        </w:rPr>
        <w:t>Artikel 2</w:t>
      </w:r>
    </w:p>
    <w:p w:rsidR="00B43F4F" w:rsidP="00D02E8C" w:rsidRDefault="00B43F4F" w14:paraId="1E4C6B4F" w14:textId="77777777">
      <w:r w:rsidRPr="00AA0EE3">
        <w:t>Uit dit artikel blijkt dat het verdrag overbrenging mogelijk maakt, maar dat het geen recht voor de gedetineerde op overbrenging creëert. Artikel 2 van het RvE-verdrag bevat een soortgelijke regeling.</w:t>
      </w:r>
    </w:p>
    <w:p w:rsidRPr="00AA0EE3" w:rsidR="00A34A0C" w:rsidP="00D02E8C" w:rsidRDefault="00A34A0C" w14:paraId="74BD7563" w14:textId="77777777"/>
    <w:p w:rsidR="00B43F4F" w:rsidP="00D02E8C" w:rsidRDefault="006F1853" w14:paraId="234D3FF1" w14:textId="77777777">
      <w:pPr>
        <w:autoSpaceDE w:val="0"/>
        <w:autoSpaceDN w:val="0"/>
        <w:adjustRightInd w:val="0"/>
        <w:rPr>
          <w:b/>
        </w:rPr>
      </w:pPr>
      <w:r>
        <w:rPr>
          <w:b/>
        </w:rPr>
        <w:t>Artikel 3</w:t>
      </w:r>
    </w:p>
    <w:p w:rsidR="006F1853" w:rsidP="00D02E8C" w:rsidRDefault="006F1853" w14:paraId="659AC675" w14:textId="77777777">
      <w:r w:rsidRPr="00AA0EE3">
        <w:t>In artikel 3 worden voorwaarden voor overbrenging opgesomd. Aan deze voorwaarden dient in elk geval te zijn voldaan</w:t>
      </w:r>
      <w:r w:rsidR="00A34A0C">
        <w:t>,</w:t>
      </w:r>
      <w:r w:rsidRPr="00AA0EE3">
        <w:t xml:space="preserve"> wil overbrenging aan de orde kunnen komen. De opsomming is niet limitatief, zodat ook </w:t>
      </w:r>
      <w:r w:rsidR="0086607E">
        <w:t>wanneer</w:t>
      </w:r>
      <w:r w:rsidRPr="00AA0EE3">
        <w:t xml:space="preserve"> aan </w:t>
      </w:r>
      <w:r w:rsidR="0086607E">
        <w:t>alle</w:t>
      </w:r>
      <w:r w:rsidRPr="00AA0EE3">
        <w:t xml:space="preserve"> genoemde voorwaarden is voldaan, geen verplichting tot overbrenging bestaat. Het ontbreken van die verplichting vloeit voort uit </w:t>
      </w:r>
      <w:r w:rsidRPr="00AA0EE3">
        <w:lastRenderedPageBreak/>
        <w:t>artikel 2</w:t>
      </w:r>
      <w:r w:rsidR="003B156E">
        <w:t xml:space="preserve"> en artikel 3, onderdeel h</w:t>
      </w:r>
      <w:r w:rsidRPr="00AA0EE3">
        <w:t xml:space="preserve">. </w:t>
      </w:r>
      <w:r w:rsidR="007051BB">
        <w:t xml:space="preserve">Het verdrag laat </w:t>
      </w:r>
      <w:r w:rsidRPr="00AA0EE3">
        <w:t>Partijen derhalve vrij om in voorkomend geval om andere, hen moverende redenen</w:t>
      </w:r>
      <w:r w:rsidR="00A34A0C">
        <w:t>,</w:t>
      </w:r>
      <w:r w:rsidRPr="00AA0EE3">
        <w:t xml:space="preserve"> niet aan een overbrenging mee te werken. </w:t>
      </w:r>
    </w:p>
    <w:p w:rsidRPr="00AA0EE3" w:rsidR="006F1853" w:rsidP="00D02E8C" w:rsidRDefault="006F1853" w14:paraId="7DBC6266" w14:textId="77777777">
      <w:r w:rsidRPr="00AA0EE3">
        <w:t xml:space="preserve">Het in </w:t>
      </w:r>
      <w:r w:rsidRPr="00A34A0C">
        <w:rPr>
          <w:i/>
        </w:rPr>
        <w:t>onderdeel</w:t>
      </w:r>
      <w:r w:rsidRPr="00AA0EE3">
        <w:rPr>
          <w:i/>
        </w:rPr>
        <w:t xml:space="preserve"> a </w:t>
      </w:r>
      <w:r w:rsidRPr="00AA0EE3">
        <w:t>opgenomen</w:t>
      </w:r>
      <w:r w:rsidRPr="00AA0EE3">
        <w:rPr>
          <w:i/>
        </w:rPr>
        <w:t xml:space="preserve"> </w:t>
      </w:r>
      <w:r w:rsidRPr="00AA0EE3">
        <w:t xml:space="preserve">vereiste dat de veroordeelde de nationaliteit van </w:t>
      </w:r>
      <w:r w:rsidRPr="00AA0EE3" w:rsidR="00B34E91">
        <w:t>het</w:t>
      </w:r>
      <w:r w:rsidRPr="00AA0EE3">
        <w:t xml:space="preserve"> </w:t>
      </w:r>
      <w:r w:rsidR="00A34A0C">
        <w:t xml:space="preserve">ontvangende </w:t>
      </w:r>
      <w:r w:rsidRPr="00AA0EE3">
        <w:t xml:space="preserve">staat moet hebben komt eveneens voor in </w:t>
      </w:r>
      <w:r w:rsidR="00A34A0C">
        <w:t xml:space="preserve">andere bilaterale verdragen die </w:t>
      </w:r>
      <w:r w:rsidR="008E0EBA">
        <w:t xml:space="preserve">het Koninkrijk op dit terrein </w:t>
      </w:r>
      <w:r w:rsidR="00A34A0C">
        <w:t>heeft gesloten.</w:t>
      </w:r>
      <w:r w:rsidR="00316E90">
        <w:t xml:space="preserve"> </w:t>
      </w:r>
      <w:r w:rsidRPr="00AA0EE3">
        <w:t xml:space="preserve">Van de zijde van </w:t>
      </w:r>
      <w:r>
        <w:t>Peru</w:t>
      </w:r>
      <w:r w:rsidRPr="00AA0EE3">
        <w:t xml:space="preserve"> werd erop aangedrongen om in artikel 1, onderdeel </w:t>
      </w:r>
      <w:r>
        <w:t>d</w:t>
      </w:r>
      <w:r w:rsidRPr="00AA0EE3">
        <w:t xml:space="preserve">, het begrip onderdaan te definiëren. </w:t>
      </w:r>
    </w:p>
    <w:p w:rsidR="008E0EBA" w:rsidP="00D02E8C" w:rsidRDefault="00B34E91" w14:paraId="3F17D279" w14:textId="77777777">
      <w:r>
        <w:rPr>
          <w:i/>
        </w:rPr>
        <w:t>O</w:t>
      </w:r>
      <w:r w:rsidRPr="00A34A0C" w:rsidR="006F1853">
        <w:rPr>
          <w:i/>
        </w:rPr>
        <w:t>nderdeel</w:t>
      </w:r>
      <w:r w:rsidRPr="00AA0EE3" w:rsidR="006F1853">
        <w:rPr>
          <w:i/>
        </w:rPr>
        <w:t xml:space="preserve"> b</w:t>
      </w:r>
      <w:r w:rsidRPr="00AA0EE3" w:rsidR="006F1853">
        <w:t xml:space="preserve"> </w:t>
      </w:r>
      <w:r w:rsidRPr="00AA0EE3">
        <w:t>komt inhoudelijk overeen met artikel 3, eerste lid, sub b, van het RvE-verdrag</w:t>
      </w:r>
      <w:r>
        <w:t xml:space="preserve">. Het </w:t>
      </w:r>
      <w:r w:rsidRPr="00AA0EE3" w:rsidR="006F1853">
        <w:t xml:space="preserve">bevat het vereiste dat de veroordeling voor tenuitvoerlegging vatbaar is. Dit betekent dat de veroordeling onherroepelijk dient te zijn. </w:t>
      </w:r>
    </w:p>
    <w:p w:rsidR="008E0EBA" w:rsidP="00D02E8C" w:rsidRDefault="00B34E91" w14:paraId="0FF249B2" w14:textId="77777777">
      <w:r w:rsidRPr="00B34E91">
        <w:rPr>
          <w:i/>
        </w:rPr>
        <w:t>O</w:t>
      </w:r>
      <w:r w:rsidRPr="00A34A0C">
        <w:rPr>
          <w:i/>
        </w:rPr>
        <w:t>nderdeel</w:t>
      </w:r>
      <w:r w:rsidRPr="00AA0EE3">
        <w:rPr>
          <w:i/>
        </w:rPr>
        <w:t xml:space="preserve"> </w:t>
      </w:r>
      <w:r>
        <w:rPr>
          <w:i/>
        </w:rPr>
        <w:t>c</w:t>
      </w:r>
      <w:r>
        <w:t xml:space="preserve"> bevat het vereiste dat het strafrestant ten tijde van het verzoek nog tenminste zes maanden dient te bedragen. </w:t>
      </w:r>
      <w:r w:rsidR="00F60FA2">
        <w:t xml:space="preserve">De ratio hierachter is, dat op deze wijze wordt gewaarborgd dat op het moment van de feitelijke overdracht, aan </w:t>
      </w:r>
      <w:r w:rsidR="008E0EBA">
        <w:t xml:space="preserve">het </w:t>
      </w:r>
      <w:r w:rsidR="00F60FA2">
        <w:t>einde van de procedure, er nog een strafrestant is dat ten uitvoer kan worden gelegd</w:t>
      </w:r>
      <w:r w:rsidR="007051BB">
        <w:t xml:space="preserve">. Dat is immers het doel van de overbrenging, opdat de resocialisatie in </w:t>
      </w:r>
      <w:r w:rsidR="008E0EBA">
        <w:t xml:space="preserve">de landen van het Koninkrijk </w:t>
      </w:r>
      <w:r w:rsidR="007051BB">
        <w:t xml:space="preserve">gestalte kan krijgen. </w:t>
      </w:r>
      <w:r w:rsidR="006F1853">
        <w:t xml:space="preserve">Uit dit onderdeel blijkt ook dat in bijzondere gevallen overbrenging mogelijk is als het strafrestant minder </w:t>
      </w:r>
      <w:r>
        <w:t xml:space="preserve">dan </w:t>
      </w:r>
      <w:r w:rsidR="006F1853">
        <w:t xml:space="preserve">zes maanden is. </w:t>
      </w:r>
      <w:r>
        <w:t xml:space="preserve">Deze regeling komt overeen met die van het RvE-verdrag (artikel 3, eerste lid, sub c, en tweede lid). </w:t>
      </w:r>
    </w:p>
    <w:p w:rsidR="008E0EBA" w:rsidP="00D02E8C" w:rsidRDefault="006F1853" w14:paraId="5D01EE0E" w14:textId="77777777">
      <w:r w:rsidRPr="00AA0EE3">
        <w:t xml:space="preserve">Het in </w:t>
      </w:r>
      <w:r w:rsidRPr="00AA0EE3">
        <w:rPr>
          <w:i/>
        </w:rPr>
        <w:t>onderdeel d</w:t>
      </w:r>
      <w:r w:rsidRPr="00AA0EE3">
        <w:t xml:space="preserve"> opgenomen vereiste van dubbele strafbaarheid is gebruikelijk,</w:t>
      </w:r>
      <w:r w:rsidR="00B34E91">
        <w:t xml:space="preserve"> </w:t>
      </w:r>
      <w:r w:rsidRPr="00AA0EE3">
        <w:t>zo blijkt ook uit artikel 3, eerste lid, sub e, van het RvE-verdrag. De dubbele strafbaarheid wordt, mede gelet op het arrest van de Hoge Raad van 20 mei 2008, LJN</w:t>
      </w:r>
      <w:r w:rsidR="00F60FA2">
        <w:t xml:space="preserve">: </w:t>
      </w:r>
      <w:r w:rsidRPr="00AA0EE3">
        <w:t>BD1852, beoordeeld aan de hand van de wetgeving die geldt op het moment van de beslissing op het verzoek. Voor de goede orde wordt nog opgemerkt dat de Hoge Raad in dit arrest uitdrukkelijk stelt dat deze handelwijze geen schending oplevert van het legaliteitsbeginsel.</w:t>
      </w:r>
      <w:r w:rsidR="00B34E91">
        <w:t xml:space="preserve"> </w:t>
      </w:r>
    </w:p>
    <w:p w:rsidR="00083E46" w:rsidP="00D02E8C" w:rsidRDefault="00B34E91" w14:paraId="2E16785D" w14:textId="77777777">
      <w:r w:rsidRPr="00B34E91">
        <w:rPr>
          <w:i/>
        </w:rPr>
        <w:t>O</w:t>
      </w:r>
      <w:r w:rsidRPr="006F1853" w:rsidR="00DF651C">
        <w:rPr>
          <w:i/>
        </w:rPr>
        <w:t xml:space="preserve">nderdeel e </w:t>
      </w:r>
      <w:r w:rsidR="00DF651C">
        <w:t xml:space="preserve">is op verzoek van Peru opgenomen. </w:t>
      </w:r>
    </w:p>
    <w:p w:rsidR="008E0EBA" w:rsidP="00D02E8C" w:rsidRDefault="00B34E91" w14:paraId="2F144321" w14:textId="77777777">
      <w:r w:rsidRPr="00B34E91">
        <w:rPr>
          <w:i/>
        </w:rPr>
        <w:t>O</w:t>
      </w:r>
      <w:r w:rsidRPr="00B34E91" w:rsidR="006F1853">
        <w:rPr>
          <w:i/>
        </w:rPr>
        <w:t>nderdeel</w:t>
      </w:r>
      <w:r w:rsidRPr="00AA0EE3" w:rsidR="006F1853">
        <w:rPr>
          <w:i/>
        </w:rPr>
        <w:t xml:space="preserve"> </w:t>
      </w:r>
      <w:r w:rsidR="00DF651C">
        <w:rPr>
          <w:i/>
        </w:rPr>
        <w:t>f</w:t>
      </w:r>
      <w:r w:rsidRPr="00AA0EE3" w:rsidR="006F1853">
        <w:t xml:space="preserve"> bevat het vereiste dat de veroordeelde met zijn overbrenging </w:t>
      </w:r>
      <w:r w:rsidR="00F60FA2">
        <w:t>in</w:t>
      </w:r>
      <w:r w:rsidRPr="00AA0EE3" w:rsidR="006F1853">
        <w:t>stem</w:t>
      </w:r>
      <w:r w:rsidR="00F60FA2">
        <w:t>t</w:t>
      </w:r>
      <w:r w:rsidRPr="00AA0EE3" w:rsidR="006F1853">
        <w:t xml:space="preserve">. Deze bepaling komt overeen met artikel 3, eerste lid, </w:t>
      </w:r>
      <w:r>
        <w:t>sub</w:t>
      </w:r>
      <w:r w:rsidRPr="00AA0EE3" w:rsidR="006F1853">
        <w:t xml:space="preserve"> d, van het RvE-verdrag. </w:t>
      </w:r>
    </w:p>
    <w:p w:rsidR="00DF651C" w:rsidP="00D02E8C" w:rsidRDefault="00B34E91" w14:paraId="37601D6F" w14:textId="77777777">
      <w:r>
        <w:rPr>
          <w:i/>
        </w:rPr>
        <w:t>O</w:t>
      </w:r>
      <w:r w:rsidRPr="00B34E91">
        <w:rPr>
          <w:i/>
        </w:rPr>
        <w:t>nderdeel</w:t>
      </w:r>
      <w:r w:rsidRPr="00AA0EE3">
        <w:rPr>
          <w:i/>
        </w:rPr>
        <w:t xml:space="preserve"> </w:t>
      </w:r>
      <w:r>
        <w:rPr>
          <w:i/>
        </w:rPr>
        <w:t>g</w:t>
      </w:r>
      <w:r w:rsidRPr="00AA0EE3">
        <w:t xml:space="preserve"> bevat het vereiste dat de veroordeelde </w:t>
      </w:r>
      <w:r>
        <w:t xml:space="preserve">de hem opgelegde geldboete moet hebben betaald en aan de in voorkomend geval opgelegde verplichting tot het betalen van schadevergoeding moet hebben voldaan. </w:t>
      </w:r>
      <w:r w:rsidR="00DF651C">
        <w:t>Dit leidt slechts uitzondering indien de veroordeelde naar het oordeel van de overbrengende staat genoegzaam heeft aangetoond dat hij aan die betalingsverplichtingen niet kan voldoen.</w:t>
      </w:r>
    </w:p>
    <w:p w:rsidRPr="00AA0EE3" w:rsidR="006F1853" w:rsidP="00D02E8C" w:rsidRDefault="006F1853" w14:paraId="7D55F9FF" w14:textId="77777777">
      <w:r w:rsidRPr="00AA0EE3">
        <w:t xml:space="preserve">Het in </w:t>
      </w:r>
      <w:r w:rsidRPr="00B34E91">
        <w:rPr>
          <w:i/>
        </w:rPr>
        <w:t>onderdeel</w:t>
      </w:r>
      <w:r w:rsidR="00DF651C">
        <w:rPr>
          <w:i/>
        </w:rPr>
        <w:t xml:space="preserve"> h</w:t>
      </w:r>
      <w:r w:rsidRPr="00AA0EE3">
        <w:t xml:space="preserve"> opgenomen vereiste dat beide staten moeten instemmen met de overbrenging is evenzeer gebruikelijk, zoals blijkt uit artikel 3, eerste lid, onderdeel f, van het RvE-verdrag.</w:t>
      </w:r>
    </w:p>
    <w:p w:rsidRPr="00AA0EE3" w:rsidR="006F1853" w:rsidP="00D02E8C" w:rsidRDefault="006F1853" w14:paraId="6664A132" w14:textId="77777777"/>
    <w:p w:rsidR="006F1853" w:rsidP="00D02E8C" w:rsidRDefault="00DF651C" w14:paraId="3D88FB38" w14:textId="77777777">
      <w:pPr>
        <w:rPr>
          <w:b/>
        </w:rPr>
      </w:pPr>
      <w:r w:rsidRPr="00DF651C">
        <w:rPr>
          <w:b/>
        </w:rPr>
        <w:t>Artikel 4</w:t>
      </w:r>
    </w:p>
    <w:p w:rsidRPr="00FB0B6D" w:rsidR="001918C1" w:rsidP="00D02E8C" w:rsidRDefault="001918C1" w14:paraId="4B1A5714" w14:textId="77777777">
      <w:r w:rsidRPr="00FB0B6D">
        <w:t>Deze bepaling komt nagenoeg letterlijk overeen met artikel 4 van het RvE-verdrag.</w:t>
      </w:r>
    </w:p>
    <w:p w:rsidRPr="00AA0EE3" w:rsidR="001918C1" w:rsidP="00D02E8C" w:rsidRDefault="001918C1" w14:paraId="4C8B7BE6" w14:textId="77777777">
      <w:r w:rsidRPr="00FB0B6D">
        <w:t xml:space="preserve">Het </w:t>
      </w:r>
      <w:r w:rsidRPr="00FB0B6D">
        <w:rPr>
          <w:i/>
        </w:rPr>
        <w:t xml:space="preserve">eerste lid </w:t>
      </w:r>
      <w:r w:rsidRPr="00FB0B6D">
        <w:t xml:space="preserve">bevat </w:t>
      </w:r>
      <w:r w:rsidRPr="00FB0B6D" w:rsidR="003B156E">
        <w:t>een</w:t>
      </w:r>
      <w:r w:rsidRPr="00FB0B6D">
        <w:t xml:space="preserve"> algemene informatieplicht tegenover veroordeelden over het bestaan van het verdrag</w:t>
      </w:r>
      <w:r w:rsidRPr="00FB0B6D" w:rsidR="00DD3DD5">
        <w:t xml:space="preserve"> door de overbrengende staat. Van de zijde van het Koninkrijk zullen Nederlandse gedetineerden </w:t>
      </w:r>
      <w:r w:rsidRPr="00FB0B6D" w:rsidR="00DE3EFF">
        <w:t xml:space="preserve">ook </w:t>
      </w:r>
      <w:r w:rsidRPr="00FB0B6D" w:rsidR="00DD3DD5">
        <w:t xml:space="preserve">door de consulaire vertegenwoordiging </w:t>
      </w:r>
      <w:r w:rsidRPr="00FB0B6D" w:rsidR="00DE3EFF">
        <w:t xml:space="preserve">van het Koninkrijk </w:t>
      </w:r>
      <w:r w:rsidRPr="00FB0B6D" w:rsidR="00DD3DD5">
        <w:t>over de inhoud van het verdrag worden geïnformeerd</w:t>
      </w:r>
      <w:r w:rsidRPr="00FB0B6D" w:rsidR="00DE3EFF">
        <w:t>,</w:t>
      </w:r>
      <w:r w:rsidRPr="00FB0B6D" w:rsidR="00DD3DD5">
        <w:t xml:space="preserve"> alsmede over de verhouding tot de Peruaanse semi</w:t>
      </w:r>
      <w:r w:rsidRPr="00FB0B6D" w:rsidR="00706E9D">
        <w:t>-</w:t>
      </w:r>
      <w:r w:rsidRPr="00FB0B6D" w:rsidR="00DD3DD5">
        <w:t>libertad.</w:t>
      </w:r>
    </w:p>
    <w:p w:rsidRPr="00AA0EE3" w:rsidR="001918C1" w:rsidP="00D02E8C" w:rsidRDefault="001918C1" w14:paraId="1E1CF408" w14:textId="77777777">
      <w:pPr>
        <w:autoSpaceDE w:val="0"/>
        <w:autoSpaceDN w:val="0"/>
        <w:adjustRightInd w:val="0"/>
      </w:pPr>
      <w:r w:rsidRPr="00AA0EE3">
        <w:t xml:space="preserve">Het </w:t>
      </w:r>
      <w:r w:rsidRPr="00AA0EE3">
        <w:rPr>
          <w:i/>
        </w:rPr>
        <w:t>tweede lid</w:t>
      </w:r>
      <w:r w:rsidRPr="00AA0EE3">
        <w:t xml:space="preserve"> regelt dat de veroordeelde aan de </w:t>
      </w:r>
      <w:r w:rsidR="002358FE">
        <w:t>overbrengende staat</w:t>
      </w:r>
      <w:r w:rsidRPr="00AA0EE3">
        <w:t xml:space="preserve"> te kennen kan geven dat hij overgebracht wenst te worden en dat die staat vervolgens de </w:t>
      </w:r>
      <w:r w:rsidR="002358FE">
        <w:t xml:space="preserve">ontvangende </w:t>
      </w:r>
      <w:r w:rsidRPr="00AA0EE3">
        <w:t xml:space="preserve">staat terzake informeert. Hij legt daarbij de in het </w:t>
      </w:r>
      <w:r w:rsidRPr="00AA0EE3">
        <w:rPr>
          <w:i/>
        </w:rPr>
        <w:t xml:space="preserve">derde lid </w:t>
      </w:r>
      <w:r w:rsidRPr="00AA0EE3">
        <w:t>opgesomde gegevens over</w:t>
      </w:r>
      <w:r w:rsidRPr="00AA0EE3">
        <w:rPr>
          <w:i/>
        </w:rPr>
        <w:t>.</w:t>
      </w:r>
    </w:p>
    <w:p w:rsidRPr="00AA0EE3" w:rsidR="001918C1" w:rsidP="00D02E8C" w:rsidRDefault="001918C1" w14:paraId="57CAA9B3" w14:textId="77777777">
      <w:pPr>
        <w:autoSpaceDE w:val="0"/>
        <w:autoSpaceDN w:val="0"/>
        <w:adjustRightInd w:val="0"/>
      </w:pPr>
      <w:r w:rsidRPr="00AA0EE3">
        <w:t xml:space="preserve">Het </w:t>
      </w:r>
      <w:r w:rsidRPr="00AA0EE3">
        <w:rPr>
          <w:i/>
        </w:rPr>
        <w:t>vierde lid</w:t>
      </w:r>
      <w:r w:rsidRPr="00AA0EE3">
        <w:t xml:space="preserve"> regelt wat er dient te gebeuren indien de veroordeelde zich niet tot de </w:t>
      </w:r>
      <w:r w:rsidR="00343129">
        <w:t>overbrengende</w:t>
      </w:r>
      <w:r w:rsidR="002358FE">
        <w:t xml:space="preserve"> </w:t>
      </w:r>
      <w:r w:rsidRPr="00AA0EE3">
        <w:t xml:space="preserve">staat heeft gewend, maar zijn wens tot overbrenging aan de </w:t>
      </w:r>
      <w:r w:rsidR="002358FE">
        <w:t xml:space="preserve">ontvangende </w:t>
      </w:r>
      <w:r w:rsidRPr="00AA0EE3">
        <w:t>staat heeft gericht.</w:t>
      </w:r>
    </w:p>
    <w:p w:rsidRPr="00AA0EE3" w:rsidR="001918C1" w:rsidP="00D02E8C" w:rsidRDefault="001918C1" w14:paraId="14DD2D38" w14:textId="77777777">
      <w:pPr>
        <w:autoSpaceDE w:val="0"/>
        <w:autoSpaceDN w:val="0"/>
        <w:adjustRightInd w:val="0"/>
      </w:pPr>
      <w:r w:rsidRPr="00AA0EE3">
        <w:lastRenderedPageBreak/>
        <w:t xml:space="preserve">Het </w:t>
      </w:r>
      <w:r w:rsidRPr="00AA0EE3">
        <w:rPr>
          <w:i/>
        </w:rPr>
        <w:t>vijfde lid</w:t>
      </w:r>
      <w:r w:rsidRPr="00AA0EE3">
        <w:t xml:space="preserve"> bevat de verplichting v</w:t>
      </w:r>
      <w:r w:rsidR="008E0EBA">
        <w:t>oor de verdrags</w:t>
      </w:r>
      <w:r w:rsidRPr="00AA0EE3">
        <w:t>partijen om in voorkomend geval de veroordeelde die zich met zijn wens om te worden overgebracht tot hen heeft gewend, op de hoogte te houden van de verdere behandeling daarvan.</w:t>
      </w:r>
    </w:p>
    <w:p w:rsidR="001918C1" w:rsidP="00D02E8C" w:rsidRDefault="001918C1" w14:paraId="041C741F" w14:textId="77777777">
      <w:pPr>
        <w:rPr>
          <w:b/>
        </w:rPr>
      </w:pPr>
    </w:p>
    <w:p w:rsidRPr="00AA0EE3" w:rsidR="001918C1" w:rsidP="00D02E8C" w:rsidRDefault="001918C1" w14:paraId="529F7445" w14:textId="77777777">
      <w:pPr>
        <w:autoSpaceDE w:val="0"/>
        <w:autoSpaceDN w:val="0"/>
        <w:adjustRightInd w:val="0"/>
        <w:rPr>
          <w:rFonts w:cs="Univers"/>
          <w:b/>
        </w:rPr>
      </w:pPr>
      <w:r w:rsidRPr="00AA0EE3">
        <w:rPr>
          <w:rFonts w:cs="Univers"/>
          <w:b/>
        </w:rPr>
        <w:t>Artikel 5</w:t>
      </w:r>
    </w:p>
    <w:p w:rsidR="006F1853" w:rsidP="00D02E8C" w:rsidRDefault="001918C1" w14:paraId="4A3C5EF2" w14:textId="77777777">
      <w:pPr>
        <w:autoSpaceDE w:val="0"/>
        <w:autoSpaceDN w:val="0"/>
        <w:adjustRightInd w:val="0"/>
        <w:rPr>
          <w:rFonts w:cs="Univers"/>
        </w:rPr>
      </w:pPr>
      <w:r>
        <w:rPr>
          <w:rFonts w:cs="Univers"/>
        </w:rPr>
        <w:t xml:space="preserve">Het </w:t>
      </w:r>
      <w:r w:rsidRPr="001918C1">
        <w:rPr>
          <w:rFonts w:cs="Univers"/>
          <w:i/>
        </w:rPr>
        <w:t>eerste lid</w:t>
      </w:r>
      <w:r>
        <w:rPr>
          <w:rFonts w:cs="Univers"/>
        </w:rPr>
        <w:t xml:space="preserve"> </w:t>
      </w:r>
      <w:r w:rsidRPr="00AA0EE3">
        <w:rPr>
          <w:rFonts w:cs="Univers"/>
        </w:rPr>
        <w:t xml:space="preserve">komt inhoudelijk overeen met de eerste twee leden van artikel 5 van het RvE-verdrag. Het bepaalt dat verzoeken tot overbrenging schriftelijk worden gedaan en tussen de ministers van </w:t>
      </w:r>
      <w:r w:rsidRPr="00083E46" w:rsidR="00BB7C28">
        <w:rPr>
          <w:rFonts w:cs="Univers"/>
        </w:rPr>
        <w:t xml:space="preserve">Justitie </w:t>
      </w:r>
      <w:r w:rsidRPr="00083E46" w:rsidR="003B156E">
        <w:rPr>
          <w:rFonts w:cs="Univers"/>
        </w:rPr>
        <w:t>van de</w:t>
      </w:r>
      <w:r w:rsidR="003B156E">
        <w:rPr>
          <w:rFonts w:cs="Univers"/>
        </w:rPr>
        <w:t xml:space="preserve"> landen van het Koninkrijk en het Peruaanse openbaar ministerie </w:t>
      </w:r>
      <w:r w:rsidRPr="00AA0EE3">
        <w:rPr>
          <w:rFonts w:cs="Univers"/>
        </w:rPr>
        <w:t xml:space="preserve">zullen worden uitgewisseld. In het eerste lid is </w:t>
      </w:r>
      <w:r>
        <w:rPr>
          <w:rFonts w:cs="Univers"/>
        </w:rPr>
        <w:t>ook voorzien in het gebruik van ele</w:t>
      </w:r>
      <w:r w:rsidRPr="00AA0EE3">
        <w:rPr>
          <w:rFonts w:cs="Univers"/>
        </w:rPr>
        <w:t xml:space="preserve">ktronische vormen van communicatie. </w:t>
      </w:r>
    </w:p>
    <w:p w:rsidR="001918C1" w:rsidP="00D02E8C" w:rsidRDefault="001918C1" w14:paraId="091348A1" w14:textId="77777777">
      <w:pPr>
        <w:autoSpaceDE w:val="0"/>
        <w:autoSpaceDN w:val="0"/>
        <w:adjustRightInd w:val="0"/>
      </w:pPr>
      <w:r>
        <w:t xml:space="preserve">In het </w:t>
      </w:r>
      <w:r w:rsidRPr="002358FE">
        <w:rPr>
          <w:i/>
        </w:rPr>
        <w:t>tweede lid</w:t>
      </w:r>
      <w:r>
        <w:t xml:space="preserve"> is op verzoek van Peru ook het diplomatieke kanaal als communicatiekanaal opgenomen. </w:t>
      </w:r>
    </w:p>
    <w:p w:rsidR="001918C1" w:rsidP="00D02E8C" w:rsidRDefault="001918C1" w14:paraId="43D5EC61" w14:textId="77777777">
      <w:pPr>
        <w:autoSpaceDE w:val="0"/>
        <w:autoSpaceDN w:val="0"/>
        <w:adjustRightInd w:val="0"/>
      </w:pPr>
    </w:p>
    <w:p w:rsidR="001918C1" w:rsidP="00D02E8C" w:rsidRDefault="001918C1" w14:paraId="00DA1F4E" w14:textId="77777777">
      <w:pPr>
        <w:autoSpaceDE w:val="0"/>
        <w:autoSpaceDN w:val="0"/>
        <w:adjustRightInd w:val="0"/>
        <w:rPr>
          <w:b/>
        </w:rPr>
      </w:pPr>
      <w:r w:rsidRPr="001918C1">
        <w:rPr>
          <w:b/>
        </w:rPr>
        <w:t>Artikel 6</w:t>
      </w:r>
    </w:p>
    <w:p w:rsidR="001918C1" w:rsidP="00D02E8C" w:rsidRDefault="001918C1" w14:paraId="4AEFB38D" w14:textId="77777777">
      <w:pPr>
        <w:autoSpaceDE w:val="0"/>
        <w:autoSpaceDN w:val="0"/>
        <w:adjustRightInd w:val="0"/>
        <w:rPr>
          <w:rFonts w:cs="Univers"/>
        </w:rPr>
      </w:pPr>
      <w:r w:rsidRPr="00AA0EE3">
        <w:rPr>
          <w:rFonts w:cs="Univers"/>
        </w:rPr>
        <w:t xml:space="preserve">Deze bepaling bevat de lijst van stukken die ter ondersteuning van een verzoek tot overbrenging door de ene partij aan de andere partij dient te worden overgelegd. De lijst is overgenomen uit artikel 6 van het RvE-verdrag. Alleen </w:t>
      </w:r>
      <w:r w:rsidRPr="001918C1">
        <w:rPr>
          <w:rFonts w:cs="Univers"/>
          <w:i/>
        </w:rPr>
        <w:t>onderdeel e van het tweede lid</w:t>
      </w:r>
      <w:r w:rsidRPr="00AA0EE3">
        <w:rPr>
          <w:rFonts w:cs="Univers"/>
        </w:rPr>
        <w:t xml:space="preserve"> is nieuw. Het verplicht tot overlegging van informatie betreffende de wetgeving en beslissingen over voorwaardelijke invrijheidstelling, </w:t>
      </w:r>
      <w:r>
        <w:rPr>
          <w:rFonts w:cs="Univers"/>
        </w:rPr>
        <w:t xml:space="preserve">opdat daarmee rekening kan worden gehouden bij de beslissing op het verzoek en, indien met de overbrenging wordt ingestemd, bij de verdere tenuitvoerlegging van de straf in de ontvangende staat. </w:t>
      </w:r>
    </w:p>
    <w:p w:rsidR="001918C1" w:rsidP="00D02E8C" w:rsidRDefault="001918C1" w14:paraId="68C7F53F" w14:textId="77777777">
      <w:pPr>
        <w:autoSpaceDE w:val="0"/>
        <w:autoSpaceDN w:val="0"/>
        <w:adjustRightInd w:val="0"/>
        <w:rPr>
          <w:rFonts w:cs="Univers"/>
        </w:rPr>
      </w:pPr>
    </w:p>
    <w:p w:rsidRPr="001918C1" w:rsidR="001918C1" w:rsidP="00D02E8C" w:rsidRDefault="001918C1" w14:paraId="5A187310" w14:textId="77777777">
      <w:pPr>
        <w:autoSpaceDE w:val="0"/>
        <w:autoSpaceDN w:val="0"/>
        <w:adjustRightInd w:val="0"/>
        <w:rPr>
          <w:rFonts w:cs="Univers"/>
          <w:b/>
        </w:rPr>
      </w:pPr>
      <w:r w:rsidRPr="001918C1">
        <w:rPr>
          <w:rFonts w:cs="Univers"/>
          <w:b/>
        </w:rPr>
        <w:t>Artikel 7</w:t>
      </w:r>
    </w:p>
    <w:p w:rsidR="002A32DE" w:rsidP="00D02E8C" w:rsidRDefault="001918C1" w14:paraId="77030C58" w14:textId="77777777">
      <w:pPr>
        <w:autoSpaceDE w:val="0"/>
        <w:autoSpaceDN w:val="0"/>
        <w:adjustRightInd w:val="0"/>
      </w:pPr>
      <w:r>
        <w:t xml:space="preserve">In de inleiding van deze nota is ingegaan op de inhoud en </w:t>
      </w:r>
      <w:r w:rsidR="002A32DE">
        <w:t>betekenis van deze bepaling.</w:t>
      </w:r>
    </w:p>
    <w:p w:rsidR="002A32DE" w:rsidP="00D02E8C" w:rsidRDefault="002A32DE" w14:paraId="4AFD7C83" w14:textId="77777777">
      <w:pPr>
        <w:autoSpaceDE w:val="0"/>
        <w:autoSpaceDN w:val="0"/>
        <w:adjustRightInd w:val="0"/>
      </w:pPr>
    </w:p>
    <w:p w:rsidRPr="002A32DE" w:rsidR="001918C1" w:rsidP="00D02E8C" w:rsidRDefault="002A32DE" w14:paraId="799E80AF" w14:textId="77777777">
      <w:pPr>
        <w:autoSpaceDE w:val="0"/>
        <w:autoSpaceDN w:val="0"/>
        <w:adjustRightInd w:val="0"/>
        <w:rPr>
          <w:b/>
        </w:rPr>
      </w:pPr>
      <w:r w:rsidRPr="002A32DE">
        <w:rPr>
          <w:b/>
        </w:rPr>
        <w:t>Artikel 8</w:t>
      </w:r>
      <w:r w:rsidRPr="002A32DE" w:rsidR="001918C1">
        <w:rPr>
          <w:b/>
        </w:rPr>
        <w:t xml:space="preserve"> </w:t>
      </w:r>
    </w:p>
    <w:p w:rsidRPr="00AA0EE3" w:rsidR="002A32DE" w:rsidP="00D02E8C" w:rsidRDefault="002A32DE" w14:paraId="50BBA445" w14:textId="77777777">
      <w:pPr>
        <w:autoSpaceDE w:val="0"/>
        <w:autoSpaceDN w:val="0"/>
        <w:adjustRightInd w:val="0"/>
        <w:rPr>
          <w:rFonts w:cs="Univers"/>
        </w:rPr>
      </w:pPr>
      <w:r w:rsidRPr="00AA0EE3">
        <w:rPr>
          <w:rFonts w:cs="Univers"/>
        </w:rPr>
        <w:t xml:space="preserve">Dit artikel regelt de rechtsgevolgen voor de </w:t>
      </w:r>
      <w:r w:rsidR="00343129">
        <w:rPr>
          <w:rFonts w:cs="Univers"/>
        </w:rPr>
        <w:t xml:space="preserve">overbrengende </w:t>
      </w:r>
      <w:r w:rsidRPr="00AA0EE3">
        <w:rPr>
          <w:rFonts w:cs="Univers"/>
        </w:rPr>
        <w:t xml:space="preserve">staat van een overbrenging van een veroordeelde naar de </w:t>
      </w:r>
      <w:r w:rsidR="00343129">
        <w:rPr>
          <w:rFonts w:cs="Univers"/>
        </w:rPr>
        <w:t xml:space="preserve">ontvangende </w:t>
      </w:r>
      <w:r w:rsidRPr="00AA0EE3">
        <w:rPr>
          <w:rFonts w:cs="Univers"/>
        </w:rPr>
        <w:t>staat. Deze bepaling komt overeen met artikel 8 van het RvE-verdrag.</w:t>
      </w:r>
    </w:p>
    <w:p w:rsidR="006F1853" w:rsidP="00D02E8C" w:rsidRDefault="006F1853" w14:paraId="4999DE15" w14:textId="77777777"/>
    <w:p w:rsidRPr="002A32DE" w:rsidR="002A32DE" w:rsidP="00D02E8C" w:rsidRDefault="002A32DE" w14:paraId="2EE99E80" w14:textId="77777777">
      <w:pPr>
        <w:rPr>
          <w:b/>
        </w:rPr>
      </w:pPr>
      <w:r w:rsidRPr="002A32DE">
        <w:rPr>
          <w:b/>
        </w:rPr>
        <w:t>Artikel 9</w:t>
      </w:r>
    </w:p>
    <w:p w:rsidR="00B52983" w:rsidP="00D02E8C" w:rsidRDefault="002A32DE" w14:paraId="53726A4B" w14:textId="77777777">
      <w:pPr>
        <w:autoSpaceDE w:val="0"/>
        <w:autoSpaceDN w:val="0"/>
        <w:adjustRightInd w:val="0"/>
        <w:rPr>
          <w:bCs/>
          <w:lang w:eastAsia="zh-CN"/>
        </w:rPr>
      </w:pPr>
      <w:r w:rsidRPr="008847D6">
        <w:rPr>
          <w:rFonts w:cs="Univers"/>
        </w:rPr>
        <w:t xml:space="preserve">In deze bepaling zijn de gevolgen </w:t>
      </w:r>
      <w:r w:rsidR="008847D6">
        <w:rPr>
          <w:rFonts w:cs="Univers"/>
        </w:rPr>
        <w:t xml:space="preserve">van de overbrenging </w:t>
      </w:r>
      <w:r w:rsidRPr="008847D6">
        <w:rPr>
          <w:rFonts w:cs="Univers"/>
        </w:rPr>
        <w:t xml:space="preserve">voor de </w:t>
      </w:r>
      <w:r w:rsidR="008847D6">
        <w:rPr>
          <w:rFonts w:cs="Univers"/>
        </w:rPr>
        <w:t xml:space="preserve">ontvangende </w:t>
      </w:r>
      <w:r w:rsidRPr="008847D6">
        <w:rPr>
          <w:rFonts w:cs="Univers"/>
        </w:rPr>
        <w:t>staat</w:t>
      </w:r>
      <w:r w:rsidR="008847D6">
        <w:rPr>
          <w:rFonts w:cs="Univers"/>
        </w:rPr>
        <w:t xml:space="preserve"> vastgelegd</w:t>
      </w:r>
      <w:r w:rsidRPr="008847D6">
        <w:rPr>
          <w:rFonts w:cs="Univers"/>
        </w:rPr>
        <w:t>. De tenuitvoerlegging van de straf geschiedt</w:t>
      </w:r>
      <w:r w:rsidR="008847D6">
        <w:rPr>
          <w:rFonts w:cs="Univers"/>
        </w:rPr>
        <w:t xml:space="preserve">, zo blijkt uit het </w:t>
      </w:r>
      <w:r w:rsidRPr="008847D6" w:rsidR="008847D6">
        <w:rPr>
          <w:rFonts w:cs="Univers"/>
          <w:i/>
        </w:rPr>
        <w:t>eerste lid</w:t>
      </w:r>
      <w:r w:rsidR="008847D6">
        <w:rPr>
          <w:rFonts w:cs="Univers"/>
        </w:rPr>
        <w:t xml:space="preserve">, </w:t>
      </w:r>
      <w:r w:rsidRPr="008847D6">
        <w:rPr>
          <w:rFonts w:cs="Univers"/>
        </w:rPr>
        <w:t xml:space="preserve">volgens de procedure van de voortgezette tenuitvoerlegging en verder </w:t>
      </w:r>
      <w:r w:rsidR="00937EDF">
        <w:rPr>
          <w:rFonts w:cs="Univers"/>
        </w:rPr>
        <w:t xml:space="preserve">conform </w:t>
      </w:r>
      <w:r w:rsidRPr="008847D6">
        <w:rPr>
          <w:rFonts w:cs="Univers"/>
        </w:rPr>
        <w:t>het recht van de</w:t>
      </w:r>
      <w:r w:rsidR="008847D6">
        <w:rPr>
          <w:rFonts w:cs="Univers"/>
        </w:rPr>
        <w:t xml:space="preserve"> </w:t>
      </w:r>
      <w:r w:rsidR="00937EDF">
        <w:rPr>
          <w:rFonts w:cs="Univers"/>
        </w:rPr>
        <w:t xml:space="preserve">ontvangende </w:t>
      </w:r>
      <w:r w:rsidR="008847D6">
        <w:rPr>
          <w:rFonts w:cs="Univers"/>
        </w:rPr>
        <w:t>staat</w:t>
      </w:r>
      <w:r w:rsidRPr="008847D6">
        <w:rPr>
          <w:rFonts w:cs="Univers"/>
        </w:rPr>
        <w:t xml:space="preserve">. Deze regel is overgenomen uit artikel 8, derde lid, van het RvE-verdrag. Hiermee is tevens voldaan aan artikel 43 van de Wet overdracht tenuitvoerlegging strafvonnissen en </w:t>
      </w:r>
      <w:r w:rsidRPr="00083E46">
        <w:rPr>
          <w:rFonts w:cs="Univers"/>
        </w:rPr>
        <w:t xml:space="preserve">artikel 593 van de Wetboeken van Strafvordering van </w:t>
      </w:r>
      <w:r w:rsidRPr="00083E46" w:rsidR="00C067F0">
        <w:rPr>
          <w:rFonts w:cs="Univers"/>
        </w:rPr>
        <w:t xml:space="preserve">Aruba, </w:t>
      </w:r>
      <w:r w:rsidRPr="00083E46" w:rsidR="007051BB">
        <w:rPr>
          <w:rFonts w:cs="Univers"/>
        </w:rPr>
        <w:t>Curaçao</w:t>
      </w:r>
      <w:r w:rsidRPr="00083E46" w:rsidR="00C067F0">
        <w:rPr>
          <w:rFonts w:cs="Univers"/>
        </w:rPr>
        <w:t xml:space="preserve"> en Sint Maarten</w:t>
      </w:r>
      <w:r w:rsidRPr="00083E46" w:rsidR="007051BB">
        <w:rPr>
          <w:rFonts w:cs="Univers"/>
        </w:rPr>
        <w:t xml:space="preserve">, </w:t>
      </w:r>
      <w:r w:rsidRPr="00083E46" w:rsidR="00C067F0">
        <w:rPr>
          <w:rFonts w:cs="Univers"/>
        </w:rPr>
        <w:t xml:space="preserve">respectievelijk van </w:t>
      </w:r>
      <w:r w:rsidRPr="00083E46" w:rsidR="00450DFD">
        <w:rPr>
          <w:rFonts w:cs="Univers"/>
        </w:rPr>
        <w:t xml:space="preserve">het Wetboek van Strafvordering </w:t>
      </w:r>
      <w:r w:rsidRPr="00083E46" w:rsidR="007051BB">
        <w:rPr>
          <w:rFonts w:cs="Univers"/>
        </w:rPr>
        <w:t>BES</w:t>
      </w:r>
      <w:r w:rsidRPr="00083E46" w:rsidR="00287A61">
        <w:rPr>
          <w:rFonts w:cs="Univers"/>
        </w:rPr>
        <w:t xml:space="preserve">, </w:t>
      </w:r>
      <w:r w:rsidRPr="00083E46">
        <w:rPr>
          <w:rFonts w:cs="Univers"/>
        </w:rPr>
        <w:t>die een expliciete vermelding van die procedure in een verdrag vereisen.</w:t>
      </w:r>
      <w:r w:rsidRPr="00083E46" w:rsidR="00C067F0">
        <w:rPr>
          <w:rFonts w:cs="Univers"/>
        </w:rPr>
        <w:t xml:space="preserve"> </w:t>
      </w:r>
      <w:r w:rsidRPr="00083E46" w:rsidR="008847D6">
        <w:rPr>
          <w:rFonts w:cs="Univers"/>
        </w:rPr>
        <w:t>Verder bepaalt dit lid</w:t>
      </w:r>
      <w:r w:rsidR="008847D6">
        <w:rPr>
          <w:rFonts w:cs="Univers"/>
        </w:rPr>
        <w:t xml:space="preserve"> dat de ontvangende staat aan de hand van de uit hoofde van artikel 6, tweede lid, onderdeel e, door de overbrengende staat verstrekte informatie, </w:t>
      </w:r>
      <w:r w:rsidRPr="008847D6">
        <w:rPr>
          <w:rFonts w:cs="Univers"/>
        </w:rPr>
        <w:t xml:space="preserve">rekening </w:t>
      </w:r>
      <w:r w:rsidR="008847D6">
        <w:rPr>
          <w:rFonts w:cs="Univers"/>
        </w:rPr>
        <w:t xml:space="preserve">kan </w:t>
      </w:r>
      <w:r w:rsidRPr="008847D6">
        <w:rPr>
          <w:rFonts w:cs="Univers"/>
        </w:rPr>
        <w:t xml:space="preserve">houden met de bepalingen van of beslissingen genomen in de </w:t>
      </w:r>
      <w:r w:rsidR="00937EDF">
        <w:rPr>
          <w:rFonts w:cs="Univers"/>
        </w:rPr>
        <w:t>overbrengende staat</w:t>
      </w:r>
      <w:r w:rsidRPr="008847D6">
        <w:rPr>
          <w:rFonts w:cs="Univers"/>
        </w:rPr>
        <w:t xml:space="preserve"> over voorwaardelijke invrijheidstelling</w:t>
      </w:r>
      <w:r w:rsidR="00C067F0">
        <w:rPr>
          <w:rFonts w:cs="Univers"/>
        </w:rPr>
        <w:t>.</w:t>
      </w:r>
      <w:r w:rsidRPr="008847D6">
        <w:rPr>
          <w:rFonts w:cs="Univers"/>
        </w:rPr>
        <w:t xml:space="preserve"> </w:t>
      </w:r>
      <w:r w:rsidRPr="008847D6">
        <w:t xml:space="preserve">De werking van </w:t>
      </w:r>
      <w:r w:rsidR="008847D6">
        <w:t xml:space="preserve">dit onderdeel van het eerste lid </w:t>
      </w:r>
      <w:r w:rsidRPr="008847D6">
        <w:t xml:space="preserve">is als volgt. Ingevolge de </w:t>
      </w:r>
      <w:r w:rsidRPr="00236435">
        <w:rPr>
          <w:i/>
        </w:rPr>
        <w:t>eerste volzin van het eerste lid</w:t>
      </w:r>
      <w:r w:rsidRPr="008847D6">
        <w:t xml:space="preserve"> worden in Nederland</w:t>
      </w:r>
      <w:r w:rsidR="008847D6">
        <w:t xml:space="preserve"> </w:t>
      </w:r>
      <w:r w:rsidRPr="008847D6">
        <w:t>de</w:t>
      </w:r>
      <w:r w:rsidR="008847D6">
        <w:t xml:space="preserve"> </w:t>
      </w:r>
      <w:r w:rsidRPr="008847D6">
        <w:t xml:space="preserve">Nederlandse regels voor voorwaardelijke invrijheidsstelling toegepast. Echter, in de gevallen waarin de betrokkene ingevolge de </w:t>
      </w:r>
      <w:r w:rsidR="008847D6">
        <w:t>Peruaanse</w:t>
      </w:r>
      <w:r w:rsidRPr="008847D6">
        <w:t xml:space="preserve"> wetgeving of tengevolge van een </w:t>
      </w:r>
      <w:r w:rsidR="008847D6">
        <w:t>Peruaanse</w:t>
      </w:r>
      <w:r w:rsidRPr="008847D6">
        <w:t xml:space="preserve"> beslissing </w:t>
      </w:r>
      <w:r w:rsidR="00375E22">
        <w:t>inzake voorwaardelijke</w:t>
      </w:r>
      <w:r w:rsidR="00937EDF">
        <w:t xml:space="preserve"> invrijheidstelling</w:t>
      </w:r>
      <w:r w:rsidR="007051BB">
        <w:t xml:space="preserve"> (VI)</w:t>
      </w:r>
      <w:r w:rsidR="00C73F61">
        <w:t xml:space="preserve"> </w:t>
      </w:r>
      <w:r w:rsidRPr="008847D6">
        <w:t>eerder voor voorwaardelijke invrijheidsstelling in aanmerking zou zijn gekomen</w:t>
      </w:r>
      <w:r w:rsidR="007051BB">
        <w:t xml:space="preserve"> dan bij toepassing van de Nederlandse regels ter zake</w:t>
      </w:r>
      <w:r w:rsidRPr="008847D6">
        <w:t>, voorziet het verdrag in de mogelijkheid om bij de tenuitvoerlegging in Nederland rekening te houden</w:t>
      </w:r>
      <w:r w:rsidR="007051BB">
        <w:t xml:space="preserve"> met de Peruaanse VI-regels of VI-beslissing</w:t>
      </w:r>
      <w:r w:rsidRPr="008847D6">
        <w:t xml:space="preserve">. Het zal duidelijk zijn dat daarvan alleen sprake kan zijn indien de </w:t>
      </w:r>
      <w:r w:rsidR="00B52983">
        <w:t>Peruaanse</w:t>
      </w:r>
      <w:r w:rsidRPr="008847D6">
        <w:t xml:space="preserve"> </w:t>
      </w:r>
      <w:r w:rsidRPr="008847D6">
        <w:lastRenderedPageBreak/>
        <w:t xml:space="preserve">autoriteiten eenduidige gegevens hieromtrent hebben verstrekt. </w:t>
      </w:r>
      <w:r w:rsidR="00B52983">
        <w:t xml:space="preserve">Het Nederlandse </w:t>
      </w:r>
      <w:r w:rsidR="00937EDF">
        <w:t>W</w:t>
      </w:r>
      <w:r w:rsidR="00B52983">
        <w:t xml:space="preserve">etboek van </w:t>
      </w:r>
      <w:r w:rsidR="00937EDF">
        <w:t>S</w:t>
      </w:r>
      <w:r w:rsidR="00B52983">
        <w:t xml:space="preserve">trafrecht voorziet op dit moment niet in de mogelijkheid van vervroeging van de VI. Dit zal wel het geval zijn nadat het wetsvoorstel </w:t>
      </w:r>
      <w:r w:rsidRPr="00B52983" w:rsidR="00B52983">
        <w:t xml:space="preserve">tot </w:t>
      </w:r>
      <w:r w:rsidR="00236435">
        <w:t>i</w:t>
      </w:r>
      <w:r w:rsidRPr="00B52983" w:rsidR="00B52983">
        <w:rPr>
          <w:bCs/>
          <w:lang w:eastAsia="zh-CN"/>
        </w:rPr>
        <w:t>mplementatie van kaderbesluit 2008/909/JBZ</w:t>
      </w:r>
      <w:r w:rsidR="00236435">
        <w:rPr>
          <w:bCs/>
          <w:lang w:eastAsia="zh-CN"/>
        </w:rPr>
        <w:t xml:space="preserve"> </w:t>
      </w:r>
      <w:r w:rsidRPr="00B52983" w:rsidR="00B52983">
        <w:rPr>
          <w:bCs/>
          <w:lang w:eastAsia="zh-CN"/>
        </w:rPr>
        <w:t>van de Raad van de Europese Unie van 27 november 2008 inzake de toepassing van het beginsel van wederzijdse erkenning op strafvonnissen waarbij vrijheidsstraffen of tot vrijheidsbeneming strekkende maatregelen zijn opgelegd, met het oog op tenuitvoerlegging ervan in de Europese Unie (PbEU</w:t>
      </w:r>
      <w:r w:rsidR="00E72361">
        <w:rPr>
          <w:bCs/>
          <w:lang w:eastAsia="zh-CN"/>
        </w:rPr>
        <w:t xml:space="preserve"> 2008,</w:t>
      </w:r>
      <w:r w:rsidRPr="00B52983" w:rsidR="00B52983">
        <w:rPr>
          <w:bCs/>
          <w:lang w:eastAsia="zh-CN"/>
        </w:rPr>
        <w:t xml:space="preserve"> L 327), van kaderbesluit 2008/947/JBZ van de Raad van de Europese Unie van 27 november 2008 inzake de toepassing van het beginsel van de wederzijdse erkenning op vonnissen en proeftijdbeslissingen met het oog op het toezicht op proeftijdvoorwaarden en alternatieve straffen (PbEU</w:t>
      </w:r>
      <w:r w:rsidR="00E72361">
        <w:rPr>
          <w:bCs/>
          <w:lang w:eastAsia="zh-CN"/>
        </w:rPr>
        <w:t xml:space="preserve"> 2008,</w:t>
      </w:r>
      <w:r w:rsidRPr="00B52983" w:rsidR="00B52983">
        <w:rPr>
          <w:bCs/>
          <w:lang w:eastAsia="zh-CN"/>
        </w:rPr>
        <w:t xml:space="preserve"> L 337) en van kaderbesluit 2009/299/JBZ van de Raad van de Europese Unie van 26 februari 2009 tot wijziging van kaderbesluit 2002/584/JBZ, kaderbesluit 2005/214/JBZ, kaderbesluit 2006/783/JBZ, kaderbesluit</w:t>
      </w:r>
      <w:r w:rsidR="00B52983">
        <w:rPr>
          <w:bCs/>
          <w:lang w:eastAsia="zh-CN"/>
        </w:rPr>
        <w:t xml:space="preserve"> </w:t>
      </w:r>
      <w:r w:rsidRPr="00B52983" w:rsidR="00B52983">
        <w:rPr>
          <w:bCs/>
          <w:lang w:eastAsia="zh-CN"/>
        </w:rPr>
        <w:t>2008/909/JBZ en kaderbesluit 2008/947/JBZ en tot versterking van de procedurele rechten van personen, tot bevordering van de toepassing van</w:t>
      </w:r>
      <w:r w:rsidR="00B52983">
        <w:rPr>
          <w:bCs/>
          <w:lang w:eastAsia="zh-CN"/>
        </w:rPr>
        <w:t xml:space="preserve"> </w:t>
      </w:r>
      <w:r w:rsidRPr="00B52983" w:rsidR="00B52983">
        <w:rPr>
          <w:bCs/>
          <w:lang w:eastAsia="zh-CN"/>
        </w:rPr>
        <w:t>het beginsel van wederzijdse erkenning op beslissingen gegeven ten aanzien van personen</w:t>
      </w:r>
      <w:r w:rsidR="00B52983">
        <w:rPr>
          <w:bCs/>
          <w:lang w:eastAsia="zh-CN"/>
        </w:rPr>
        <w:t xml:space="preserve"> </w:t>
      </w:r>
      <w:r w:rsidRPr="00B52983" w:rsidR="00B52983">
        <w:rPr>
          <w:bCs/>
          <w:lang w:eastAsia="zh-CN"/>
        </w:rPr>
        <w:t>die niet verschenen zijn tijdens het proces</w:t>
      </w:r>
      <w:r w:rsidR="00B52983">
        <w:rPr>
          <w:bCs/>
          <w:lang w:eastAsia="zh-CN"/>
        </w:rPr>
        <w:t xml:space="preserve"> </w:t>
      </w:r>
      <w:r w:rsidRPr="00B52983" w:rsidR="00B52983">
        <w:rPr>
          <w:bCs/>
          <w:lang w:eastAsia="zh-CN"/>
        </w:rPr>
        <w:t>(PbEU</w:t>
      </w:r>
      <w:r w:rsidR="00E72361">
        <w:rPr>
          <w:bCs/>
          <w:lang w:eastAsia="zh-CN"/>
        </w:rPr>
        <w:t xml:space="preserve"> 2009,</w:t>
      </w:r>
      <w:r w:rsidRPr="00B52983" w:rsidR="00B52983">
        <w:rPr>
          <w:bCs/>
          <w:lang w:eastAsia="zh-CN"/>
        </w:rPr>
        <w:t xml:space="preserve"> L 81) (Wet wederzijdse erkenning en tenuitvoerlegging vrijheidsbenemende en voorwaardelijke sancties), Kamerstukken II 2010</w:t>
      </w:r>
      <w:r w:rsidR="00375E22">
        <w:rPr>
          <w:bCs/>
          <w:lang w:eastAsia="zh-CN"/>
        </w:rPr>
        <w:t>/</w:t>
      </w:r>
      <w:r w:rsidRPr="00B52983" w:rsidR="00B52983">
        <w:rPr>
          <w:bCs/>
          <w:lang w:eastAsia="zh-CN"/>
        </w:rPr>
        <w:t>11, 32</w:t>
      </w:r>
      <w:r w:rsidR="00375E22">
        <w:rPr>
          <w:bCs/>
          <w:lang w:eastAsia="zh-CN"/>
        </w:rPr>
        <w:t xml:space="preserve"> </w:t>
      </w:r>
      <w:r w:rsidRPr="00B52983" w:rsidR="00B52983">
        <w:rPr>
          <w:bCs/>
          <w:lang w:eastAsia="zh-CN"/>
        </w:rPr>
        <w:t>885</w:t>
      </w:r>
      <w:r w:rsidR="00375E22">
        <w:rPr>
          <w:bCs/>
          <w:lang w:eastAsia="zh-CN"/>
        </w:rPr>
        <w:t>, nr. 2</w:t>
      </w:r>
      <w:r w:rsidRPr="00B52983" w:rsidR="00B52983">
        <w:rPr>
          <w:bCs/>
          <w:lang w:eastAsia="zh-CN"/>
        </w:rPr>
        <w:t>)</w:t>
      </w:r>
      <w:r w:rsidR="00B52983">
        <w:rPr>
          <w:bCs/>
          <w:lang w:eastAsia="zh-CN"/>
        </w:rPr>
        <w:t xml:space="preserve"> tot wet is verheven.</w:t>
      </w:r>
    </w:p>
    <w:p w:rsidRPr="00AA0EE3" w:rsidR="00B33E92" w:rsidP="00D02E8C" w:rsidRDefault="00B33E92" w14:paraId="67649842" w14:textId="77777777">
      <w:pPr>
        <w:autoSpaceDE w:val="0"/>
        <w:autoSpaceDN w:val="0"/>
        <w:adjustRightInd w:val="0"/>
      </w:pPr>
      <w:r w:rsidRPr="00AA0EE3">
        <w:t xml:space="preserve">Het </w:t>
      </w:r>
      <w:r w:rsidRPr="00AA0EE3">
        <w:rPr>
          <w:i/>
        </w:rPr>
        <w:t>tweede lid</w:t>
      </w:r>
      <w:r w:rsidRPr="00AA0EE3">
        <w:t xml:space="preserve"> komt inhoudelijk overeen met artikel 10, tweede lid, van het RvE-verdrag en laat toe dat de straf, indien deze hoger is dan het strafmaximum dat in de </w:t>
      </w:r>
      <w:r w:rsidR="00375E22">
        <w:t xml:space="preserve">ontvangende </w:t>
      </w:r>
      <w:r w:rsidRPr="00AA0EE3">
        <w:t>staat op het delict waarvoor betrokkene is veroordeeld, is gesteld, mag worden aangepast tot de hoogte van dat maximum. Bij deze beoordeling wordt, evenals bij de bepaling van de dubbele strafbaarheid, uitgegaan van het strafmaximum dat geldt op het moment van de beslissing op het verzoek.</w:t>
      </w:r>
      <w:r>
        <w:t xml:space="preserve"> In de inleiding van deze nota is </w:t>
      </w:r>
      <w:r w:rsidR="00236435">
        <w:t>al</w:t>
      </w:r>
      <w:r>
        <w:t xml:space="preserve"> ingegaan op de samenhang tussen dit artikellid </w:t>
      </w:r>
      <w:r w:rsidR="00375E22">
        <w:t>en</w:t>
      </w:r>
      <w:r>
        <w:t xml:space="preserve"> artikel 7 van het verdrag. </w:t>
      </w:r>
    </w:p>
    <w:p w:rsidR="00B52983" w:rsidP="00D02E8C" w:rsidRDefault="00B52983" w14:paraId="19321417" w14:textId="77777777">
      <w:pPr>
        <w:autoSpaceDE w:val="0"/>
        <w:autoSpaceDN w:val="0"/>
        <w:adjustRightInd w:val="0"/>
        <w:rPr>
          <w:bCs/>
          <w:lang w:eastAsia="zh-CN"/>
        </w:rPr>
      </w:pPr>
    </w:p>
    <w:p w:rsidRPr="00B33E92" w:rsidR="00B33E92" w:rsidP="00D02E8C" w:rsidRDefault="00B33E92" w14:paraId="3139705A" w14:textId="77777777">
      <w:pPr>
        <w:autoSpaceDE w:val="0"/>
        <w:autoSpaceDN w:val="0"/>
        <w:adjustRightInd w:val="0"/>
        <w:rPr>
          <w:b/>
          <w:bCs/>
          <w:lang w:eastAsia="zh-CN"/>
        </w:rPr>
      </w:pPr>
      <w:r w:rsidRPr="00B33E92">
        <w:rPr>
          <w:b/>
          <w:bCs/>
          <w:lang w:eastAsia="zh-CN"/>
        </w:rPr>
        <w:t>Artikel 10</w:t>
      </w:r>
    </w:p>
    <w:p w:rsidR="006F1853" w:rsidP="00D02E8C" w:rsidRDefault="00B33E92" w14:paraId="0397F6CE" w14:textId="77777777">
      <w:pPr>
        <w:autoSpaceDE w:val="0"/>
        <w:autoSpaceDN w:val="0"/>
        <w:adjustRightInd w:val="0"/>
      </w:pPr>
      <w:r>
        <w:t xml:space="preserve">De </w:t>
      </w:r>
      <w:r w:rsidRPr="00236435">
        <w:rPr>
          <w:i/>
        </w:rPr>
        <w:t>eerste</w:t>
      </w:r>
      <w:r w:rsidR="00236435">
        <w:rPr>
          <w:i/>
        </w:rPr>
        <w:t xml:space="preserve"> vol</w:t>
      </w:r>
      <w:r w:rsidRPr="00236435">
        <w:rPr>
          <w:i/>
        </w:rPr>
        <w:t>zin</w:t>
      </w:r>
      <w:r>
        <w:t xml:space="preserve"> van dit artikel komt inhoudelijk overeen met artikel 12 van het RvE-verdrag. Op de inlichtingenplicht die is vastgelegd in de </w:t>
      </w:r>
      <w:r w:rsidRPr="00236435">
        <w:rPr>
          <w:i/>
        </w:rPr>
        <w:t>tweede volzin</w:t>
      </w:r>
      <w:r>
        <w:t xml:space="preserve">, is </w:t>
      </w:r>
      <w:r w:rsidR="00236435">
        <w:t>al</w:t>
      </w:r>
      <w:r>
        <w:t xml:space="preserve"> ingegaan in de inleiding van deze </w:t>
      </w:r>
      <w:r w:rsidR="00236435">
        <w:t xml:space="preserve">nota. </w:t>
      </w:r>
    </w:p>
    <w:p w:rsidR="00B33E92" w:rsidP="00D02E8C" w:rsidRDefault="00B33E92" w14:paraId="77E3E299" w14:textId="77777777">
      <w:pPr>
        <w:autoSpaceDE w:val="0"/>
        <w:autoSpaceDN w:val="0"/>
        <w:adjustRightInd w:val="0"/>
      </w:pPr>
    </w:p>
    <w:p w:rsidRPr="00AA0EE3" w:rsidR="00B33E92" w:rsidP="00D02E8C" w:rsidRDefault="00B33E92" w14:paraId="7C78F666" w14:textId="77777777">
      <w:pPr>
        <w:autoSpaceDE w:val="0"/>
        <w:autoSpaceDN w:val="0"/>
        <w:adjustRightInd w:val="0"/>
        <w:rPr>
          <w:b/>
        </w:rPr>
      </w:pPr>
      <w:r w:rsidRPr="00AA0EE3">
        <w:rPr>
          <w:b/>
        </w:rPr>
        <w:t xml:space="preserve">Artikel </w:t>
      </w:r>
      <w:r>
        <w:rPr>
          <w:b/>
        </w:rPr>
        <w:t>11</w:t>
      </w:r>
    </w:p>
    <w:p w:rsidRPr="00AA0EE3" w:rsidR="00B33E92" w:rsidP="00D02E8C" w:rsidRDefault="00B33E92" w14:paraId="479199C5" w14:textId="77777777">
      <w:pPr>
        <w:autoSpaceDE w:val="0"/>
        <w:autoSpaceDN w:val="0"/>
        <w:adjustRightInd w:val="0"/>
      </w:pPr>
      <w:r w:rsidRPr="00AA0EE3">
        <w:t xml:space="preserve">Uit deze bepaling blijkt dat alleen de </w:t>
      </w:r>
      <w:r w:rsidR="00236435">
        <w:t xml:space="preserve">overbrengende </w:t>
      </w:r>
      <w:r w:rsidRPr="00AA0EE3">
        <w:t>staat de bevoegdheid heeft om over herziening te beslissen. Dit komt overeen met de regeling van artikel 13 van het RvE-verdrag.</w:t>
      </w:r>
    </w:p>
    <w:p w:rsidR="00B33E92" w:rsidP="00D02E8C" w:rsidRDefault="00B33E92" w14:paraId="37C4F801" w14:textId="77777777">
      <w:pPr>
        <w:autoSpaceDE w:val="0"/>
        <w:autoSpaceDN w:val="0"/>
        <w:adjustRightInd w:val="0"/>
      </w:pPr>
    </w:p>
    <w:p w:rsidR="00B33E92" w:rsidP="00D02E8C" w:rsidRDefault="00B33E92" w14:paraId="1A6B0540" w14:textId="77777777">
      <w:pPr>
        <w:autoSpaceDE w:val="0"/>
        <w:autoSpaceDN w:val="0"/>
        <w:adjustRightInd w:val="0"/>
        <w:rPr>
          <w:b/>
        </w:rPr>
      </w:pPr>
      <w:r w:rsidRPr="00B33E92">
        <w:rPr>
          <w:b/>
        </w:rPr>
        <w:t>Artikel 12</w:t>
      </w:r>
    </w:p>
    <w:p w:rsidRPr="00AA0EE3" w:rsidR="00B33E92" w:rsidP="00D02E8C" w:rsidRDefault="00B33E92" w14:paraId="16B51549" w14:textId="77777777">
      <w:pPr>
        <w:autoSpaceDE w:val="0"/>
        <w:autoSpaceDN w:val="0"/>
        <w:adjustRightInd w:val="0"/>
      </w:pPr>
      <w:r w:rsidRPr="00AA0EE3">
        <w:t>De in deze bepaling vastgelegde verplichting tot beëindiging van de tenuitvoerlegging door de staat van tenuitvoerlegging is letterlijk overgenomen uit artikel 14 van het RvE-verdrag.</w:t>
      </w:r>
    </w:p>
    <w:p w:rsidR="00B33E92" w:rsidP="00D02E8C" w:rsidRDefault="00B33E92" w14:paraId="3BFE4B5D" w14:textId="77777777">
      <w:pPr>
        <w:autoSpaceDE w:val="0"/>
        <w:autoSpaceDN w:val="0"/>
        <w:adjustRightInd w:val="0"/>
        <w:rPr>
          <w:b/>
        </w:rPr>
      </w:pPr>
    </w:p>
    <w:p w:rsidR="00B33E92" w:rsidP="00D02E8C" w:rsidRDefault="00B33E92" w14:paraId="259E1151" w14:textId="77777777">
      <w:pPr>
        <w:autoSpaceDE w:val="0"/>
        <w:autoSpaceDN w:val="0"/>
        <w:adjustRightInd w:val="0"/>
        <w:rPr>
          <w:b/>
        </w:rPr>
      </w:pPr>
      <w:r>
        <w:rPr>
          <w:b/>
        </w:rPr>
        <w:t>Artikel 13</w:t>
      </w:r>
    </w:p>
    <w:p w:rsidRPr="00AA0EE3" w:rsidR="00B33E92" w:rsidP="00D02E8C" w:rsidRDefault="00B33E92" w14:paraId="3C0B24CC" w14:textId="77777777">
      <w:pPr>
        <w:autoSpaceDE w:val="0"/>
        <w:autoSpaceDN w:val="0"/>
        <w:adjustRightInd w:val="0"/>
      </w:pPr>
      <w:r w:rsidRPr="00AA0EE3">
        <w:t>Ook de inhoud van deze bepaling betreffende het verstrekken van informatie over de tenuitvoerlegging is letterlijk overgenomen uit het RvE-verdrag, te weten artikel 15.</w:t>
      </w:r>
    </w:p>
    <w:p w:rsidR="00B33E92" w:rsidP="00D02E8C" w:rsidRDefault="00B33E92" w14:paraId="128F6DD2" w14:textId="77777777">
      <w:pPr>
        <w:autoSpaceDE w:val="0"/>
        <w:autoSpaceDN w:val="0"/>
        <w:adjustRightInd w:val="0"/>
        <w:rPr>
          <w:b/>
        </w:rPr>
      </w:pPr>
    </w:p>
    <w:p w:rsidR="00B33E92" w:rsidP="00D02E8C" w:rsidRDefault="00B33E92" w14:paraId="2374BE40" w14:textId="77777777">
      <w:pPr>
        <w:autoSpaceDE w:val="0"/>
        <w:autoSpaceDN w:val="0"/>
        <w:adjustRightInd w:val="0"/>
        <w:rPr>
          <w:b/>
        </w:rPr>
      </w:pPr>
      <w:r>
        <w:rPr>
          <w:b/>
        </w:rPr>
        <w:t>Artikel 14</w:t>
      </w:r>
    </w:p>
    <w:p w:rsidR="00B33E92" w:rsidP="00D02E8C" w:rsidRDefault="00B33E92" w14:paraId="50B35020" w14:textId="77777777">
      <w:pPr>
        <w:autoSpaceDE w:val="0"/>
        <w:autoSpaceDN w:val="0"/>
        <w:adjustRightInd w:val="0"/>
      </w:pPr>
      <w:r w:rsidRPr="00B33E92">
        <w:t xml:space="preserve">De regeling van vertaling </w:t>
      </w:r>
      <w:r>
        <w:t xml:space="preserve">in het </w:t>
      </w:r>
      <w:r w:rsidRPr="00B33E92">
        <w:rPr>
          <w:i/>
        </w:rPr>
        <w:t>eerste lid</w:t>
      </w:r>
      <w:r>
        <w:t xml:space="preserve"> </w:t>
      </w:r>
      <w:r w:rsidRPr="00B33E92">
        <w:t>kom</w:t>
      </w:r>
      <w:r>
        <w:t>t</w:t>
      </w:r>
      <w:r w:rsidRPr="00B33E92">
        <w:t xml:space="preserve"> inhoudelijk overeen met artikel 17 van het RvE</w:t>
      </w:r>
      <w:r w:rsidR="00236435">
        <w:t>-</w:t>
      </w:r>
      <w:r w:rsidRPr="00B33E92">
        <w:t>verdrag</w:t>
      </w:r>
      <w:r>
        <w:rPr>
          <w:b/>
        </w:rPr>
        <w:t xml:space="preserve">. </w:t>
      </w:r>
      <w:r w:rsidRPr="00B33E92">
        <w:t xml:space="preserve">Het </w:t>
      </w:r>
      <w:r w:rsidRPr="00393959">
        <w:rPr>
          <w:i/>
        </w:rPr>
        <w:t>tweede lid</w:t>
      </w:r>
      <w:r w:rsidR="00E701D7">
        <w:t xml:space="preserve">, dat bepaalt dat verzoeken en documenten die worden overgelegd conform dit verdrag niet behoeven te worden gelegaliseerd, </w:t>
      </w:r>
      <w:r w:rsidR="00393959">
        <w:t>komt eve</w:t>
      </w:r>
      <w:r w:rsidR="00236435">
        <w:t>n</w:t>
      </w:r>
      <w:r w:rsidR="00393959">
        <w:t xml:space="preserve">eens overeen met het bepaalde in artikel 17 van het RvE-verdrag, zij het dat de passage “tenzij het verdrag anders bepaalt” is </w:t>
      </w:r>
      <w:r>
        <w:t>opgenomen op Peruaans verzoek</w:t>
      </w:r>
      <w:r w:rsidR="00393959">
        <w:t>. H</w:t>
      </w:r>
      <w:r>
        <w:t>et verdrag bepaalt</w:t>
      </w:r>
      <w:r w:rsidR="00236435">
        <w:t xml:space="preserve"> overigens </w:t>
      </w:r>
      <w:r>
        <w:t xml:space="preserve">nergens dat een stuk moet worden gelegaliseerd. Voor de goede orde wordt </w:t>
      </w:r>
      <w:r w:rsidR="00393959">
        <w:t xml:space="preserve">hier nog </w:t>
      </w:r>
      <w:r>
        <w:lastRenderedPageBreak/>
        <w:t>opgemerkt dat ingevolge artikel</w:t>
      </w:r>
      <w:r w:rsidR="00393959">
        <w:t xml:space="preserve"> 6, tweede lid, onder</w:t>
      </w:r>
      <w:r w:rsidR="00B65C00">
        <w:t>deel</w:t>
      </w:r>
      <w:r w:rsidR="00393959">
        <w:t xml:space="preserve"> a</w:t>
      </w:r>
      <w:r w:rsidR="00236435">
        <w:t>,</w:t>
      </w:r>
      <w:r w:rsidR="00393959">
        <w:t xml:space="preserve"> </w:t>
      </w:r>
      <w:r w:rsidR="00B65C00">
        <w:t xml:space="preserve">van het verdrag </w:t>
      </w:r>
      <w:r w:rsidR="00393959">
        <w:t>een vonnis moet worden overgelegd in de vorm van een gewaarmerkt afschrift.</w:t>
      </w:r>
    </w:p>
    <w:p w:rsidR="00393959" w:rsidP="00D02E8C" w:rsidRDefault="00393959" w14:paraId="0A15C248" w14:textId="77777777">
      <w:pPr>
        <w:autoSpaceDE w:val="0"/>
        <w:autoSpaceDN w:val="0"/>
        <w:adjustRightInd w:val="0"/>
      </w:pPr>
      <w:r w:rsidRPr="00AA0EE3">
        <w:t xml:space="preserve">Het </w:t>
      </w:r>
      <w:r w:rsidRPr="00AA0EE3">
        <w:rPr>
          <w:i/>
        </w:rPr>
        <w:t>derde lid</w:t>
      </w:r>
      <w:r w:rsidRPr="00AA0EE3">
        <w:t xml:space="preserve"> bepaalt, dat de kosten van overbrenging </w:t>
      </w:r>
      <w:r>
        <w:t xml:space="preserve">en voor de tenuitvoerlegging van de straf </w:t>
      </w:r>
      <w:r w:rsidRPr="00AA0EE3">
        <w:t xml:space="preserve">worden gedragen door de </w:t>
      </w:r>
      <w:r>
        <w:t xml:space="preserve">ontvangende </w:t>
      </w:r>
      <w:r w:rsidRPr="00AA0EE3">
        <w:t>staat</w:t>
      </w:r>
      <w:r>
        <w:t>. U</w:t>
      </w:r>
      <w:r w:rsidRPr="00AA0EE3">
        <w:t>itzondering v</w:t>
      </w:r>
      <w:r>
        <w:t>ormen</w:t>
      </w:r>
      <w:r w:rsidRPr="00AA0EE3">
        <w:t xml:space="preserve"> de </w:t>
      </w:r>
      <w:r>
        <w:t>vervoers</w:t>
      </w:r>
      <w:r w:rsidRPr="00AA0EE3">
        <w:t xml:space="preserve">kosten die in de staat van veroordeling zijn gemaakt. Bij dat laatste moet, door de geografische uitgestrektheid van </w:t>
      </w:r>
      <w:r>
        <w:t>Peru</w:t>
      </w:r>
      <w:r w:rsidRPr="00AA0EE3">
        <w:t xml:space="preserve">, worden gedacht aan de kosten die verbonden zijn aan het </w:t>
      </w:r>
      <w:r>
        <w:t>vervoer</w:t>
      </w:r>
      <w:r w:rsidRPr="00AA0EE3">
        <w:t xml:space="preserve"> van de gedetineerde vanuit de detentieplaats in </w:t>
      </w:r>
      <w:r>
        <w:t>Peru</w:t>
      </w:r>
      <w:r w:rsidRPr="00AA0EE3">
        <w:t xml:space="preserve"> naar de luchthaven waar betrokkene door Nederlandse ambtenaren kan worden overgenomen voor de terugvlucht naar Nederland</w:t>
      </w:r>
      <w:r w:rsidR="00B65C00">
        <w:t>, respectievelijk Aruba, Curaçao of Sint Maarten</w:t>
      </w:r>
      <w:r w:rsidRPr="00AA0EE3">
        <w:t xml:space="preserve">. De kosten voor het vervoer in </w:t>
      </w:r>
      <w:r>
        <w:t>Peru</w:t>
      </w:r>
      <w:r w:rsidRPr="00AA0EE3">
        <w:t xml:space="preserve"> komen voor rekening van </w:t>
      </w:r>
      <w:r>
        <w:t>Peru</w:t>
      </w:r>
      <w:r w:rsidRPr="00AA0EE3">
        <w:t>.</w:t>
      </w:r>
    </w:p>
    <w:p w:rsidR="00393959" w:rsidP="00D02E8C" w:rsidRDefault="00393959" w14:paraId="7FCAF1C9" w14:textId="77777777">
      <w:pPr>
        <w:autoSpaceDE w:val="0"/>
        <w:autoSpaceDN w:val="0"/>
        <w:adjustRightInd w:val="0"/>
      </w:pPr>
    </w:p>
    <w:p w:rsidR="00393959" w:rsidP="00D02E8C" w:rsidRDefault="00393959" w14:paraId="27AA9D9D" w14:textId="77777777">
      <w:pPr>
        <w:autoSpaceDE w:val="0"/>
        <w:autoSpaceDN w:val="0"/>
        <w:adjustRightInd w:val="0"/>
        <w:rPr>
          <w:b/>
        </w:rPr>
      </w:pPr>
      <w:r w:rsidRPr="00393959">
        <w:rPr>
          <w:b/>
        </w:rPr>
        <w:t>Artikel 1</w:t>
      </w:r>
      <w:r w:rsidR="001218D7">
        <w:rPr>
          <w:b/>
        </w:rPr>
        <w:t>5</w:t>
      </w:r>
    </w:p>
    <w:p w:rsidR="001218D7" w:rsidP="00D02E8C" w:rsidRDefault="001218D7" w14:paraId="576D5199" w14:textId="77777777">
      <w:pPr>
        <w:autoSpaceDE w:val="0"/>
        <w:autoSpaceDN w:val="0"/>
        <w:adjustRightInd w:val="0"/>
        <w:rPr>
          <w:b/>
        </w:rPr>
      </w:pPr>
      <w:r>
        <w:t>De inhoud van deze bepaling komt inhoudelijk overeen met artikel 16 van het RvE-verdrag. Door het verlenen van doortocht kunnen beide verdragspartijen bijdragen aan de overbrenging van personen van of naar het grondgebied van een van de verdragspartij</w:t>
      </w:r>
      <w:r w:rsidR="004B5DBF">
        <w:t>en van of naar een derde staat.</w:t>
      </w:r>
    </w:p>
    <w:p w:rsidR="001218D7" w:rsidP="00D02E8C" w:rsidRDefault="001218D7" w14:paraId="17E031F4" w14:textId="77777777">
      <w:pPr>
        <w:autoSpaceDE w:val="0"/>
        <w:autoSpaceDN w:val="0"/>
        <w:adjustRightInd w:val="0"/>
        <w:rPr>
          <w:b/>
        </w:rPr>
      </w:pPr>
    </w:p>
    <w:p w:rsidR="001218D7" w:rsidP="00D02E8C" w:rsidRDefault="001218D7" w14:paraId="0EE9092D" w14:textId="77777777">
      <w:pPr>
        <w:autoSpaceDE w:val="0"/>
        <w:autoSpaceDN w:val="0"/>
        <w:adjustRightInd w:val="0"/>
        <w:rPr>
          <w:b/>
        </w:rPr>
      </w:pPr>
      <w:r>
        <w:rPr>
          <w:b/>
        </w:rPr>
        <w:t>Artikel 16</w:t>
      </w:r>
    </w:p>
    <w:p w:rsidR="001218D7" w:rsidP="00D02E8C" w:rsidRDefault="001218D7" w14:paraId="1D11CB48" w14:textId="77777777">
      <w:pPr>
        <w:autoSpaceDE w:val="0"/>
        <w:autoSpaceDN w:val="0"/>
        <w:adjustRightInd w:val="0"/>
      </w:pPr>
      <w:r w:rsidRPr="001218D7">
        <w:t xml:space="preserve">Deze bepaling </w:t>
      </w:r>
      <w:r>
        <w:t>bevat een gebru</w:t>
      </w:r>
      <w:r w:rsidR="00E701D7">
        <w:t>i</w:t>
      </w:r>
      <w:r>
        <w:t>kelijke regeling voor geschillenbeslechting.</w:t>
      </w:r>
    </w:p>
    <w:p w:rsidR="001218D7" w:rsidP="00D02E8C" w:rsidRDefault="001218D7" w14:paraId="4EB04B05" w14:textId="77777777">
      <w:pPr>
        <w:autoSpaceDE w:val="0"/>
        <w:autoSpaceDN w:val="0"/>
        <w:adjustRightInd w:val="0"/>
      </w:pPr>
    </w:p>
    <w:p w:rsidR="001218D7" w:rsidP="00D02E8C" w:rsidRDefault="001218D7" w14:paraId="5C3ACBB1" w14:textId="49C4306A">
      <w:pPr>
        <w:autoSpaceDE w:val="0"/>
        <w:autoSpaceDN w:val="0"/>
        <w:adjustRightInd w:val="0"/>
        <w:rPr>
          <w:b/>
        </w:rPr>
      </w:pPr>
      <w:r w:rsidRPr="001218D7">
        <w:rPr>
          <w:b/>
        </w:rPr>
        <w:t>Artikel 17</w:t>
      </w:r>
    </w:p>
    <w:p w:rsidRPr="00AA0EE3" w:rsidR="00B65C00" w:rsidP="00D02E8C" w:rsidRDefault="001218D7" w14:paraId="56A52D13" w14:textId="77777777">
      <w:pPr>
        <w:autoSpaceDE w:val="0"/>
        <w:autoSpaceDN w:val="0"/>
        <w:adjustRightInd w:val="0"/>
      </w:pPr>
      <w:r w:rsidRPr="00AA0EE3">
        <w:t xml:space="preserve">Het </w:t>
      </w:r>
      <w:r w:rsidRPr="00AA0EE3">
        <w:rPr>
          <w:i/>
        </w:rPr>
        <w:t>eerste lid</w:t>
      </w:r>
      <w:r w:rsidRPr="00AA0EE3">
        <w:t xml:space="preserve"> bevat de gebruikelijke regeling voor inwerkingtreding.</w:t>
      </w:r>
      <w:r w:rsidR="00143E2D">
        <w:t xml:space="preserve"> </w:t>
      </w:r>
      <w:r w:rsidR="00B65C00">
        <w:t>Ten aanzien van het tweede lid wordt verwezen naar de paragraaf</w:t>
      </w:r>
      <w:r w:rsidR="00F82796">
        <w:t xml:space="preserve"> </w:t>
      </w:r>
      <w:r w:rsidR="00B65C00">
        <w:t>“Koninkrijkspositie”</w:t>
      </w:r>
      <w:r w:rsidR="00D02E8C">
        <w:t xml:space="preserve"> </w:t>
      </w:r>
      <w:r w:rsidR="00B65C00">
        <w:t>in deze nota.</w:t>
      </w:r>
    </w:p>
    <w:p w:rsidRPr="00AA0EE3" w:rsidR="001218D7" w:rsidP="00D02E8C" w:rsidRDefault="001218D7" w14:paraId="19BF21B3" w14:textId="77777777">
      <w:pPr>
        <w:autoSpaceDE w:val="0"/>
        <w:autoSpaceDN w:val="0"/>
        <w:adjustRightInd w:val="0"/>
        <w:rPr>
          <w:b/>
        </w:rPr>
      </w:pPr>
    </w:p>
    <w:p w:rsidRPr="00FE697A" w:rsidR="00FE697A" w:rsidP="00D02E8C" w:rsidRDefault="00FE697A" w14:paraId="547C83CD" w14:textId="77777777">
      <w:pPr>
        <w:autoSpaceDE w:val="0"/>
        <w:autoSpaceDN w:val="0"/>
        <w:adjustRightInd w:val="0"/>
        <w:rPr>
          <w:b/>
        </w:rPr>
      </w:pPr>
      <w:r w:rsidRPr="00FE697A">
        <w:rPr>
          <w:b/>
        </w:rPr>
        <w:t>Artikel 18</w:t>
      </w:r>
    </w:p>
    <w:p w:rsidR="00FE697A" w:rsidP="00D02E8C" w:rsidRDefault="00FE697A" w14:paraId="47D93D05" w14:textId="77777777">
      <w:pPr>
        <w:autoSpaceDE w:val="0"/>
        <w:autoSpaceDN w:val="0"/>
        <w:adjustRightInd w:val="0"/>
      </w:pPr>
      <w:r w:rsidRPr="00FE697A">
        <w:t>Dit artikel over de werking in de tijd komt inhoudelijk overeen met artikel 21 van het RvE-verdrag</w:t>
      </w:r>
      <w:r>
        <w:t>.</w:t>
      </w:r>
      <w:r w:rsidR="001457C0">
        <w:t xml:space="preserve"> </w:t>
      </w:r>
      <w:r>
        <w:t xml:space="preserve">Het bepaalt dat het </w:t>
      </w:r>
      <w:r w:rsidR="004B5DBF">
        <w:t xml:space="preserve">verdrag </w:t>
      </w:r>
      <w:r>
        <w:t>van toepassing is op vonnissen die zowel v</w:t>
      </w:r>
      <w:r w:rsidR="00143E2D">
        <w:t>óó</w:t>
      </w:r>
      <w:r>
        <w:t>r als na de inwerkingtreding van het verdrag zijn gewezen.</w:t>
      </w:r>
      <w:r w:rsidR="00143E2D">
        <w:t xml:space="preserve"> </w:t>
      </w:r>
      <w:r w:rsidR="004B5DBF">
        <w:t xml:space="preserve">Voor de goede orde wordt </w:t>
      </w:r>
      <w:r w:rsidR="00E1222D">
        <w:t xml:space="preserve">erop gewezen dat de verzoeken om overname en overdracht van tenuitvoerlegging van straffen </w:t>
      </w:r>
      <w:r w:rsidR="00143E2D">
        <w:t xml:space="preserve">alleen maar </w:t>
      </w:r>
      <w:r w:rsidR="00E1222D">
        <w:t xml:space="preserve">kunnen </w:t>
      </w:r>
      <w:r w:rsidR="00143E2D">
        <w:t xml:space="preserve">worden gedaan na </w:t>
      </w:r>
      <w:r w:rsidR="00E1222D">
        <w:t xml:space="preserve">de </w:t>
      </w:r>
      <w:r w:rsidR="00143E2D">
        <w:t xml:space="preserve">inwerkingtreding van het verdrag. </w:t>
      </w:r>
    </w:p>
    <w:p w:rsidR="00FE697A" w:rsidP="00D02E8C" w:rsidRDefault="00FE697A" w14:paraId="7406B1B8" w14:textId="77777777">
      <w:pPr>
        <w:autoSpaceDE w:val="0"/>
        <w:autoSpaceDN w:val="0"/>
        <w:adjustRightInd w:val="0"/>
      </w:pPr>
    </w:p>
    <w:p w:rsidR="001218D7" w:rsidP="00D02E8C" w:rsidRDefault="00FE697A" w14:paraId="3FDCD5EE" w14:textId="77777777">
      <w:pPr>
        <w:autoSpaceDE w:val="0"/>
        <w:autoSpaceDN w:val="0"/>
        <w:adjustRightInd w:val="0"/>
        <w:rPr>
          <w:b/>
        </w:rPr>
      </w:pPr>
      <w:r w:rsidRPr="00FE697A">
        <w:rPr>
          <w:b/>
        </w:rPr>
        <w:t xml:space="preserve">Artikel 19 </w:t>
      </w:r>
    </w:p>
    <w:p w:rsidRPr="00AA0EE3" w:rsidR="00FE697A" w:rsidP="00D02E8C" w:rsidRDefault="00FE697A" w14:paraId="1607EF7E" w14:textId="77777777">
      <w:pPr>
        <w:autoSpaceDE w:val="0"/>
        <w:autoSpaceDN w:val="0"/>
        <w:adjustRightInd w:val="0"/>
      </w:pPr>
      <w:r w:rsidRPr="00AA0EE3">
        <w:t>Dit artikel bevat de gebruikelijke regeling voor beëindiging van het verdrag.</w:t>
      </w:r>
    </w:p>
    <w:p w:rsidRPr="00AA0EE3" w:rsidR="00FE697A" w:rsidP="00D02E8C" w:rsidRDefault="00FE697A" w14:paraId="497B7B0E" w14:textId="77777777">
      <w:pPr>
        <w:autoSpaceDE w:val="0"/>
        <w:autoSpaceDN w:val="0"/>
        <w:adjustRightInd w:val="0"/>
      </w:pPr>
    </w:p>
    <w:p w:rsidR="003775D3" w:rsidP="00D02E8C" w:rsidRDefault="003775D3" w14:paraId="212CB077" w14:textId="77777777">
      <w:pPr>
        <w:autoSpaceDE w:val="0"/>
        <w:autoSpaceDN w:val="0"/>
        <w:adjustRightInd w:val="0"/>
      </w:pPr>
    </w:p>
    <w:p w:rsidR="00FB0B6D" w:rsidP="00D02E8C" w:rsidRDefault="00FB0B6D" w14:paraId="4A7A79AE" w14:textId="77777777">
      <w:pPr>
        <w:autoSpaceDE w:val="0"/>
        <w:autoSpaceDN w:val="0"/>
        <w:adjustRightInd w:val="0"/>
      </w:pPr>
    </w:p>
    <w:p w:rsidRPr="00AA0EE3" w:rsidR="00FE697A" w:rsidP="00D02E8C" w:rsidRDefault="00FE697A" w14:paraId="579AE7BE" w14:textId="77777777">
      <w:pPr>
        <w:autoSpaceDE w:val="0"/>
        <w:autoSpaceDN w:val="0"/>
        <w:adjustRightInd w:val="0"/>
      </w:pPr>
      <w:r w:rsidRPr="00AA0EE3">
        <w:t xml:space="preserve">De Minister van </w:t>
      </w:r>
      <w:r w:rsidR="004D6399">
        <w:t xml:space="preserve">Veiligheid en </w:t>
      </w:r>
      <w:r w:rsidRPr="00AA0EE3">
        <w:t>Justitie,</w:t>
      </w:r>
    </w:p>
    <w:p w:rsidRPr="00AA0EE3" w:rsidR="00FE697A" w:rsidP="00D02E8C" w:rsidRDefault="00FE697A" w14:paraId="6CB95490" w14:textId="77777777">
      <w:pPr>
        <w:autoSpaceDE w:val="0"/>
        <w:autoSpaceDN w:val="0"/>
        <w:adjustRightInd w:val="0"/>
      </w:pPr>
    </w:p>
    <w:p w:rsidR="00FA67E6" w:rsidP="00D02E8C" w:rsidRDefault="00FA67E6" w14:paraId="1CEE11C6" w14:textId="77777777">
      <w:pPr>
        <w:autoSpaceDE w:val="0"/>
        <w:autoSpaceDN w:val="0"/>
        <w:adjustRightInd w:val="0"/>
      </w:pPr>
    </w:p>
    <w:p w:rsidRPr="00AA0EE3" w:rsidR="00FB0B6D" w:rsidP="00D02E8C" w:rsidRDefault="00FB0B6D" w14:paraId="742C9D56" w14:textId="77777777">
      <w:pPr>
        <w:autoSpaceDE w:val="0"/>
        <w:autoSpaceDN w:val="0"/>
        <w:adjustRightInd w:val="0"/>
      </w:pPr>
    </w:p>
    <w:p w:rsidRPr="00AA0EE3" w:rsidR="00FE697A" w:rsidP="00D02E8C" w:rsidRDefault="00FE697A" w14:paraId="6E9CE639" w14:textId="77777777">
      <w:pPr>
        <w:autoSpaceDE w:val="0"/>
        <w:autoSpaceDN w:val="0"/>
        <w:adjustRightInd w:val="0"/>
      </w:pPr>
      <w:r w:rsidRPr="00AA0EE3">
        <w:t>De Minister van Buitenlandse Zaken,</w:t>
      </w:r>
    </w:p>
    <w:p w:rsidRPr="00FE697A" w:rsidR="00FE697A" w:rsidP="00D02E8C" w:rsidRDefault="00FE697A" w14:paraId="14390DD3" w14:textId="77777777">
      <w:pPr>
        <w:autoSpaceDE w:val="0"/>
        <w:autoSpaceDN w:val="0"/>
        <w:adjustRightInd w:val="0"/>
        <w:rPr>
          <w:b/>
        </w:rPr>
      </w:pPr>
    </w:p>
    <w:p w:rsidRPr="00FE697A" w:rsidR="00393959" w:rsidP="00D02E8C" w:rsidRDefault="00393959" w14:paraId="6BD40787" w14:textId="77777777">
      <w:pPr>
        <w:autoSpaceDE w:val="0"/>
        <w:autoSpaceDN w:val="0"/>
        <w:adjustRightInd w:val="0"/>
      </w:pPr>
    </w:p>
    <w:sectPr w:rsidRPr="00FE697A" w:rsidR="00393959">
      <w:footerReference w:type="even"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254C1" w14:textId="77777777" w:rsidR="00AE354A" w:rsidRDefault="00AE354A">
      <w:r>
        <w:separator/>
      </w:r>
    </w:p>
  </w:endnote>
  <w:endnote w:type="continuationSeparator" w:id="0">
    <w:p w14:paraId="46199CA7" w14:textId="77777777" w:rsidR="00AE354A" w:rsidRDefault="00AE354A">
      <w:r>
        <w:continuationSeparator/>
      </w:r>
    </w:p>
  </w:endnote>
  <w:endnote w:type="continuationNotice" w:id="1">
    <w:p w14:paraId="61014542" w14:textId="77777777" w:rsidR="00AE354A" w:rsidRDefault="00AE3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topia">
    <w:altName w:val="Corbe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nivers-Black">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349ED" w14:textId="77777777" w:rsidR="003775D3" w:rsidRDefault="003775D3" w:rsidP="00D316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729B">
      <w:rPr>
        <w:rStyle w:val="PageNumber"/>
        <w:noProof/>
      </w:rPr>
      <w:t>8</w:t>
    </w:r>
    <w:r>
      <w:rPr>
        <w:rStyle w:val="PageNumber"/>
      </w:rPr>
      <w:fldChar w:fldCharType="end"/>
    </w:r>
  </w:p>
  <w:p w14:paraId="4717F30C" w14:textId="77777777" w:rsidR="003775D3" w:rsidRDefault="003775D3" w:rsidP="00B34E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3D9CD" w14:textId="77777777" w:rsidR="003775D3" w:rsidRDefault="003775D3" w:rsidP="00D316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7B7B">
      <w:rPr>
        <w:rStyle w:val="PageNumber"/>
        <w:noProof/>
      </w:rPr>
      <w:t>1</w:t>
    </w:r>
    <w:r>
      <w:rPr>
        <w:rStyle w:val="PageNumber"/>
      </w:rPr>
      <w:fldChar w:fldCharType="end"/>
    </w:r>
  </w:p>
  <w:p w14:paraId="73D785E1" w14:textId="77777777" w:rsidR="003775D3" w:rsidRDefault="003775D3" w:rsidP="00B34E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DB7DB" w14:textId="77777777" w:rsidR="00AE354A" w:rsidRDefault="00AE354A">
      <w:r>
        <w:separator/>
      </w:r>
    </w:p>
  </w:footnote>
  <w:footnote w:type="continuationSeparator" w:id="0">
    <w:p w14:paraId="215D5EBB" w14:textId="77777777" w:rsidR="00AE354A" w:rsidRDefault="00AE354A">
      <w:r>
        <w:continuationSeparator/>
      </w:r>
    </w:p>
  </w:footnote>
  <w:footnote w:type="continuationNotice" w:id="1">
    <w:p w14:paraId="461178E0" w14:textId="77777777" w:rsidR="00AE354A" w:rsidRDefault="00AE354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7E2"/>
    <w:rsid w:val="00005FD3"/>
    <w:rsid w:val="00025FF5"/>
    <w:rsid w:val="00054A20"/>
    <w:rsid w:val="00071CEA"/>
    <w:rsid w:val="00073B3B"/>
    <w:rsid w:val="00083E46"/>
    <w:rsid w:val="0009013D"/>
    <w:rsid w:val="00092437"/>
    <w:rsid w:val="000A3A5A"/>
    <w:rsid w:val="000B1AE0"/>
    <w:rsid w:val="000B5EC0"/>
    <w:rsid w:val="000B7B81"/>
    <w:rsid w:val="000E111C"/>
    <w:rsid w:val="000E4338"/>
    <w:rsid w:val="000F4240"/>
    <w:rsid w:val="001218D7"/>
    <w:rsid w:val="00143E2D"/>
    <w:rsid w:val="001457C0"/>
    <w:rsid w:val="00161E0F"/>
    <w:rsid w:val="00176BF8"/>
    <w:rsid w:val="001918C1"/>
    <w:rsid w:val="001A2DD1"/>
    <w:rsid w:val="001B3B00"/>
    <w:rsid w:val="001D000C"/>
    <w:rsid w:val="002163DE"/>
    <w:rsid w:val="0022679E"/>
    <w:rsid w:val="002358FE"/>
    <w:rsid w:val="00236435"/>
    <w:rsid w:val="00236855"/>
    <w:rsid w:val="00241077"/>
    <w:rsid w:val="00243B06"/>
    <w:rsid w:val="00252D35"/>
    <w:rsid w:val="00265818"/>
    <w:rsid w:val="00287A61"/>
    <w:rsid w:val="002A32DE"/>
    <w:rsid w:val="002A4502"/>
    <w:rsid w:val="002C2E9C"/>
    <w:rsid w:val="003110E2"/>
    <w:rsid w:val="00316D39"/>
    <w:rsid w:val="00316E90"/>
    <w:rsid w:val="00320FED"/>
    <w:rsid w:val="00343129"/>
    <w:rsid w:val="00357AC0"/>
    <w:rsid w:val="00375E22"/>
    <w:rsid w:val="003775D3"/>
    <w:rsid w:val="00393959"/>
    <w:rsid w:val="003A3CAF"/>
    <w:rsid w:val="003B156E"/>
    <w:rsid w:val="003D1B17"/>
    <w:rsid w:val="00402A08"/>
    <w:rsid w:val="0040323E"/>
    <w:rsid w:val="0042503D"/>
    <w:rsid w:val="0044227F"/>
    <w:rsid w:val="00447EDA"/>
    <w:rsid w:val="00450DFD"/>
    <w:rsid w:val="0046039E"/>
    <w:rsid w:val="00461E8E"/>
    <w:rsid w:val="0049589B"/>
    <w:rsid w:val="00497970"/>
    <w:rsid w:val="004A0D42"/>
    <w:rsid w:val="004A6070"/>
    <w:rsid w:val="004B5DBF"/>
    <w:rsid w:val="004C13F6"/>
    <w:rsid w:val="004D1998"/>
    <w:rsid w:val="004D6399"/>
    <w:rsid w:val="004F0E32"/>
    <w:rsid w:val="005017AC"/>
    <w:rsid w:val="00512005"/>
    <w:rsid w:val="00521AC1"/>
    <w:rsid w:val="00546367"/>
    <w:rsid w:val="00563313"/>
    <w:rsid w:val="00567AB9"/>
    <w:rsid w:val="005A69C7"/>
    <w:rsid w:val="005B27FC"/>
    <w:rsid w:val="005B2DBF"/>
    <w:rsid w:val="005B3EA7"/>
    <w:rsid w:val="005C2039"/>
    <w:rsid w:val="005D39F3"/>
    <w:rsid w:val="00601688"/>
    <w:rsid w:val="00601948"/>
    <w:rsid w:val="0061466D"/>
    <w:rsid w:val="00627462"/>
    <w:rsid w:val="00631E27"/>
    <w:rsid w:val="00641BAB"/>
    <w:rsid w:val="006537B2"/>
    <w:rsid w:val="00675393"/>
    <w:rsid w:val="00690B9A"/>
    <w:rsid w:val="006B0A3F"/>
    <w:rsid w:val="006B4354"/>
    <w:rsid w:val="006C15CA"/>
    <w:rsid w:val="006C31D3"/>
    <w:rsid w:val="006D3570"/>
    <w:rsid w:val="006D6569"/>
    <w:rsid w:val="006E5AB2"/>
    <w:rsid w:val="006F13C6"/>
    <w:rsid w:val="006F1853"/>
    <w:rsid w:val="006F209C"/>
    <w:rsid w:val="006F5ECF"/>
    <w:rsid w:val="006F6C78"/>
    <w:rsid w:val="007051BB"/>
    <w:rsid w:val="00706E9D"/>
    <w:rsid w:val="00710616"/>
    <w:rsid w:val="007334E1"/>
    <w:rsid w:val="00746A00"/>
    <w:rsid w:val="00773A97"/>
    <w:rsid w:val="00773B53"/>
    <w:rsid w:val="00797A01"/>
    <w:rsid w:val="007B15F0"/>
    <w:rsid w:val="007C442D"/>
    <w:rsid w:val="007E14E4"/>
    <w:rsid w:val="007E6F11"/>
    <w:rsid w:val="00801EC1"/>
    <w:rsid w:val="008028AE"/>
    <w:rsid w:val="00804D10"/>
    <w:rsid w:val="0080707D"/>
    <w:rsid w:val="0082641B"/>
    <w:rsid w:val="00831FF3"/>
    <w:rsid w:val="00836894"/>
    <w:rsid w:val="00846488"/>
    <w:rsid w:val="00850F52"/>
    <w:rsid w:val="0086607E"/>
    <w:rsid w:val="00880F9D"/>
    <w:rsid w:val="008847D6"/>
    <w:rsid w:val="00890826"/>
    <w:rsid w:val="00895DE3"/>
    <w:rsid w:val="008A0D04"/>
    <w:rsid w:val="008C217B"/>
    <w:rsid w:val="008D729B"/>
    <w:rsid w:val="008E0EBA"/>
    <w:rsid w:val="008E17E2"/>
    <w:rsid w:val="008F3EE2"/>
    <w:rsid w:val="00937EDF"/>
    <w:rsid w:val="0096117E"/>
    <w:rsid w:val="00962294"/>
    <w:rsid w:val="00964A3F"/>
    <w:rsid w:val="0097052B"/>
    <w:rsid w:val="00971DE9"/>
    <w:rsid w:val="009806DC"/>
    <w:rsid w:val="00A15B80"/>
    <w:rsid w:val="00A20A06"/>
    <w:rsid w:val="00A34A0C"/>
    <w:rsid w:val="00A35F6E"/>
    <w:rsid w:val="00A53190"/>
    <w:rsid w:val="00A74657"/>
    <w:rsid w:val="00A91A27"/>
    <w:rsid w:val="00AA43F9"/>
    <w:rsid w:val="00AA5BA8"/>
    <w:rsid w:val="00AA7E52"/>
    <w:rsid w:val="00AB699C"/>
    <w:rsid w:val="00AB7F5E"/>
    <w:rsid w:val="00AE354A"/>
    <w:rsid w:val="00B0364B"/>
    <w:rsid w:val="00B22190"/>
    <w:rsid w:val="00B33E92"/>
    <w:rsid w:val="00B34E91"/>
    <w:rsid w:val="00B43F4F"/>
    <w:rsid w:val="00B52983"/>
    <w:rsid w:val="00B54F7E"/>
    <w:rsid w:val="00B65C00"/>
    <w:rsid w:val="00B929CC"/>
    <w:rsid w:val="00BB5158"/>
    <w:rsid w:val="00BB7514"/>
    <w:rsid w:val="00BB7C28"/>
    <w:rsid w:val="00BC4993"/>
    <w:rsid w:val="00BD1D11"/>
    <w:rsid w:val="00C067F0"/>
    <w:rsid w:val="00C24FF3"/>
    <w:rsid w:val="00C66285"/>
    <w:rsid w:val="00C73F61"/>
    <w:rsid w:val="00C7400B"/>
    <w:rsid w:val="00C778A8"/>
    <w:rsid w:val="00CA1390"/>
    <w:rsid w:val="00CA4525"/>
    <w:rsid w:val="00CC68CE"/>
    <w:rsid w:val="00CD7D84"/>
    <w:rsid w:val="00CE670F"/>
    <w:rsid w:val="00CF6E1F"/>
    <w:rsid w:val="00D02E8C"/>
    <w:rsid w:val="00D23C6A"/>
    <w:rsid w:val="00D31670"/>
    <w:rsid w:val="00D403E5"/>
    <w:rsid w:val="00D43A27"/>
    <w:rsid w:val="00D613C6"/>
    <w:rsid w:val="00D6426D"/>
    <w:rsid w:val="00D71E05"/>
    <w:rsid w:val="00D944C6"/>
    <w:rsid w:val="00D97257"/>
    <w:rsid w:val="00DC0295"/>
    <w:rsid w:val="00DD0237"/>
    <w:rsid w:val="00DD3DD5"/>
    <w:rsid w:val="00DD6E17"/>
    <w:rsid w:val="00DE3EFF"/>
    <w:rsid w:val="00DE4251"/>
    <w:rsid w:val="00DE4D07"/>
    <w:rsid w:val="00DF651C"/>
    <w:rsid w:val="00E07B7B"/>
    <w:rsid w:val="00E1222D"/>
    <w:rsid w:val="00E13671"/>
    <w:rsid w:val="00E155DE"/>
    <w:rsid w:val="00E44F37"/>
    <w:rsid w:val="00E454A0"/>
    <w:rsid w:val="00E62B80"/>
    <w:rsid w:val="00E701D7"/>
    <w:rsid w:val="00E72361"/>
    <w:rsid w:val="00E87E78"/>
    <w:rsid w:val="00E9782E"/>
    <w:rsid w:val="00EB3436"/>
    <w:rsid w:val="00EC018E"/>
    <w:rsid w:val="00ED2BB9"/>
    <w:rsid w:val="00EE2F9F"/>
    <w:rsid w:val="00EF2BCC"/>
    <w:rsid w:val="00EF4529"/>
    <w:rsid w:val="00EF46C5"/>
    <w:rsid w:val="00EF5C2D"/>
    <w:rsid w:val="00F10489"/>
    <w:rsid w:val="00F35A18"/>
    <w:rsid w:val="00F37DFF"/>
    <w:rsid w:val="00F60FA2"/>
    <w:rsid w:val="00F71FB0"/>
    <w:rsid w:val="00F82796"/>
    <w:rsid w:val="00FA1938"/>
    <w:rsid w:val="00FA47DB"/>
    <w:rsid w:val="00FA5351"/>
    <w:rsid w:val="00FA550F"/>
    <w:rsid w:val="00FA67E6"/>
    <w:rsid w:val="00FA68CF"/>
    <w:rsid w:val="00FB0B6D"/>
    <w:rsid w:val="00FB7D8D"/>
    <w:rsid w:val="00FE6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E17E2"/>
    <w:rPr>
      <w:rFonts w:ascii="Utopia" w:eastAsia="Times New Roman" w:hAnsi="Utopia"/>
      <w:sz w:val="20"/>
      <w:szCs w:val="20"/>
      <w:lang w:eastAsia="nl-NL"/>
    </w:rPr>
  </w:style>
  <w:style w:type="character" w:styleId="FootnoteReference">
    <w:name w:val="footnote reference"/>
    <w:semiHidden/>
    <w:rsid w:val="008E17E2"/>
    <w:rPr>
      <w:vertAlign w:val="superscript"/>
    </w:rPr>
  </w:style>
  <w:style w:type="character" w:styleId="CommentReference">
    <w:name w:val="annotation reference"/>
    <w:semiHidden/>
    <w:rsid w:val="000F4240"/>
    <w:rPr>
      <w:sz w:val="16"/>
      <w:szCs w:val="16"/>
    </w:rPr>
  </w:style>
  <w:style w:type="paragraph" w:styleId="CommentText">
    <w:name w:val="annotation text"/>
    <w:basedOn w:val="Normal"/>
    <w:semiHidden/>
    <w:rsid w:val="000F4240"/>
    <w:rPr>
      <w:sz w:val="20"/>
      <w:szCs w:val="20"/>
    </w:rPr>
  </w:style>
  <w:style w:type="paragraph" w:styleId="CommentSubject">
    <w:name w:val="annotation subject"/>
    <w:basedOn w:val="CommentText"/>
    <w:next w:val="CommentText"/>
    <w:semiHidden/>
    <w:rsid w:val="000F4240"/>
    <w:rPr>
      <w:b/>
      <w:bCs/>
    </w:rPr>
  </w:style>
  <w:style w:type="paragraph" w:styleId="BalloonText">
    <w:name w:val="Balloon Text"/>
    <w:basedOn w:val="Normal"/>
    <w:semiHidden/>
    <w:rsid w:val="000F4240"/>
    <w:rPr>
      <w:rFonts w:ascii="Tahoma" w:hAnsi="Tahoma" w:cs="Tahoma"/>
      <w:sz w:val="16"/>
      <w:szCs w:val="16"/>
    </w:rPr>
  </w:style>
  <w:style w:type="paragraph" w:styleId="Footer">
    <w:name w:val="footer"/>
    <w:basedOn w:val="Normal"/>
    <w:rsid w:val="00B34E91"/>
    <w:pPr>
      <w:tabs>
        <w:tab w:val="center" w:pos="4536"/>
        <w:tab w:val="right" w:pos="9072"/>
      </w:tabs>
    </w:pPr>
  </w:style>
  <w:style w:type="character" w:styleId="PageNumber">
    <w:name w:val="page number"/>
    <w:basedOn w:val="DefaultParagraphFont"/>
    <w:rsid w:val="00B34E91"/>
  </w:style>
  <w:style w:type="paragraph" w:styleId="Header">
    <w:name w:val="header"/>
    <w:basedOn w:val="Normal"/>
    <w:rsid w:val="00E9782E"/>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E17E2"/>
    <w:rPr>
      <w:rFonts w:ascii="Utopia" w:eastAsia="Times New Roman" w:hAnsi="Utopia"/>
      <w:sz w:val="20"/>
      <w:szCs w:val="20"/>
      <w:lang w:eastAsia="nl-NL"/>
    </w:rPr>
  </w:style>
  <w:style w:type="character" w:styleId="FootnoteReference">
    <w:name w:val="footnote reference"/>
    <w:semiHidden/>
    <w:rsid w:val="008E17E2"/>
    <w:rPr>
      <w:vertAlign w:val="superscript"/>
    </w:rPr>
  </w:style>
  <w:style w:type="character" w:styleId="CommentReference">
    <w:name w:val="annotation reference"/>
    <w:semiHidden/>
    <w:rsid w:val="000F4240"/>
    <w:rPr>
      <w:sz w:val="16"/>
      <w:szCs w:val="16"/>
    </w:rPr>
  </w:style>
  <w:style w:type="paragraph" w:styleId="CommentText">
    <w:name w:val="annotation text"/>
    <w:basedOn w:val="Normal"/>
    <w:semiHidden/>
    <w:rsid w:val="000F4240"/>
    <w:rPr>
      <w:sz w:val="20"/>
      <w:szCs w:val="20"/>
    </w:rPr>
  </w:style>
  <w:style w:type="paragraph" w:styleId="CommentSubject">
    <w:name w:val="annotation subject"/>
    <w:basedOn w:val="CommentText"/>
    <w:next w:val="CommentText"/>
    <w:semiHidden/>
    <w:rsid w:val="000F4240"/>
    <w:rPr>
      <w:b/>
      <w:bCs/>
    </w:rPr>
  </w:style>
  <w:style w:type="paragraph" w:styleId="BalloonText">
    <w:name w:val="Balloon Text"/>
    <w:basedOn w:val="Normal"/>
    <w:semiHidden/>
    <w:rsid w:val="000F4240"/>
    <w:rPr>
      <w:rFonts w:ascii="Tahoma" w:hAnsi="Tahoma" w:cs="Tahoma"/>
      <w:sz w:val="16"/>
      <w:szCs w:val="16"/>
    </w:rPr>
  </w:style>
  <w:style w:type="paragraph" w:styleId="Footer">
    <w:name w:val="footer"/>
    <w:basedOn w:val="Normal"/>
    <w:rsid w:val="00B34E91"/>
    <w:pPr>
      <w:tabs>
        <w:tab w:val="center" w:pos="4536"/>
        <w:tab w:val="right" w:pos="9072"/>
      </w:tabs>
    </w:pPr>
  </w:style>
  <w:style w:type="character" w:styleId="PageNumber">
    <w:name w:val="page number"/>
    <w:basedOn w:val="DefaultParagraphFont"/>
    <w:rsid w:val="00B34E91"/>
  </w:style>
  <w:style w:type="paragraph" w:styleId="Header">
    <w:name w:val="header"/>
    <w:basedOn w:val="Normal"/>
    <w:rsid w:val="00E9782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4185</ap:Words>
  <ap:Characters>23389</ap:Characters>
  <ap:DocSecurity>0</ap:DocSecurity>
  <ap:Lines>194</ap:Lines>
  <ap:Paragraphs>55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inzake de overbrenging van gevonniste personen tussen het Koninkrijk der Nederlanden en de Republiek Peru; Den Haag, 12 mei 2011 (Trb</vt:lpstr>
      <vt:lpstr>Verdrag inzake de overbrenging van gevonniste personen tussen het Koninkrijk der Nederlanden en de Republiek Peru; Den Haag, 12 mei 2011 (Trb</vt:lpstr>
    </vt:vector>
  </ap:TitlesOfParts>
  <ap:LinksUpToDate>false</ap:LinksUpToDate>
  <ap:CharactersWithSpaces>27519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2012-10-09T12:42:00.0000000Z</lastPrinted>
  <dcterms:created xsi:type="dcterms:W3CDTF">2012-11-15T10:37:00.0000000Z</dcterms:created>
  <dcterms:modified xsi:type="dcterms:W3CDTF">2012-11-15T10:37:00.0000000Z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0x0101003434033A86BB18448797B46E840B8545</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