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55A1F" w:rsidR="00C55A1F" w:rsidP="00C55A1F" w:rsidRDefault="00C55A1F">
      <w:r w:rsidRPr="00C55A1F">
        <w:rPr>
          <w:b/>
          <w:bCs/>
        </w:rPr>
        <w:t>Bijlage</w:t>
      </w:r>
      <w:r w:rsidR="00B16A16">
        <w:rPr>
          <w:b/>
          <w:bCs/>
        </w:rPr>
        <w:t xml:space="preserve"> I</w:t>
      </w:r>
      <w:r w:rsidRPr="00C55A1F">
        <w:rPr>
          <w:b/>
          <w:bCs/>
        </w:rPr>
        <w:t xml:space="preserve"> bij Nader Rapp</w:t>
      </w:r>
      <w:r w:rsidR="009A640F">
        <w:rPr>
          <w:b/>
          <w:bCs/>
        </w:rPr>
        <w:t>ort inzake de begroting 2013</w:t>
      </w:r>
      <w:r w:rsidR="00E35FD0">
        <w:rPr>
          <w:b/>
          <w:bCs/>
        </w:rPr>
        <w:t xml:space="preserve"> IX</w:t>
      </w:r>
      <w:r w:rsidRPr="00C55A1F">
        <w:rPr>
          <w:b/>
          <w:bCs/>
        </w:rPr>
        <w:t xml:space="preserve"> Financiën</w:t>
      </w:r>
    </w:p>
    <w:p w:rsidRPr="00C55A1F" w:rsidR="00C55A1F" w:rsidP="00C55A1F" w:rsidRDefault="00C55A1F">
      <w:r w:rsidRPr="00C55A1F">
        <w:t xml:space="preserve">Betreft: Advies van de Raad van State d.d. </w:t>
      </w:r>
      <w:r w:rsidR="00E35FD0">
        <w:t>10</w:t>
      </w:r>
      <w:r w:rsidRPr="00C55A1F">
        <w:t xml:space="preserve"> september, nr. WO6.1</w:t>
      </w:r>
      <w:r w:rsidR="00E35FD0">
        <w:t>2.0319</w:t>
      </w:r>
      <w:r w:rsidRPr="00C55A1F">
        <w:t>/III</w:t>
      </w:r>
    </w:p>
    <w:p w:rsidRPr="00C55A1F" w:rsidR="00C55A1F" w:rsidP="00C55A1F" w:rsidRDefault="00C55A1F">
      <w:r w:rsidRPr="00C55A1F">
        <w:rPr>
          <w:b/>
          <w:bCs/>
        </w:rPr>
        <w:t>IA. Beantwoording advies</w:t>
      </w:r>
    </w:p>
    <w:p w:rsidRPr="00C55A1F" w:rsidR="00C55A1F" w:rsidP="00C55A1F" w:rsidRDefault="00C55A1F">
      <w:r w:rsidRPr="00C55A1F">
        <w:t xml:space="preserve">Blijkens bijgaand advies heeft de Afdeling advisering van de Raad van State omtrent </w:t>
      </w:r>
      <w:r w:rsidR="00E35FD0">
        <w:t>bovenvermelde begroting twee</w:t>
      </w:r>
      <w:r w:rsidRPr="00C55A1F">
        <w:t xml:space="preserve"> opmerking gemaakt</w:t>
      </w:r>
      <w:r w:rsidR="00DA6EDC">
        <w:t xml:space="preserve"> betreffende het uitgangspunt voor begrotingswetten en de </w:t>
      </w:r>
      <w:r w:rsidR="00A57CAB">
        <w:t>verplichtingen-kasagentschappen</w:t>
      </w:r>
      <w:r w:rsidRPr="00C55A1F">
        <w:t>, waaromtrent ik het volgende meedeel.</w:t>
      </w:r>
    </w:p>
    <w:p w:rsidR="00D80E9B" w:rsidP="00D80E9B" w:rsidRDefault="00E35FD0">
      <w:pPr>
        <w:rPr>
          <w:u w:val="single"/>
        </w:rPr>
      </w:pPr>
      <w:r w:rsidRPr="00DA6EDC">
        <w:rPr>
          <w:u w:val="single"/>
        </w:rPr>
        <w:t>1. Uitgangspunt begrotingswetten</w:t>
      </w:r>
    </w:p>
    <w:p w:rsidRPr="00DA6EDC" w:rsidR="00D80E9B" w:rsidP="00C55A1F" w:rsidRDefault="00D80E9B">
      <w:pPr>
        <w:rPr>
          <w:u w:val="single"/>
        </w:rPr>
      </w:pPr>
      <w:r w:rsidRPr="00C55A1F">
        <w:t>De Raad van State stelt dat de inhoud van de begrotingswetten, vanwege het bijzondere karakter van de begrotingswetgeving, beperkt dient te blijven tot de begroting van de ontvangsten en de uitgaven van het Rijk. Het bijzondere karakter van de begrotingswetten komt tot ui</w:t>
      </w:r>
      <w:r>
        <w:t xml:space="preserve">tdrukking in de bijzondere en </w:t>
      </w:r>
      <w:r w:rsidRPr="00C55A1F">
        <w:t>de afwijkende procedureregels. De Raad van State stelt dat het slecht in de systematiek van afzonderlijke begrotingswetten ex artikel 105, eerste lid van de Grondwet past, dat in de voorstellen bepalingen worden opgenomen die strekken tot wijziging van niet-begrotingswetten. Tevens geeft de Raad van State aan dat onvoldoe</w:t>
      </w:r>
      <w:r>
        <w:t xml:space="preserve">nde duidelijk is waarom niet eerder is </w:t>
      </w:r>
      <w:r w:rsidRPr="00C55A1F">
        <w:t xml:space="preserve">gekozen </w:t>
      </w:r>
      <w:r>
        <w:t>om de voorgestelde wetsvoorstellen eerder aanhangig te maken.</w:t>
      </w:r>
    </w:p>
    <w:p w:rsidR="002D54D6" w:rsidP="00AA22CC" w:rsidRDefault="00A57CAB">
      <w:r>
        <w:t>I</w:t>
      </w:r>
      <w:r w:rsidR="00BB222F">
        <w:t>k</w:t>
      </w:r>
      <w:r>
        <w:t xml:space="preserve"> onderschrijf</w:t>
      </w:r>
      <w:r w:rsidR="00BB222F">
        <w:t xml:space="preserve"> d</w:t>
      </w:r>
      <w:r w:rsidRPr="00BB222F" w:rsidR="002D54D6">
        <w:t>e stelling dat begrotingswetten een bi</w:t>
      </w:r>
      <w:r w:rsidR="00D80E9B">
        <w:t>jzonder karakter hebben</w:t>
      </w:r>
      <w:r w:rsidR="00221B8C">
        <w:t xml:space="preserve">. </w:t>
      </w:r>
      <w:r w:rsidRPr="00BB222F" w:rsidR="002D54D6">
        <w:t xml:space="preserve">Begrotingswetten zijn echter formele wetten, waarin in beginsel ook andere bepalingen kunnen worden opgenomen. </w:t>
      </w:r>
    </w:p>
    <w:p w:rsidRPr="006B1451" w:rsidR="00DC6263" w:rsidP="00AA22CC" w:rsidRDefault="00221B8C">
      <w:pPr>
        <w:rPr>
          <w:rFonts w:eastAsia="Times New Roman" w:cs="Calibri"/>
          <w:color w:val="000000"/>
          <w:szCs w:val="18"/>
        </w:rPr>
      </w:pPr>
      <w:r>
        <w:t>De</w:t>
      </w:r>
      <w:r w:rsidR="005A0B48">
        <w:t xml:space="preserve"> elementen uit het</w:t>
      </w:r>
      <w:r>
        <w:t xml:space="preserve"> wetsvoorstel die betrekking hebben op </w:t>
      </w:r>
      <w:r w:rsidR="00A57CAB">
        <w:t>het BTW-compensatie</w:t>
      </w:r>
      <w:r>
        <w:t xml:space="preserve">fonds en de Nationale Schuld </w:t>
      </w:r>
      <w:r w:rsidR="00A57CAB">
        <w:t>voldoen aan de eis dat de begroti</w:t>
      </w:r>
      <w:r w:rsidR="00D80E9B">
        <w:t>ngswetgeving beperkt dient te</w:t>
      </w:r>
      <w:r w:rsidR="00A57CAB">
        <w:t xml:space="preserve"> blijven tot de uitgaven en ont</w:t>
      </w:r>
      <w:r w:rsidRPr="006B1451" w:rsidR="00A57CAB">
        <w:rPr>
          <w:szCs w:val="18"/>
        </w:rPr>
        <w:t>vangsten van het Rijk</w:t>
      </w:r>
      <w:r w:rsidRPr="006B1451" w:rsidR="002D54D6">
        <w:rPr>
          <w:szCs w:val="18"/>
        </w:rPr>
        <w:t>. Deze afwijking beoogt slechts om op een andere wijze</w:t>
      </w:r>
      <w:r w:rsidRPr="00C85B0E" w:rsidR="00C85B0E">
        <w:rPr>
          <w:szCs w:val="18"/>
        </w:rPr>
        <w:t xml:space="preserve"> dan via een aparte begrotingswet de uitgaven en ontvangsten van het BTW-</w:t>
      </w:r>
      <w:r w:rsidRPr="006B19B7" w:rsidR="00C85B0E">
        <w:rPr>
          <w:szCs w:val="18"/>
        </w:rPr>
        <w:t>compensatiefonds en de Nationale Schuld te laten vaststellen. Voor het</w:t>
      </w:r>
      <w:r w:rsidRPr="006B19B7" w:rsidR="007B692B">
        <w:rPr>
          <w:rFonts w:eastAsia="Times New Roman" w:cs="Calibri"/>
          <w:szCs w:val="18"/>
        </w:rPr>
        <w:t xml:space="preserve"> BTW compensatiefonds</w:t>
      </w:r>
      <w:r>
        <w:rPr>
          <w:rFonts w:eastAsia="Times New Roman" w:cs="Calibri"/>
          <w:szCs w:val="18"/>
        </w:rPr>
        <w:t xml:space="preserve"> </w:t>
      </w:r>
      <w:r w:rsidRPr="006B19B7" w:rsidR="007B692B">
        <w:rPr>
          <w:rFonts w:eastAsia="Times New Roman" w:cs="Calibri"/>
          <w:szCs w:val="18"/>
        </w:rPr>
        <w:t>is al een wijzigingswetsvoorstel bij de Tweede Kamer ingediend</w:t>
      </w:r>
      <w:r w:rsidR="00AA22CC">
        <w:rPr>
          <w:rFonts w:eastAsia="Times New Roman" w:cs="Calibri"/>
          <w:szCs w:val="18"/>
        </w:rPr>
        <w:t>. Via de</w:t>
      </w:r>
      <w:r w:rsidRPr="006B19B7" w:rsidR="007B692B">
        <w:rPr>
          <w:rFonts w:eastAsia="Times New Roman" w:cs="Calibri"/>
          <w:szCs w:val="18"/>
        </w:rPr>
        <w:t xml:space="preserve"> </w:t>
      </w:r>
      <w:r w:rsidR="00AA22CC">
        <w:t>Zesde Wijziging van de CW 2001 wordt de</w:t>
      </w:r>
      <w:r w:rsidRPr="006B19B7" w:rsidR="007B692B">
        <w:rPr>
          <w:rFonts w:eastAsia="Times New Roman" w:cs="Calibri"/>
          <w:szCs w:val="18"/>
        </w:rPr>
        <w:t xml:space="preserve"> samenvoeging met de Nationale Schuld</w:t>
      </w:r>
      <w:r w:rsidR="00AA22CC">
        <w:rPr>
          <w:rFonts w:eastAsia="Times New Roman" w:cs="Calibri"/>
          <w:szCs w:val="18"/>
        </w:rPr>
        <w:t xml:space="preserve"> structureel geregeld</w:t>
      </w:r>
      <w:r w:rsidRPr="006B19B7" w:rsidR="007B692B">
        <w:rPr>
          <w:rFonts w:eastAsia="Times New Roman" w:cs="Calibri"/>
          <w:szCs w:val="18"/>
        </w:rPr>
        <w:t>.</w:t>
      </w:r>
    </w:p>
    <w:p w:rsidR="00DA6EDC" w:rsidP="00AA22CC" w:rsidRDefault="009A640F">
      <w:r>
        <w:t>De overige</w:t>
      </w:r>
      <w:r w:rsidR="00DA6EDC">
        <w:t xml:space="preserve"> voorstellen </w:t>
      </w:r>
      <w:r>
        <w:t xml:space="preserve">voor afschaffing van de Voorlopige Rekening en Verplichtingen-kasagentschappen hebben een sterke samenhang met de begroting, </w:t>
      </w:r>
      <w:r w:rsidR="003C756B">
        <w:t>onder andere daarom</w:t>
      </w:r>
      <w:r>
        <w:t xml:space="preserve"> is er </w:t>
      </w:r>
      <w:r w:rsidR="003C756B">
        <w:t xml:space="preserve">gekozen </w:t>
      </w:r>
      <w:r>
        <w:t>voor</w:t>
      </w:r>
      <w:r w:rsidR="003C756B">
        <w:t xml:space="preserve"> een</w:t>
      </w:r>
      <w:r>
        <w:t xml:space="preserve"> tijdelijke afwijking </w:t>
      </w:r>
      <w:r w:rsidR="00AA22CC">
        <w:t xml:space="preserve">te regelen </w:t>
      </w:r>
      <w:r>
        <w:t>via de begroting</w:t>
      </w:r>
      <w:r w:rsidR="00A57CAB">
        <w:t>swet</w:t>
      </w:r>
      <w:r w:rsidR="00AA22CC">
        <w:t xml:space="preserve">. </w:t>
      </w:r>
      <w:r w:rsidR="00A57CAB">
        <w:t xml:space="preserve">De voorgestelde </w:t>
      </w:r>
      <w:r w:rsidRPr="00953D87" w:rsidR="00A57CAB">
        <w:t>wijziging</w:t>
      </w:r>
      <w:r w:rsidR="00A57CAB">
        <w:t>en</w:t>
      </w:r>
      <w:r w:rsidRPr="00953D87" w:rsidR="00A57CAB">
        <w:t xml:space="preserve"> </w:t>
      </w:r>
      <w:r w:rsidR="00A57CAB">
        <w:t>zullen</w:t>
      </w:r>
      <w:r w:rsidRPr="00953D87" w:rsidR="00A57CAB">
        <w:t xml:space="preserve"> </w:t>
      </w:r>
      <w:r w:rsidR="000B5FAF">
        <w:t xml:space="preserve">middels de Zesde Wijziging van de CW 2001 </w:t>
      </w:r>
      <w:r w:rsidRPr="00953D87" w:rsidR="00A57CAB">
        <w:t>op korte termijn voor advies aan de Raad van State worden aangeboden</w:t>
      </w:r>
      <w:r>
        <w:t xml:space="preserve"> </w:t>
      </w:r>
    </w:p>
    <w:p w:rsidR="009A640F" w:rsidP="00221B8C" w:rsidRDefault="002D54D6">
      <w:r w:rsidRPr="00953D87">
        <w:t>De procedure van deze tijdelijke afwijking zal dan voor het begrotingsjaar 201</w:t>
      </w:r>
      <w:r w:rsidR="00DA6EDC">
        <w:t>4</w:t>
      </w:r>
      <w:r w:rsidRPr="00953D87">
        <w:t xml:space="preserve"> niet (meer) hoeven te worden gevolgd.</w:t>
      </w:r>
      <w:r w:rsidRPr="00953D87" w:rsidR="00953D87">
        <w:t xml:space="preserve"> </w:t>
      </w:r>
    </w:p>
    <w:p w:rsidR="003C756B" w:rsidP="003C756B" w:rsidRDefault="009A640F">
      <w:r w:rsidRPr="00490235">
        <w:rPr>
          <w:u w:val="single"/>
        </w:rPr>
        <w:t>2. Verplicht</w:t>
      </w:r>
      <w:r w:rsidR="00A83347">
        <w:rPr>
          <w:u w:val="single"/>
        </w:rPr>
        <w:t>i</w:t>
      </w:r>
      <w:r w:rsidRPr="00490235">
        <w:rPr>
          <w:u w:val="single"/>
        </w:rPr>
        <w:t>ngen-</w:t>
      </w:r>
      <w:r w:rsidR="00607DF0">
        <w:rPr>
          <w:u w:val="single"/>
        </w:rPr>
        <w:t>k</w:t>
      </w:r>
      <w:r w:rsidRPr="00490235" w:rsidR="00490235">
        <w:rPr>
          <w:u w:val="single"/>
        </w:rPr>
        <w:t>asagentschappen</w:t>
      </w:r>
      <w:r w:rsidRPr="00490235" w:rsidR="00CA0DE8">
        <w:rPr>
          <w:u w:val="single"/>
        </w:rPr>
        <w:br/>
      </w:r>
      <w:r w:rsidRPr="00BA3983" w:rsidR="003C756B">
        <w:t>De Raad</w:t>
      </w:r>
      <w:r w:rsidR="003C756B">
        <w:t xml:space="preserve"> van State merkt op dat het voorstel tot introductie van verplichtingen-kasagentschappen weliswaar is aangekondigd bij de evaluatie van de Regeling baten-lastendiensten, maar nog niet nader is uitgewerkt. De Raad van State stelt dat indien het wenselijk wordt geacht een nieuwe vorm van agentschappen te introduceren, dit in</w:t>
      </w:r>
      <w:r w:rsidR="00221B8C">
        <w:t xml:space="preserve"> </w:t>
      </w:r>
      <w:r w:rsidR="003C756B">
        <w:t>de Comptabiliteitswet 2001 een plaats zou moeten krijgen.</w:t>
      </w:r>
    </w:p>
    <w:p w:rsidR="003C756B" w:rsidP="003C756B" w:rsidRDefault="003C756B">
      <w:r>
        <w:t>Inmiddels is de concept-Regeling agentschappen gereed, waar</w:t>
      </w:r>
      <w:r w:rsidR="005A6514">
        <w:t xml:space="preserve">over de </w:t>
      </w:r>
      <w:r>
        <w:t xml:space="preserve">Algemene Rekenkamer </w:t>
      </w:r>
      <w:r w:rsidR="005A6514">
        <w:t>een advies heeft uitgebracht.</w:t>
      </w:r>
      <w:r>
        <w:t xml:space="preserve"> In de Regeling agentschappen zijn de voorstellen uit het evaluatierapport verwerkt die strekken tot een verbeterde werking van het agentschapsmodel. Deze voorstellen waren reeds eerder afgestemd met de Tweede Kamer (Kamerstukken II, 2010-2011, 23 737 nr. 22).</w:t>
      </w:r>
    </w:p>
    <w:p w:rsidR="003C756B" w:rsidP="003C756B" w:rsidRDefault="003C756B">
      <w:r>
        <w:t>Eén van de voorstellen betreft het maken van onderscheid in verplichtingen-kasagentschappen en baten-lastenagentschappen. Verplichtingen-kasagentschappen gaan het standaard-stelsel bij het Rijk voeren (verplichtingen-kasstelsel) omdat er voor hen geen aanleiding is het afwijkende  baten-lastenstelsel te voeren. Vanuit dit perspectief neemt het aantal afwijkingen dus af.</w:t>
      </w:r>
    </w:p>
    <w:p w:rsidR="003C756B" w:rsidP="003C756B" w:rsidRDefault="003C756B">
      <w:r>
        <w:lastRenderedPageBreak/>
        <w:t xml:space="preserve">Om het onderscheid in twee typen agentschappen te kunnen formaliseren is het nodig om de Comptabiliteitswet 2001 op enkele punten aan te vullen c.q. te wijzigen. </w:t>
      </w:r>
      <w:r w:rsidR="000B5FAF">
        <w:t>Hiertoe neem i</w:t>
      </w:r>
      <w:r>
        <w:t>k</w:t>
      </w:r>
      <w:r w:rsidR="00221B8C">
        <w:t xml:space="preserve"> </w:t>
      </w:r>
      <w:r>
        <w:t xml:space="preserve">een voorstel </w:t>
      </w:r>
      <w:r w:rsidR="000B5FAF">
        <w:t>op</w:t>
      </w:r>
      <w:r>
        <w:t xml:space="preserve"> in de Zesde Wijziging van de CW 2001 die ik uiterlijk in het eerste kwartaal 2013 aan de Tweede Kamer zal toesturen. Deze Zesde Wijziging zal zeker niet per 1 januari</w:t>
      </w:r>
      <w:r w:rsidR="00221B8C">
        <w:t xml:space="preserve"> 2013 in werking treden</w:t>
      </w:r>
      <w:r>
        <w:t>. Tegelijkertijd acht ik het van belang dat de Regeling agentschappen wel per 1 januari 2013 in werking treedt, zodat de mogelijkheid wordt gecreëerd om nieuwe verplichtingen-kasagent</w:t>
      </w:r>
      <w:r>
        <w:softHyphen/>
        <w:t>schappen in te stellen. Tevens wordt dan voor alle bestaande agentschappen de vernieuwde regelgeving van kracht die een verbeterde werking van het agentschapsmodel beoogt. De nieuwe Regeling agentschappen schept meer duidelijkheid over de rollen en verantwoordelijkheden binnen het sturingsmodel (opdrachtgever-opdrachtnemer-eigenaar) en zal de kwaliteit van het toezicht en de controle versterken. Verder wordt het instellingstraject voor nieuwe agentschappen vereen</w:t>
      </w:r>
      <w:r>
        <w:softHyphen/>
        <w:t xml:space="preserve">voudigd en legt de nieuwe regeling de basis voor het periodiek doorlichten van alle agentschappen. Uiteindelijk leidt een beter functionerend agentschapsmodel tot meer doelmatigheid, daarom is gekozen voor een snelle implementatie. </w:t>
      </w:r>
    </w:p>
    <w:p w:rsidR="003C756B" w:rsidP="003C756B" w:rsidRDefault="003C756B">
      <w:r>
        <w:t>Hangende het proces met betrekking tot de Zesde Wijziging is gekozen voor de tijdelijke route om in artikel 8 van de Begroting 2013 IX Financiën een wettelijke basis voor het verplichtingen-kasagentschap op te nemen. De periode waarin dit artikel de wettelijke grondslag vormt voor de verplichtingen-kasagentschappen blijft zo beperkt mogel</w:t>
      </w:r>
      <w:r w:rsidR="008322EF">
        <w:t>ijk. Immers, zodra de Zesde</w:t>
      </w:r>
      <w:r>
        <w:t xml:space="preserve"> Wijziging van de CW 2001 is aanvaard zal in lijn met uw advies de CW 2001 de wettelijke basis gaan vormen voor de gehele Regeling agentschappen. </w:t>
      </w:r>
    </w:p>
    <w:p w:rsidRPr="00C55A1F" w:rsidR="00C55A1F" w:rsidP="00C55A1F" w:rsidRDefault="00C55A1F">
      <w:r w:rsidRPr="00C55A1F">
        <w:rPr>
          <w:b/>
          <w:bCs/>
        </w:rPr>
        <w:t>II. Nadere wijzigingen</w:t>
      </w:r>
    </w:p>
    <w:p w:rsidRPr="00F906DB" w:rsidR="00F906DB" w:rsidP="00F906DB" w:rsidRDefault="00F906DB">
      <w:pPr>
        <w:rPr>
          <w:szCs w:val="18"/>
        </w:rPr>
      </w:pPr>
      <w:r w:rsidRPr="00F906DB">
        <w:rPr>
          <w:szCs w:val="18"/>
        </w:rPr>
        <w:t>Inmiddels is het noodzakelijk gebleken in bovenvermelde begroting een aantal wijzigingen/aanpassingen aan te brengen. Het totaal van de ontvangsten voor Financiën komt op EURO 126.872.143</w:t>
      </w:r>
      <w:r w:rsidRPr="00F906DB">
        <w:rPr>
          <w:b/>
          <w:bCs/>
          <w:szCs w:val="18"/>
        </w:rPr>
        <w:t xml:space="preserve"> </w:t>
      </w:r>
      <w:r w:rsidRPr="00F906DB">
        <w:rPr>
          <w:szCs w:val="18"/>
        </w:rPr>
        <w:t>(* 1.000) en de uitgaven op EURO 10.926.599</w:t>
      </w:r>
      <w:r w:rsidRPr="00F906DB">
        <w:rPr>
          <w:b/>
          <w:bCs/>
          <w:szCs w:val="18"/>
        </w:rPr>
        <w:t xml:space="preserve"> </w:t>
      </w:r>
      <w:r w:rsidRPr="00F906DB">
        <w:rPr>
          <w:szCs w:val="18"/>
        </w:rPr>
        <w:t>(* 1.000). Het totaal van de uitgaven</w:t>
      </w:r>
      <w:r w:rsidR="00221B8C">
        <w:rPr>
          <w:szCs w:val="18"/>
        </w:rPr>
        <w:t xml:space="preserve"> </w:t>
      </w:r>
      <w:r w:rsidRPr="00F906DB">
        <w:rPr>
          <w:szCs w:val="18"/>
        </w:rPr>
        <w:t>van de Nationale Schuld komt op 50.923.049</w:t>
      </w:r>
      <w:r w:rsidRPr="00F906DB">
        <w:rPr>
          <w:b/>
          <w:bCs/>
          <w:szCs w:val="18"/>
        </w:rPr>
        <w:t xml:space="preserve"> </w:t>
      </w:r>
      <w:r w:rsidRPr="00F906DB">
        <w:rPr>
          <w:szCs w:val="18"/>
        </w:rPr>
        <w:t>EURO (* 1.000) en de ontvangsten op EURO 49.055.894 (* 1.000). De memorie van toelichting is met de ze wijzigingen in overeenstemming gebracht.</w:t>
      </w:r>
    </w:p>
    <w:p w:rsidRPr="00C55A1F" w:rsidR="00C55A1F" w:rsidP="00C55A1F" w:rsidRDefault="00C55A1F">
      <w:r w:rsidRPr="00C55A1F">
        <w:t> </w:t>
      </w:r>
    </w:p>
    <w:p w:rsidRPr="00C55A1F" w:rsidR="00C55A1F" w:rsidP="00C55A1F" w:rsidRDefault="00C55A1F">
      <w:r w:rsidRPr="00C55A1F">
        <w:t>De Minister van Financiën</w:t>
      </w:r>
    </w:p>
    <w:p w:rsidR="007A228F" w:rsidRDefault="007A228F"/>
    <w:sectPr w:rsidR="007A228F"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12BAC"/>
    <w:multiLevelType w:val="hybridMultilevel"/>
    <w:tmpl w:val="FF420DD8"/>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C55A1F"/>
    <w:rsid w:val="000278C7"/>
    <w:rsid w:val="000320FD"/>
    <w:rsid w:val="000B5FAF"/>
    <w:rsid w:val="000C77CB"/>
    <w:rsid w:val="001266B1"/>
    <w:rsid w:val="00127C05"/>
    <w:rsid w:val="00187A6D"/>
    <w:rsid w:val="001A6D73"/>
    <w:rsid w:val="00221B8C"/>
    <w:rsid w:val="002C249C"/>
    <w:rsid w:val="002D54D6"/>
    <w:rsid w:val="00337738"/>
    <w:rsid w:val="003C756B"/>
    <w:rsid w:val="003E419D"/>
    <w:rsid w:val="003F7BD6"/>
    <w:rsid w:val="00455D8B"/>
    <w:rsid w:val="00462A92"/>
    <w:rsid w:val="00464BEC"/>
    <w:rsid w:val="00485456"/>
    <w:rsid w:val="00490235"/>
    <w:rsid w:val="004D4748"/>
    <w:rsid w:val="004E0D8A"/>
    <w:rsid w:val="0052324E"/>
    <w:rsid w:val="00524A1C"/>
    <w:rsid w:val="005A0B48"/>
    <w:rsid w:val="005A6514"/>
    <w:rsid w:val="00607DF0"/>
    <w:rsid w:val="006105F1"/>
    <w:rsid w:val="00650569"/>
    <w:rsid w:val="006619A3"/>
    <w:rsid w:val="00677DCA"/>
    <w:rsid w:val="006A6AA2"/>
    <w:rsid w:val="006B1451"/>
    <w:rsid w:val="006B19B7"/>
    <w:rsid w:val="006D705A"/>
    <w:rsid w:val="006F4DF8"/>
    <w:rsid w:val="00726D34"/>
    <w:rsid w:val="00731351"/>
    <w:rsid w:val="007725A0"/>
    <w:rsid w:val="007A228F"/>
    <w:rsid w:val="007A5C2D"/>
    <w:rsid w:val="007B692B"/>
    <w:rsid w:val="007D412E"/>
    <w:rsid w:val="00813E13"/>
    <w:rsid w:val="008322EF"/>
    <w:rsid w:val="008A5724"/>
    <w:rsid w:val="00915BA6"/>
    <w:rsid w:val="00953D87"/>
    <w:rsid w:val="009A1B92"/>
    <w:rsid w:val="009A640F"/>
    <w:rsid w:val="009D4FAD"/>
    <w:rsid w:val="00A57CAB"/>
    <w:rsid w:val="00A83347"/>
    <w:rsid w:val="00AA22CC"/>
    <w:rsid w:val="00B16A16"/>
    <w:rsid w:val="00B93EF0"/>
    <w:rsid w:val="00BA3983"/>
    <w:rsid w:val="00BB222F"/>
    <w:rsid w:val="00BE01DB"/>
    <w:rsid w:val="00C262A3"/>
    <w:rsid w:val="00C50701"/>
    <w:rsid w:val="00C55A1F"/>
    <w:rsid w:val="00C6447F"/>
    <w:rsid w:val="00C65FB1"/>
    <w:rsid w:val="00C85B0E"/>
    <w:rsid w:val="00CA0DE8"/>
    <w:rsid w:val="00CB4017"/>
    <w:rsid w:val="00CE6CF4"/>
    <w:rsid w:val="00D80E9B"/>
    <w:rsid w:val="00DA6EDC"/>
    <w:rsid w:val="00DC0F20"/>
    <w:rsid w:val="00DC6263"/>
    <w:rsid w:val="00E01A06"/>
    <w:rsid w:val="00E35FD0"/>
    <w:rsid w:val="00EA19BB"/>
    <w:rsid w:val="00F24AE3"/>
    <w:rsid w:val="00F906DB"/>
    <w:rsid w:val="00FB7FC3"/>
    <w:rsid w:val="00FF39F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35F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5FD0"/>
    <w:rPr>
      <w:rFonts w:ascii="Tahoma" w:hAnsi="Tahoma" w:cs="Tahoma"/>
      <w:sz w:val="16"/>
      <w:szCs w:val="16"/>
    </w:rPr>
  </w:style>
  <w:style w:type="character" w:styleId="Verwijzingopmerking">
    <w:name w:val="annotation reference"/>
    <w:basedOn w:val="Standaardalinea-lettertype"/>
    <w:uiPriority w:val="99"/>
    <w:semiHidden/>
    <w:unhideWhenUsed/>
    <w:rsid w:val="006F4DF8"/>
    <w:rPr>
      <w:sz w:val="16"/>
      <w:szCs w:val="16"/>
    </w:rPr>
  </w:style>
  <w:style w:type="paragraph" w:styleId="Tekstopmerking">
    <w:name w:val="annotation text"/>
    <w:basedOn w:val="Standaard"/>
    <w:link w:val="TekstopmerkingChar"/>
    <w:uiPriority w:val="99"/>
    <w:semiHidden/>
    <w:unhideWhenUsed/>
    <w:rsid w:val="006F4DF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F4DF8"/>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6F4DF8"/>
    <w:rPr>
      <w:b/>
      <w:bCs/>
    </w:rPr>
  </w:style>
  <w:style w:type="character" w:customStyle="1" w:styleId="OnderwerpvanopmerkingChar">
    <w:name w:val="Onderwerp van opmerking Char"/>
    <w:basedOn w:val="TekstopmerkingChar"/>
    <w:link w:val="Onderwerpvanopmerking"/>
    <w:uiPriority w:val="99"/>
    <w:semiHidden/>
    <w:rsid w:val="006F4DF8"/>
    <w:rPr>
      <w:b/>
      <w:bCs/>
    </w:rPr>
  </w:style>
</w:styles>
</file>

<file path=word/webSettings.xml><?xml version="1.0" encoding="utf-8"?>
<w:webSettings xmlns:r="http://schemas.openxmlformats.org/officeDocument/2006/relationships" xmlns:w="http://schemas.openxmlformats.org/wordprocessingml/2006/main">
  <w:divs>
    <w:div w:id="83185366">
      <w:bodyDiv w:val="1"/>
      <w:marLeft w:val="0"/>
      <w:marRight w:val="0"/>
      <w:marTop w:val="0"/>
      <w:marBottom w:val="0"/>
      <w:divBdr>
        <w:top w:val="none" w:sz="0" w:space="0" w:color="auto"/>
        <w:left w:val="none" w:sz="0" w:space="0" w:color="auto"/>
        <w:bottom w:val="none" w:sz="0" w:space="0" w:color="auto"/>
        <w:right w:val="none" w:sz="0" w:space="0" w:color="auto"/>
      </w:divBdr>
      <w:divsChild>
        <w:div w:id="972053482">
          <w:marLeft w:val="0"/>
          <w:marRight w:val="0"/>
          <w:marTop w:val="0"/>
          <w:marBottom w:val="0"/>
          <w:divBdr>
            <w:top w:val="none" w:sz="0" w:space="0" w:color="auto"/>
            <w:left w:val="none" w:sz="0" w:space="0" w:color="auto"/>
            <w:bottom w:val="none" w:sz="0" w:space="0" w:color="auto"/>
            <w:right w:val="none" w:sz="0" w:space="0" w:color="auto"/>
          </w:divBdr>
        </w:div>
        <w:div w:id="1098335457">
          <w:marLeft w:val="0"/>
          <w:marRight w:val="0"/>
          <w:marTop w:val="0"/>
          <w:marBottom w:val="0"/>
          <w:divBdr>
            <w:top w:val="none" w:sz="0" w:space="0" w:color="auto"/>
            <w:left w:val="none" w:sz="0" w:space="0" w:color="auto"/>
            <w:bottom w:val="none" w:sz="0" w:space="0" w:color="auto"/>
            <w:right w:val="none" w:sz="0" w:space="0" w:color="auto"/>
          </w:divBdr>
          <w:divsChild>
            <w:div w:id="1923028852">
              <w:marLeft w:val="0"/>
              <w:marRight w:val="0"/>
              <w:marTop w:val="0"/>
              <w:marBottom w:val="0"/>
              <w:divBdr>
                <w:top w:val="none" w:sz="0" w:space="0" w:color="auto"/>
                <w:left w:val="none" w:sz="0" w:space="0" w:color="auto"/>
                <w:bottom w:val="none" w:sz="0" w:space="0" w:color="auto"/>
                <w:right w:val="none" w:sz="0" w:space="0" w:color="auto"/>
              </w:divBdr>
              <w:divsChild>
                <w:div w:id="530610148">
                  <w:marLeft w:val="0"/>
                  <w:marRight w:val="0"/>
                  <w:marTop w:val="0"/>
                  <w:marBottom w:val="0"/>
                  <w:divBdr>
                    <w:top w:val="none" w:sz="0" w:space="0" w:color="auto"/>
                    <w:left w:val="none" w:sz="0" w:space="0" w:color="auto"/>
                    <w:bottom w:val="none" w:sz="0" w:space="0" w:color="auto"/>
                    <w:right w:val="none" w:sz="0" w:space="0" w:color="auto"/>
                  </w:divBdr>
                  <w:divsChild>
                    <w:div w:id="1137915912">
                      <w:marLeft w:val="0"/>
                      <w:marRight w:val="0"/>
                      <w:marTop w:val="0"/>
                      <w:marBottom w:val="0"/>
                      <w:divBdr>
                        <w:top w:val="single" w:sz="8" w:space="3" w:color="B5C4DF"/>
                        <w:left w:val="none" w:sz="0" w:space="0" w:color="auto"/>
                        <w:bottom w:val="none" w:sz="0" w:space="0" w:color="auto"/>
                        <w:right w:val="none" w:sz="0" w:space="0" w:color="auto"/>
                      </w:divBdr>
                    </w:div>
                  </w:divsChild>
                </w:div>
                <w:div w:id="1215851616">
                  <w:marLeft w:val="0"/>
                  <w:marRight w:val="0"/>
                  <w:marTop w:val="0"/>
                  <w:marBottom w:val="0"/>
                  <w:divBdr>
                    <w:top w:val="none" w:sz="0" w:space="0" w:color="auto"/>
                    <w:left w:val="none" w:sz="0" w:space="0" w:color="auto"/>
                    <w:bottom w:val="none" w:sz="0" w:space="0" w:color="auto"/>
                    <w:right w:val="none" w:sz="0" w:space="0" w:color="auto"/>
                  </w:divBdr>
                  <w:divsChild>
                    <w:div w:id="593514487">
                      <w:marLeft w:val="0"/>
                      <w:marRight w:val="0"/>
                      <w:marTop w:val="0"/>
                      <w:marBottom w:val="0"/>
                      <w:divBdr>
                        <w:top w:val="single" w:sz="8" w:space="3" w:color="B5C4DF"/>
                        <w:left w:val="none" w:sz="0" w:space="0" w:color="auto"/>
                        <w:bottom w:val="none" w:sz="0" w:space="0" w:color="auto"/>
                        <w:right w:val="none" w:sz="0" w:space="0" w:color="auto"/>
                      </w:divBdr>
                    </w:div>
                  </w:divsChild>
                </w:div>
                <w:div w:id="1991328292">
                  <w:marLeft w:val="0"/>
                  <w:marRight w:val="0"/>
                  <w:marTop w:val="0"/>
                  <w:marBottom w:val="0"/>
                  <w:divBdr>
                    <w:top w:val="none" w:sz="0" w:space="0" w:color="auto"/>
                    <w:left w:val="none" w:sz="0" w:space="0" w:color="auto"/>
                    <w:bottom w:val="none" w:sz="0" w:space="0" w:color="auto"/>
                    <w:right w:val="none" w:sz="0" w:space="0" w:color="auto"/>
                  </w:divBdr>
                  <w:divsChild>
                    <w:div w:id="126348940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101922434">
      <w:bodyDiv w:val="1"/>
      <w:marLeft w:val="0"/>
      <w:marRight w:val="0"/>
      <w:marTop w:val="0"/>
      <w:marBottom w:val="0"/>
      <w:divBdr>
        <w:top w:val="none" w:sz="0" w:space="0" w:color="auto"/>
        <w:left w:val="none" w:sz="0" w:space="0" w:color="auto"/>
        <w:bottom w:val="none" w:sz="0" w:space="0" w:color="auto"/>
        <w:right w:val="none" w:sz="0" w:space="0" w:color="auto"/>
      </w:divBdr>
    </w:div>
    <w:div w:id="105581574">
      <w:bodyDiv w:val="1"/>
      <w:marLeft w:val="0"/>
      <w:marRight w:val="0"/>
      <w:marTop w:val="0"/>
      <w:marBottom w:val="0"/>
      <w:divBdr>
        <w:top w:val="none" w:sz="0" w:space="0" w:color="auto"/>
        <w:left w:val="none" w:sz="0" w:space="0" w:color="auto"/>
        <w:bottom w:val="none" w:sz="0" w:space="0" w:color="auto"/>
        <w:right w:val="none" w:sz="0" w:space="0" w:color="auto"/>
      </w:divBdr>
    </w:div>
    <w:div w:id="157116866">
      <w:bodyDiv w:val="1"/>
      <w:marLeft w:val="0"/>
      <w:marRight w:val="0"/>
      <w:marTop w:val="0"/>
      <w:marBottom w:val="0"/>
      <w:divBdr>
        <w:top w:val="none" w:sz="0" w:space="0" w:color="auto"/>
        <w:left w:val="none" w:sz="0" w:space="0" w:color="auto"/>
        <w:bottom w:val="none" w:sz="0" w:space="0" w:color="auto"/>
        <w:right w:val="none" w:sz="0" w:space="0" w:color="auto"/>
      </w:divBdr>
    </w:div>
    <w:div w:id="349646427">
      <w:bodyDiv w:val="1"/>
      <w:marLeft w:val="0"/>
      <w:marRight w:val="0"/>
      <w:marTop w:val="0"/>
      <w:marBottom w:val="0"/>
      <w:divBdr>
        <w:top w:val="none" w:sz="0" w:space="0" w:color="auto"/>
        <w:left w:val="none" w:sz="0" w:space="0" w:color="auto"/>
        <w:bottom w:val="none" w:sz="0" w:space="0" w:color="auto"/>
        <w:right w:val="none" w:sz="0" w:space="0" w:color="auto"/>
      </w:divBdr>
    </w:div>
    <w:div w:id="687366941">
      <w:bodyDiv w:val="1"/>
      <w:marLeft w:val="0"/>
      <w:marRight w:val="0"/>
      <w:marTop w:val="0"/>
      <w:marBottom w:val="0"/>
      <w:divBdr>
        <w:top w:val="none" w:sz="0" w:space="0" w:color="auto"/>
        <w:left w:val="none" w:sz="0" w:space="0" w:color="auto"/>
        <w:bottom w:val="none" w:sz="0" w:space="0" w:color="auto"/>
        <w:right w:val="none" w:sz="0" w:space="0" w:color="auto"/>
      </w:divBdr>
    </w:div>
    <w:div w:id="987171375">
      <w:bodyDiv w:val="1"/>
      <w:marLeft w:val="0"/>
      <w:marRight w:val="0"/>
      <w:marTop w:val="0"/>
      <w:marBottom w:val="0"/>
      <w:divBdr>
        <w:top w:val="none" w:sz="0" w:space="0" w:color="auto"/>
        <w:left w:val="none" w:sz="0" w:space="0" w:color="auto"/>
        <w:bottom w:val="none" w:sz="0" w:space="0" w:color="auto"/>
        <w:right w:val="none" w:sz="0" w:space="0" w:color="auto"/>
      </w:divBdr>
    </w:div>
    <w:div w:id="1024751104">
      <w:bodyDiv w:val="1"/>
      <w:marLeft w:val="0"/>
      <w:marRight w:val="0"/>
      <w:marTop w:val="0"/>
      <w:marBottom w:val="0"/>
      <w:divBdr>
        <w:top w:val="none" w:sz="0" w:space="0" w:color="auto"/>
        <w:left w:val="none" w:sz="0" w:space="0" w:color="auto"/>
        <w:bottom w:val="none" w:sz="0" w:space="0" w:color="auto"/>
        <w:right w:val="none" w:sz="0" w:space="0" w:color="auto"/>
      </w:divBdr>
    </w:div>
    <w:div w:id="1486513269">
      <w:bodyDiv w:val="1"/>
      <w:marLeft w:val="0"/>
      <w:marRight w:val="0"/>
      <w:marTop w:val="0"/>
      <w:marBottom w:val="0"/>
      <w:divBdr>
        <w:top w:val="none" w:sz="0" w:space="0" w:color="auto"/>
        <w:left w:val="none" w:sz="0" w:space="0" w:color="auto"/>
        <w:bottom w:val="none" w:sz="0" w:space="0" w:color="auto"/>
        <w:right w:val="none" w:sz="0" w:space="0" w:color="auto"/>
      </w:divBdr>
    </w:div>
    <w:div w:id="1764720052">
      <w:bodyDiv w:val="1"/>
      <w:marLeft w:val="0"/>
      <w:marRight w:val="0"/>
      <w:marTop w:val="0"/>
      <w:marBottom w:val="0"/>
      <w:divBdr>
        <w:top w:val="none" w:sz="0" w:space="0" w:color="auto"/>
        <w:left w:val="none" w:sz="0" w:space="0" w:color="auto"/>
        <w:bottom w:val="none" w:sz="0" w:space="0" w:color="auto"/>
        <w:right w:val="none" w:sz="0" w:space="0" w:color="auto"/>
      </w:divBdr>
    </w:div>
    <w:div w:id="1799109227">
      <w:bodyDiv w:val="1"/>
      <w:marLeft w:val="0"/>
      <w:marRight w:val="0"/>
      <w:marTop w:val="0"/>
      <w:marBottom w:val="0"/>
      <w:divBdr>
        <w:top w:val="none" w:sz="0" w:space="0" w:color="auto"/>
        <w:left w:val="none" w:sz="0" w:space="0" w:color="auto"/>
        <w:bottom w:val="none" w:sz="0" w:space="0" w:color="auto"/>
        <w:right w:val="none" w:sz="0" w:space="0" w:color="auto"/>
      </w:divBdr>
    </w:div>
    <w:div w:id="1933853436">
      <w:bodyDiv w:val="1"/>
      <w:marLeft w:val="0"/>
      <w:marRight w:val="0"/>
      <w:marTop w:val="0"/>
      <w:marBottom w:val="0"/>
      <w:divBdr>
        <w:top w:val="none" w:sz="0" w:space="0" w:color="auto"/>
        <w:left w:val="none" w:sz="0" w:space="0" w:color="auto"/>
        <w:bottom w:val="none" w:sz="0" w:space="0" w:color="auto"/>
        <w:right w:val="none" w:sz="0" w:space="0" w:color="auto"/>
      </w:divBdr>
    </w:div>
    <w:div w:id="19974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918</ap:Words>
  <ap:Characters>5054</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2012-09-11T12:17:00.0000000Z</lastPrinted>
  <dcterms:created xsi:type="dcterms:W3CDTF">2012-09-12T12:28:00.0000000Z</dcterms:created>
  <dcterms:modified xsi:type="dcterms:W3CDTF">2012-09-14T08:02:00.0000000Z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0x0101004F342E1029735F4380BD89C819E341F3</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