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4DE" w:rsidP="007F34DE" w:rsidRDefault="007F34DE">
      <w:pPr>
        <w:spacing w:before="100" w:beforeAutospacing="1" w:after="100" w:afterAutospacing="1"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Winst in de Zorg, E.Plomp</w:t>
      </w:r>
    </w:p>
    <w:p w:rsidRPr="00600B99" w:rsidR="007F34DE" w:rsidP="007F34DE" w:rsidRDefault="007F34DE">
      <w:pPr>
        <w:spacing w:before="100" w:beforeAutospacing="1" w:after="100" w:afterAutospacing="1" w:line="240" w:lineRule="auto"/>
        <w:rPr>
          <w:rFonts w:ascii="Times New Roman" w:hAnsi="Times New Roman" w:eastAsia="Times New Roman" w:cs="Times New Roman"/>
          <w:b/>
          <w:sz w:val="24"/>
          <w:szCs w:val="24"/>
          <w:u w:val="single"/>
          <w:lang w:eastAsia="nl-NL"/>
        </w:rPr>
      </w:pPr>
      <w:r w:rsidRPr="00600B99">
        <w:rPr>
          <w:rFonts w:ascii="Times New Roman" w:hAnsi="Times New Roman" w:eastAsia="Times New Roman" w:cs="Times New Roman"/>
          <w:b/>
          <w:sz w:val="24"/>
          <w:szCs w:val="24"/>
          <w:u w:val="single"/>
          <w:lang w:eastAsia="nl-NL"/>
        </w:rPr>
        <w:t>Digitaal niet beschikbaar</w:t>
      </w:r>
      <w:r w:rsidR="00600B99">
        <w:rPr>
          <w:rFonts w:ascii="Times New Roman" w:hAnsi="Times New Roman" w:eastAsia="Times New Roman" w:cs="Times New Roman"/>
          <w:b/>
          <w:sz w:val="24"/>
          <w:szCs w:val="24"/>
          <w:u w:val="single"/>
          <w:lang w:eastAsia="nl-NL"/>
        </w:rPr>
        <w:t>, wel hardcopy bijgevoegd</w:t>
      </w:r>
    </w:p>
    <w:p w:rsidR="00600B99" w:rsidP="007F34DE" w:rsidRDefault="00600B99">
      <w:pPr>
        <w:spacing w:before="100" w:beforeAutospacing="1" w:after="100" w:afterAutospacing="1"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SAMENVATTING</w:t>
      </w:r>
    </w:p>
    <w:p w:rsidRPr="007F34DE" w:rsidR="007F34DE" w:rsidP="007F34DE" w:rsidRDefault="007F34DE">
      <w:pPr>
        <w:spacing w:before="100" w:beforeAutospacing="1" w:after="100" w:afterAutospacing="1" w:line="240" w:lineRule="auto"/>
        <w:rPr>
          <w:rFonts w:ascii="Times New Roman" w:hAnsi="Times New Roman" w:eastAsia="Times New Roman" w:cs="Times New Roman"/>
          <w:sz w:val="24"/>
          <w:szCs w:val="24"/>
          <w:lang w:eastAsia="nl-NL"/>
        </w:rPr>
      </w:pPr>
      <w:r w:rsidRPr="007F34DE">
        <w:rPr>
          <w:rFonts w:ascii="Times New Roman" w:hAnsi="Times New Roman" w:eastAsia="Times New Roman" w:cs="Times New Roman"/>
          <w:sz w:val="24"/>
          <w:szCs w:val="24"/>
          <w:lang w:eastAsia="nl-NL"/>
        </w:rPr>
        <w:t>Sinds de introductie van vraagsturing en gereguleerde marktwerking binnen het Nederlandse zorgstelsel wordt van ziekenhuizen en zelfstandige behandelcentra in toenemende mate verwacht dat zij zich als ondernemingen op de markt manifesteren. Om hun kapitaallasten en innovaties te kunnen financieren hebben zij de komende jaren meer kapitaal nodig. Als gevolg van de toegenomen financiële risico's wordt het aantrekken van bancair krediet echter moeilijker. Wanneer winstuitkering door deze instellingen zou worden toegestaan, zou het aantrekken van privaat kapitaal een oplossing kunnen zijn om in de kapitaalbehoefte te voorzien.</w:t>
      </w:r>
      <w:r w:rsidRPr="007F34DE">
        <w:rPr>
          <w:rFonts w:ascii="Times New Roman" w:hAnsi="Times New Roman" w:eastAsia="Times New Roman" w:cs="Times New Roman"/>
          <w:sz w:val="24"/>
          <w:szCs w:val="24"/>
          <w:lang w:eastAsia="nl-NL"/>
        </w:rPr>
        <w:br/>
      </w:r>
      <w:r w:rsidRPr="007F34DE">
        <w:rPr>
          <w:rFonts w:ascii="Times New Roman" w:hAnsi="Times New Roman" w:eastAsia="Times New Roman" w:cs="Times New Roman"/>
          <w:sz w:val="24"/>
          <w:szCs w:val="24"/>
          <w:lang w:eastAsia="nl-NL"/>
        </w:rPr>
        <w:br/>
        <w:t>In deze studie wordt ingegaan op de vraag in hoeverre winstuitkering door instellingen voor medisch-specialistische zorg vanuit juridisch perspectief toelaatbaar is. Na een rechtshistorisch overzicht wordt getoetst aan de uitgangspunten van het huidige zorgstelsel en aan het Europees en internationaal recht. Zowel de maatregelen die zorginstellingen zelf kunnen nemen als de voorwaarden die in de wet- en regelgeving kunnen worden gesteld om bescherming te bieden tegen ongewenste effecten van private kapitaalverschaffing worden uitgebreid besproken. Geconcludeerd wordt dat winstuitkering onder de voorgestelde voorwaarden kan worden toegestaan.</w:t>
      </w:r>
      <w:r w:rsidRPr="007F34DE">
        <w:rPr>
          <w:rFonts w:ascii="Times New Roman" w:hAnsi="Times New Roman" w:eastAsia="Times New Roman" w:cs="Times New Roman"/>
          <w:sz w:val="24"/>
          <w:szCs w:val="24"/>
          <w:lang w:eastAsia="nl-NL"/>
        </w:rPr>
        <w:br/>
      </w:r>
      <w:r w:rsidRPr="007F34DE">
        <w:rPr>
          <w:rFonts w:ascii="Times New Roman" w:hAnsi="Times New Roman" w:eastAsia="Times New Roman" w:cs="Times New Roman"/>
          <w:sz w:val="24"/>
          <w:szCs w:val="24"/>
          <w:lang w:eastAsia="nl-NL"/>
        </w:rPr>
        <w:br/>
        <w:t>Het boek biedt een goed inzicht in de achtergronden van het winstverbod, het huidige zorgstelsel en de mogelijkheden om binnen dit stelsel ruimte te creëren voor winstuitkering en ondernemerschap. Het is daarmee een belangrijke bijdrage voor het economisch gezondheidsrecht. Door het actuele thema en de concrete voorstellen voor aanpassing van de statuten, de Zorgbrede Governancecode en de wet- en regelgeving, vormt het bovendien een waardevol en bruikbaar naslagwerk voor (adviseurs van) zorginstellingen, beleidsmakers en anderen die zich in de praktijk met de gezondheidszorg bezighouden.</w:t>
      </w:r>
    </w:p>
    <w:p w:rsidRPr="007F34DE" w:rsidR="007F34DE" w:rsidP="007F34DE" w:rsidRDefault="007F34DE">
      <w:pPr>
        <w:spacing w:before="100" w:beforeAutospacing="1" w:after="100" w:afterAutospacing="1" w:line="240" w:lineRule="auto"/>
        <w:outlineLvl w:val="1"/>
        <w:rPr>
          <w:rFonts w:ascii="Times New Roman" w:hAnsi="Times New Roman" w:eastAsia="Times New Roman" w:cs="Times New Roman"/>
          <w:b/>
          <w:bCs/>
          <w:sz w:val="36"/>
          <w:szCs w:val="36"/>
          <w:lang w:eastAsia="nl-NL"/>
        </w:rPr>
      </w:pPr>
      <w:bookmarkStart w:name="details-inhoudsopgave" w:id="0"/>
      <w:bookmarkEnd w:id="0"/>
      <w:r w:rsidRPr="007F34DE">
        <w:rPr>
          <w:rFonts w:ascii="Times New Roman" w:hAnsi="Times New Roman" w:eastAsia="Times New Roman" w:cs="Times New Roman"/>
          <w:b/>
          <w:bCs/>
          <w:sz w:val="36"/>
          <w:szCs w:val="36"/>
          <w:lang w:eastAsia="nl-NL"/>
        </w:rPr>
        <w:t>Inhoudsopgave</w:t>
      </w:r>
    </w:p>
    <w:p w:rsidRPr="007F34DE" w:rsidR="007F34DE" w:rsidP="007F34DE" w:rsidRDefault="007F34DE">
      <w:pPr>
        <w:spacing w:before="100" w:beforeAutospacing="1" w:after="100" w:afterAutospacing="1" w:line="240" w:lineRule="auto"/>
        <w:rPr>
          <w:rFonts w:ascii="Times New Roman" w:hAnsi="Times New Roman" w:eastAsia="Times New Roman" w:cs="Times New Roman"/>
          <w:sz w:val="24"/>
          <w:szCs w:val="24"/>
          <w:lang w:eastAsia="nl-NL"/>
        </w:rPr>
      </w:pPr>
      <w:r w:rsidRPr="007F34DE">
        <w:rPr>
          <w:rFonts w:ascii="Times New Roman" w:hAnsi="Times New Roman" w:eastAsia="Times New Roman" w:cs="Times New Roman"/>
          <w:sz w:val="24"/>
          <w:szCs w:val="24"/>
          <w:lang w:eastAsia="nl-NL"/>
        </w:rPr>
        <w:t>Lijst van gebruikte afkortingen</w:t>
      </w:r>
      <w:r w:rsidRPr="007F34DE">
        <w:rPr>
          <w:rFonts w:ascii="Times New Roman" w:hAnsi="Times New Roman" w:eastAsia="Times New Roman" w:cs="Times New Roman"/>
          <w:sz w:val="24"/>
          <w:szCs w:val="24"/>
          <w:lang w:eastAsia="nl-NL"/>
        </w:rPr>
        <w:br/>
      </w:r>
      <w:r w:rsidRPr="007F34DE">
        <w:rPr>
          <w:rFonts w:ascii="Times New Roman" w:hAnsi="Times New Roman" w:eastAsia="Times New Roman" w:cs="Times New Roman"/>
          <w:sz w:val="24"/>
          <w:szCs w:val="24"/>
          <w:lang w:eastAsia="nl-NL"/>
        </w:rPr>
        <w:br/>
        <w:t>A ALGEMEEN DEEL</w:t>
      </w:r>
      <w:r w:rsidRPr="007F34DE">
        <w:rPr>
          <w:rFonts w:ascii="Times New Roman" w:hAnsi="Times New Roman" w:eastAsia="Times New Roman" w:cs="Times New Roman"/>
          <w:sz w:val="24"/>
          <w:szCs w:val="24"/>
          <w:lang w:eastAsia="nl-NL"/>
        </w:rPr>
        <w:br/>
        <w:t>I. Inleiding en probleemstelling</w:t>
      </w:r>
      <w:r w:rsidRPr="007F34DE">
        <w:rPr>
          <w:rFonts w:ascii="Times New Roman" w:hAnsi="Times New Roman" w:eastAsia="Times New Roman" w:cs="Times New Roman"/>
          <w:sz w:val="24"/>
          <w:szCs w:val="24"/>
          <w:lang w:eastAsia="nl-NL"/>
        </w:rPr>
        <w:br/>
        <w:t>II. Winst en winstuitkering in de semi-publieke sector</w:t>
      </w:r>
      <w:r w:rsidRPr="007F34DE">
        <w:rPr>
          <w:rFonts w:ascii="Times New Roman" w:hAnsi="Times New Roman" w:eastAsia="Times New Roman" w:cs="Times New Roman"/>
          <w:sz w:val="24"/>
          <w:szCs w:val="24"/>
          <w:lang w:eastAsia="nl-NL"/>
        </w:rPr>
        <w:br/>
      </w:r>
      <w:r w:rsidRPr="007F34DE">
        <w:rPr>
          <w:rFonts w:ascii="Times New Roman" w:hAnsi="Times New Roman" w:eastAsia="Times New Roman" w:cs="Times New Roman"/>
          <w:sz w:val="24"/>
          <w:szCs w:val="24"/>
          <w:lang w:eastAsia="nl-NL"/>
        </w:rPr>
        <w:br/>
        <w:t>B HISTORISCH DEEL</w:t>
      </w:r>
      <w:r w:rsidRPr="007F34DE">
        <w:rPr>
          <w:rFonts w:ascii="Times New Roman" w:hAnsi="Times New Roman" w:eastAsia="Times New Roman" w:cs="Times New Roman"/>
          <w:sz w:val="24"/>
          <w:szCs w:val="24"/>
          <w:lang w:eastAsia="nl-NL"/>
        </w:rPr>
        <w:br/>
        <w:t>III. Winstuitkering in historisch perspectief in de periode tot 1987</w:t>
      </w:r>
      <w:r w:rsidRPr="007F34DE">
        <w:rPr>
          <w:rFonts w:ascii="Times New Roman" w:hAnsi="Times New Roman" w:eastAsia="Times New Roman" w:cs="Times New Roman"/>
          <w:sz w:val="24"/>
          <w:szCs w:val="24"/>
          <w:lang w:eastAsia="nl-NL"/>
        </w:rPr>
        <w:br/>
        <w:t>IV. Winstuitkering in historisch perspectief in de periode vanaf 1987</w:t>
      </w:r>
      <w:r w:rsidRPr="007F34DE">
        <w:rPr>
          <w:rFonts w:ascii="Times New Roman" w:hAnsi="Times New Roman" w:eastAsia="Times New Roman" w:cs="Times New Roman"/>
          <w:sz w:val="24"/>
          <w:szCs w:val="24"/>
          <w:lang w:eastAsia="nl-NL"/>
        </w:rPr>
        <w:br/>
        <w:t>V. Tussenbalans</w:t>
      </w:r>
      <w:r w:rsidRPr="007F34DE">
        <w:rPr>
          <w:rFonts w:ascii="Times New Roman" w:hAnsi="Times New Roman" w:eastAsia="Times New Roman" w:cs="Times New Roman"/>
          <w:sz w:val="24"/>
          <w:szCs w:val="24"/>
          <w:lang w:eastAsia="nl-NL"/>
        </w:rPr>
        <w:br/>
      </w:r>
      <w:r w:rsidRPr="007F34DE">
        <w:rPr>
          <w:rFonts w:ascii="Times New Roman" w:hAnsi="Times New Roman" w:eastAsia="Times New Roman" w:cs="Times New Roman"/>
          <w:sz w:val="24"/>
          <w:szCs w:val="24"/>
          <w:lang w:eastAsia="nl-NL"/>
        </w:rPr>
        <w:br/>
        <w:t>C SYSTEMATISCH ANALYTISCH DEEL</w:t>
      </w:r>
      <w:r w:rsidRPr="007F34DE">
        <w:rPr>
          <w:rFonts w:ascii="Times New Roman" w:hAnsi="Times New Roman" w:eastAsia="Times New Roman" w:cs="Times New Roman"/>
          <w:sz w:val="24"/>
          <w:szCs w:val="24"/>
          <w:lang w:eastAsia="nl-NL"/>
        </w:rPr>
        <w:br/>
        <w:t>VI. Winstuitkering in het licht van de gezondheidsrechtelijke uitgangspunten</w:t>
      </w:r>
      <w:r w:rsidRPr="007F34DE">
        <w:rPr>
          <w:rFonts w:ascii="Times New Roman" w:hAnsi="Times New Roman" w:eastAsia="Times New Roman" w:cs="Times New Roman"/>
          <w:sz w:val="24"/>
          <w:szCs w:val="24"/>
          <w:lang w:eastAsia="nl-NL"/>
        </w:rPr>
        <w:br/>
        <w:t>VII. Het verbod op winstuitkering in het licht van het Europees en internationaal recht</w:t>
      </w:r>
      <w:r w:rsidRPr="007F34DE">
        <w:rPr>
          <w:rFonts w:ascii="Times New Roman" w:hAnsi="Times New Roman" w:eastAsia="Times New Roman" w:cs="Times New Roman"/>
          <w:sz w:val="24"/>
          <w:szCs w:val="24"/>
          <w:lang w:eastAsia="nl-NL"/>
        </w:rPr>
        <w:br/>
        <w:t>VIII. Interne waarborgen bij winstuitkering door zorginstellingen</w:t>
      </w:r>
      <w:r w:rsidRPr="007F34DE">
        <w:rPr>
          <w:rFonts w:ascii="Times New Roman" w:hAnsi="Times New Roman" w:eastAsia="Times New Roman" w:cs="Times New Roman"/>
          <w:sz w:val="24"/>
          <w:szCs w:val="24"/>
          <w:lang w:eastAsia="nl-NL"/>
        </w:rPr>
        <w:br/>
        <w:t>IX. Externe waarborgen bij winstuitkering door zorginstellingen</w:t>
      </w:r>
      <w:r w:rsidRPr="007F34DE">
        <w:rPr>
          <w:rFonts w:ascii="Times New Roman" w:hAnsi="Times New Roman" w:eastAsia="Times New Roman" w:cs="Times New Roman"/>
          <w:sz w:val="24"/>
          <w:szCs w:val="24"/>
          <w:lang w:eastAsia="nl-NL"/>
        </w:rPr>
        <w:br/>
      </w:r>
      <w:r w:rsidRPr="007F34DE">
        <w:rPr>
          <w:rFonts w:ascii="Times New Roman" w:hAnsi="Times New Roman" w:eastAsia="Times New Roman" w:cs="Times New Roman"/>
          <w:sz w:val="24"/>
          <w:szCs w:val="24"/>
          <w:lang w:eastAsia="nl-NL"/>
        </w:rPr>
        <w:lastRenderedPageBreak/>
        <w:br/>
        <w:t>D BESCHOUWING EN CONCLUSIE</w:t>
      </w:r>
      <w:r w:rsidRPr="007F34DE">
        <w:rPr>
          <w:rFonts w:ascii="Times New Roman" w:hAnsi="Times New Roman" w:eastAsia="Times New Roman" w:cs="Times New Roman"/>
          <w:sz w:val="24"/>
          <w:szCs w:val="24"/>
          <w:lang w:eastAsia="nl-NL"/>
        </w:rPr>
        <w:br/>
        <w:t>X. Beschouwing en conclusie: naar een wetsvoorstel winstuitkering door zorginstellingen</w:t>
      </w:r>
      <w:r w:rsidRPr="007F34DE">
        <w:rPr>
          <w:rFonts w:ascii="Times New Roman" w:hAnsi="Times New Roman" w:eastAsia="Times New Roman" w:cs="Times New Roman"/>
          <w:sz w:val="24"/>
          <w:szCs w:val="24"/>
          <w:lang w:eastAsia="nl-NL"/>
        </w:rPr>
        <w:br/>
      </w:r>
      <w:r w:rsidRPr="007F34DE">
        <w:rPr>
          <w:rFonts w:ascii="Times New Roman" w:hAnsi="Times New Roman" w:eastAsia="Times New Roman" w:cs="Times New Roman"/>
          <w:sz w:val="24"/>
          <w:szCs w:val="24"/>
          <w:lang w:eastAsia="nl-NL"/>
        </w:rPr>
        <w:br/>
        <w:t>Literatuurlijst</w:t>
      </w:r>
      <w:r w:rsidRPr="007F34DE">
        <w:rPr>
          <w:rFonts w:ascii="Times New Roman" w:hAnsi="Times New Roman" w:eastAsia="Times New Roman" w:cs="Times New Roman"/>
          <w:sz w:val="24"/>
          <w:szCs w:val="24"/>
          <w:lang w:eastAsia="nl-NL"/>
        </w:rPr>
        <w:br/>
        <w:t>Summary</w:t>
      </w:r>
      <w:r w:rsidRPr="007F34DE">
        <w:rPr>
          <w:rFonts w:ascii="Times New Roman" w:hAnsi="Times New Roman" w:eastAsia="Times New Roman" w:cs="Times New Roman"/>
          <w:sz w:val="24"/>
          <w:szCs w:val="24"/>
          <w:lang w:eastAsia="nl-NL"/>
        </w:rPr>
        <w:br/>
        <w:t>Dankwoord</w:t>
      </w:r>
      <w:r w:rsidRPr="007F34DE">
        <w:rPr>
          <w:rFonts w:ascii="Times New Roman" w:hAnsi="Times New Roman" w:eastAsia="Times New Roman" w:cs="Times New Roman"/>
          <w:sz w:val="24"/>
          <w:szCs w:val="24"/>
          <w:lang w:eastAsia="nl-NL"/>
        </w:rPr>
        <w:br/>
        <w:t>Curriculum vitae</w:t>
      </w:r>
    </w:p>
    <w:p w:rsidRPr="007F34DE" w:rsidR="007F34DE" w:rsidP="007F34DE" w:rsidRDefault="0080126D">
      <w:pPr>
        <w:spacing w:before="100" w:beforeAutospacing="1" w:after="100" w:afterAutospacing="1" w:line="240" w:lineRule="auto"/>
        <w:rPr>
          <w:rFonts w:ascii="Times New Roman" w:hAnsi="Times New Roman" w:eastAsia="Times New Roman" w:cs="Times New Roman"/>
          <w:sz w:val="24"/>
          <w:szCs w:val="24"/>
          <w:lang w:eastAsia="nl-NL"/>
        </w:rPr>
      </w:pPr>
      <w:hyperlink w:tooltip="Meer" w:history="1" r:id="rId4">
        <w:r w:rsidRPr="007F34DE" w:rsidR="007F34DE">
          <w:rPr>
            <w:rFonts w:ascii="Times New Roman" w:hAnsi="Times New Roman" w:eastAsia="Times New Roman" w:cs="Times New Roman"/>
            <w:color w:val="0000FF"/>
            <w:sz w:val="24"/>
            <w:szCs w:val="24"/>
            <w:u w:val="single"/>
            <w:lang w:eastAsia="nl-NL"/>
          </w:rPr>
          <w:t>Meer</w:t>
        </w:r>
      </w:hyperlink>
    </w:p>
    <w:p w:rsidRPr="00F22CDC" w:rsidR="00A17C6E" w:rsidRDefault="00A17C6E">
      <w:pPr>
        <w:rPr>
          <w:rFonts w:ascii="Verdana" w:hAnsi="Verdana"/>
          <w:sz w:val="18"/>
          <w:szCs w:val="18"/>
        </w:rPr>
      </w:pPr>
    </w:p>
    <w:sectPr w:rsidRPr="00F22CDC" w:rsidR="00A17C6E" w:rsidSect="00A17C6E">
      <w:pgSz w:w="11906" w:h="16838"/>
      <w:pgMar w:top="1417" w:right="1417" w:bottom="1417" w:left="1417" w:header="708" w:footer="708" w:gutter="0"/>
      <w:cols w:space="708"/>
      <w:docGrid w:linePitch="360"/>
      <w:paperSrc w:first="4" w:other="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Lohit Hindi">
    <w:altName w:val="Times New Roman"/>
    <w:charset w:val="00"/>
    <w:family w:val="auto"/>
    <w:pitch w:val="default"/>
    <w:sig w:usb0="00000000" w:usb1="00000000" w:usb2="00000000" w:usb3="00000000" w:csb0="00000000"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7F34DE"/>
    <w:rsid w:val="00030713"/>
    <w:rsid w:val="00317454"/>
    <w:rsid w:val="003B0292"/>
    <w:rsid w:val="003C2F16"/>
    <w:rsid w:val="003D2DEF"/>
    <w:rsid w:val="00586E66"/>
    <w:rsid w:val="005D074E"/>
    <w:rsid w:val="00600B99"/>
    <w:rsid w:val="007F34DE"/>
    <w:rsid w:val="0080126D"/>
    <w:rsid w:val="00840506"/>
    <w:rsid w:val="0084264D"/>
    <w:rsid w:val="008E5912"/>
    <w:rsid w:val="009D2C53"/>
    <w:rsid w:val="00A17C6E"/>
    <w:rsid w:val="00A23A35"/>
    <w:rsid w:val="00BB34F5"/>
    <w:rsid w:val="00BC4478"/>
    <w:rsid w:val="00BE1327"/>
    <w:rsid w:val="00C26054"/>
    <w:rsid w:val="00C374AC"/>
    <w:rsid w:val="00C6119A"/>
    <w:rsid w:val="00DA1D96"/>
    <w:rsid w:val="00F22CDC"/>
    <w:rsid w:val="00F942CA"/>
    <w:rsid w:val="00FF078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26054"/>
    <w:pPr>
      <w:widowControl/>
      <w:suppressAutoHyphens w:val="0"/>
      <w:autoSpaceDN/>
      <w:spacing w:after="200" w:line="276" w:lineRule="auto"/>
      <w:textAlignment w:val="auto"/>
    </w:pPr>
    <w:rPr>
      <w:rFonts w:asciiTheme="minorHAnsi" w:hAnsiTheme="minorHAnsi" w:cstheme="minorBidi"/>
      <w:kern w:val="0"/>
      <w:sz w:val="22"/>
      <w:szCs w:val="22"/>
      <w:lang w:eastAsia="en-US" w:bidi="ar-SA"/>
    </w:rPr>
  </w:style>
  <w:style w:type="paragraph" w:styleId="Kop2">
    <w:name w:val="heading 2"/>
    <w:basedOn w:val="Standaard"/>
    <w:link w:val="Kop2Char"/>
    <w:uiPriority w:val="9"/>
    <w:qFormat/>
    <w:rsid w:val="007F34DE"/>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26054"/>
    <w:pPr>
      <w:ind w:left="720"/>
      <w:contextualSpacing/>
    </w:pPr>
  </w:style>
  <w:style w:type="character" w:styleId="Zwaar">
    <w:name w:val="Strong"/>
    <w:basedOn w:val="Standaardalinea-lettertype"/>
    <w:uiPriority w:val="22"/>
    <w:qFormat/>
    <w:rsid w:val="00C26054"/>
    <w:rPr>
      <w:b/>
      <w:bCs/>
    </w:rPr>
  </w:style>
  <w:style w:type="paragraph" w:styleId="Geenafstand">
    <w:name w:val="No Spacing"/>
    <w:uiPriority w:val="1"/>
    <w:qFormat/>
    <w:rsid w:val="00C26054"/>
    <w:pPr>
      <w:widowControl/>
      <w:suppressAutoHyphens w:val="0"/>
      <w:autoSpaceDN/>
      <w:textAlignment w:val="auto"/>
    </w:pPr>
    <w:rPr>
      <w:rFonts w:asciiTheme="minorHAnsi" w:hAnsiTheme="minorHAnsi" w:cstheme="minorBidi"/>
      <w:kern w:val="0"/>
      <w:sz w:val="22"/>
      <w:szCs w:val="22"/>
      <w:lang w:eastAsia="en-US" w:bidi="ar-SA"/>
    </w:rPr>
  </w:style>
  <w:style w:type="paragraph" w:styleId="Citaat">
    <w:name w:val="Quote"/>
    <w:basedOn w:val="Standaard"/>
    <w:next w:val="Standaard"/>
    <w:link w:val="CitaatChar"/>
    <w:uiPriority w:val="29"/>
    <w:qFormat/>
    <w:rsid w:val="00C26054"/>
    <w:rPr>
      <w:i/>
      <w:iCs/>
      <w:color w:val="000000" w:themeColor="text1"/>
    </w:rPr>
  </w:style>
  <w:style w:type="character" w:customStyle="1" w:styleId="CitaatChar">
    <w:name w:val="Citaat Char"/>
    <w:basedOn w:val="Standaardalinea-lettertype"/>
    <w:link w:val="Citaat"/>
    <w:uiPriority w:val="29"/>
    <w:rsid w:val="00C26054"/>
    <w:rPr>
      <w:rFonts w:asciiTheme="minorHAnsi" w:eastAsiaTheme="minorHAnsi" w:hAnsiTheme="minorHAnsi" w:cstheme="minorBidi"/>
      <w:i/>
      <w:iCs/>
      <w:color w:val="000000" w:themeColor="text1"/>
      <w:kern w:val="0"/>
      <w:sz w:val="22"/>
      <w:szCs w:val="22"/>
      <w:lang w:eastAsia="en-US" w:bidi="ar-SA"/>
    </w:rPr>
  </w:style>
  <w:style w:type="paragraph" w:styleId="Duidelijkcitaat">
    <w:name w:val="Intense Quote"/>
    <w:basedOn w:val="Standaard"/>
    <w:next w:val="Standaard"/>
    <w:link w:val="DuidelijkcitaatChar"/>
    <w:uiPriority w:val="30"/>
    <w:qFormat/>
    <w:rsid w:val="00C26054"/>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C26054"/>
    <w:rPr>
      <w:rFonts w:asciiTheme="minorHAnsi" w:eastAsiaTheme="minorHAnsi" w:hAnsiTheme="minorHAnsi" w:cstheme="minorBidi"/>
      <w:b/>
      <w:bCs/>
      <w:i/>
      <w:iCs/>
      <w:color w:val="4F81BD" w:themeColor="accent1"/>
      <w:kern w:val="0"/>
      <w:sz w:val="22"/>
      <w:szCs w:val="22"/>
      <w:lang w:eastAsia="en-US" w:bidi="ar-SA"/>
    </w:rPr>
  </w:style>
  <w:style w:type="character" w:styleId="Intensievebenadrukking">
    <w:name w:val="Intense Emphasis"/>
    <w:basedOn w:val="Standaardalinea-lettertype"/>
    <w:uiPriority w:val="21"/>
    <w:qFormat/>
    <w:rsid w:val="00C26054"/>
    <w:rPr>
      <w:b/>
      <w:bCs/>
      <w:i/>
      <w:iCs/>
      <w:color w:val="4F81BD" w:themeColor="accent1"/>
    </w:rPr>
  </w:style>
  <w:style w:type="paragraph" w:customStyle="1" w:styleId="Huisstijl-AfzendgegevenskopW1">
    <w:name w:val="Huisstijl - Afzendgegevens kop W1"/>
    <w:basedOn w:val="Standaard"/>
    <w:qFormat/>
    <w:rsid w:val="00C26054"/>
    <w:pPr>
      <w:spacing w:before="90" w:line="180" w:lineRule="exact"/>
    </w:pPr>
    <w:rPr>
      <w:b/>
      <w:sz w:val="13"/>
    </w:rPr>
  </w:style>
  <w:style w:type="paragraph" w:customStyle="1" w:styleId="Huisstijl-AfzendgegevensC">
    <w:name w:val="Huisstijl - Afzendgegevens C"/>
    <w:basedOn w:val="Standaard"/>
    <w:qFormat/>
    <w:rsid w:val="00C26054"/>
    <w:pPr>
      <w:tabs>
        <w:tab w:val="left" w:pos="170"/>
      </w:tabs>
      <w:spacing w:line="180" w:lineRule="exact"/>
    </w:pPr>
    <w:rPr>
      <w:i/>
      <w:sz w:val="13"/>
    </w:rPr>
  </w:style>
  <w:style w:type="paragraph" w:customStyle="1" w:styleId="Huisstijl-AfzendgegevensMdtn">
    <w:name w:val="Huisstijl - Afzendgegevens Mdtn"/>
    <w:basedOn w:val="Standaard"/>
    <w:qFormat/>
    <w:rsid w:val="00C26054"/>
    <w:pPr>
      <w:tabs>
        <w:tab w:val="left" w:pos="482"/>
      </w:tabs>
      <w:spacing w:line="180" w:lineRule="exact"/>
    </w:pPr>
    <w:rPr>
      <w:sz w:val="13"/>
    </w:rPr>
  </w:style>
  <w:style w:type="paragraph" w:customStyle="1" w:styleId="Huisstijl-Ondertekeningvervolgtitel">
    <w:name w:val="Huisstijl - Ondertekening vervolg titel"/>
    <w:basedOn w:val="Standaard"/>
    <w:qFormat/>
    <w:rsid w:val="00C26054"/>
    <w:rPr>
      <w:noProof/>
    </w:rPr>
  </w:style>
  <w:style w:type="character" w:customStyle="1" w:styleId="Kop2Char">
    <w:name w:val="Kop 2 Char"/>
    <w:basedOn w:val="Standaardalinea-lettertype"/>
    <w:link w:val="Kop2"/>
    <w:uiPriority w:val="9"/>
    <w:rsid w:val="007F34DE"/>
    <w:rPr>
      <w:rFonts w:eastAsia="Times New Roman" w:cs="Times New Roman"/>
      <w:b/>
      <w:bCs/>
      <w:kern w:val="0"/>
      <w:sz w:val="36"/>
      <w:szCs w:val="36"/>
      <w:lang w:eastAsia="nl-NL" w:bidi="ar-SA"/>
    </w:rPr>
  </w:style>
  <w:style w:type="paragraph" w:styleId="Normaalweb">
    <w:name w:val="Normal (Web)"/>
    <w:basedOn w:val="Standaard"/>
    <w:uiPriority w:val="99"/>
    <w:semiHidden/>
    <w:unhideWhenUsed/>
    <w:rsid w:val="007F34D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7F34DE"/>
    <w:rPr>
      <w:color w:val="0000FF"/>
      <w:u w:val="single"/>
    </w:rPr>
  </w:style>
</w:styles>
</file>

<file path=word/webSettings.xml><?xml version="1.0" encoding="utf-8"?>
<w:webSettings xmlns:r="http://schemas.openxmlformats.org/officeDocument/2006/relationships" xmlns:w="http://schemas.openxmlformats.org/wordprocessingml/2006/main">
  <w:divs>
    <w:div w:id="834875941">
      <w:bodyDiv w:val="1"/>
      <w:marLeft w:val="0"/>
      <w:marRight w:val="0"/>
      <w:marTop w:val="0"/>
      <w:marBottom w:val="0"/>
      <w:divBdr>
        <w:top w:val="none" w:sz="0" w:space="0" w:color="auto"/>
        <w:left w:val="none" w:sz="0" w:space="0" w:color="auto"/>
        <w:bottom w:val="none" w:sz="0" w:space="0" w:color="auto"/>
        <w:right w:val="none" w:sz="0" w:space="0" w:color="auto"/>
      </w:divBdr>
      <w:divsChild>
        <w:div w:id="861866913">
          <w:marLeft w:val="0"/>
          <w:marRight w:val="0"/>
          <w:marTop w:val="0"/>
          <w:marBottom w:val="0"/>
          <w:divBdr>
            <w:top w:val="none" w:sz="0" w:space="0" w:color="auto"/>
            <w:left w:val="none" w:sz="0" w:space="0" w:color="auto"/>
            <w:bottom w:val="none" w:sz="0" w:space="0" w:color="auto"/>
            <w:right w:val="none" w:sz="0" w:space="0" w:color="auto"/>
          </w:divBdr>
          <w:divsChild>
            <w:div w:id="1207764667">
              <w:marLeft w:val="0"/>
              <w:marRight w:val="0"/>
              <w:marTop w:val="0"/>
              <w:marBottom w:val="0"/>
              <w:divBdr>
                <w:top w:val="none" w:sz="0" w:space="0" w:color="auto"/>
                <w:left w:val="none" w:sz="0" w:space="0" w:color="auto"/>
                <w:bottom w:val="none" w:sz="0" w:space="0" w:color="auto"/>
                <w:right w:val="none" w:sz="0" w:space="0" w:color="auto"/>
              </w:divBdr>
              <w:divsChild>
                <w:div w:id="602151800">
                  <w:marLeft w:val="0"/>
                  <w:marRight w:val="0"/>
                  <w:marTop w:val="0"/>
                  <w:marBottom w:val="0"/>
                  <w:divBdr>
                    <w:top w:val="none" w:sz="0" w:space="0" w:color="auto"/>
                    <w:left w:val="none" w:sz="0" w:space="0" w:color="auto"/>
                    <w:bottom w:val="none" w:sz="0" w:space="0" w:color="auto"/>
                    <w:right w:val="none" w:sz="0" w:space="0" w:color="auto"/>
                  </w:divBdr>
                  <w:divsChild>
                    <w:div w:id="1114859254">
                      <w:marLeft w:val="0"/>
                      <w:marRight w:val="0"/>
                      <w:marTop w:val="0"/>
                      <w:marBottom w:val="0"/>
                      <w:divBdr>
                        <w:top w:val="none" w:sz="0" w:space="0" w:color="auto"/>
                        <w:left w:val="none" w:sz="0" w:space="0" w:color="auto"/>
                        <w:bottom w:val="none" w:sz="0" w:space="0" w:color="auto"/>
                        <w:right w:val="none" w:sz="0" w:space="0" w:color="auto"/>
                      </w:divBdr>
                      <w:divsChild>
                        <w:div w:id="948467125">
                          <w:marLeft w:val="0"/>
                          <w:marRight w:val="0"/>
                          <w:marTop w:val="1365"/>
                          <w:marBottom w:val="0"/>
                          <w:divBdr>
                            <w:top w:val="none" w:sz="0" w:space="0" w:color="auto"/>
                            <w:left w:val="none" w:sz="0" w:space="0" w:color="auto"/>
                            <w:bottom w:val="none" w:sz="0" w:space="0" w:color="auto"/>
                            <w:right w:val="none" w:sz="0" w:space="0" w:color="auto"/>
                          </w:divBdr>
                          <w:divsChild>
                            <w:div w:id="2000035854">
                              <w:marLeft w:val="0"/>
                              <w:marRight w:val="0"/>
                              <w:marTop w:val="0"/>
                              <w:marBottom w:val="0"/>
                              <w:divBdr>
                                <w:top w:val="none" w:sz="0" w:space="0" w:color="auto"/>
                                <w:left w:val="none" w:sz="0" w:space="0" w:color="auto"/>
                                <w:bottom w:val="none" w:sz="0" w:space="0" w:color="auto"/>
                                <w:right w:val="none" w:sz="0" w:space="0" w:color="auto"/>
                              </w:divBdr>
                            </w:div>
                          </w:divsChild>
                        </w:div>
                        <w:div w:id="1105737120">
                          <w:marLeft w:val="0"/>
                          <w:marRight w:val="0"/>
                          <w:marTop w:val="0"/>
                          <w:marBottom w:val="0"/>
                          <w:divBdr>
                            <w:top w:val="none" w:sz="0" w:space="0" w:color="auto"/>
                            <w:left w:val="none" w:sz="0" w:space="0" w:color="auto"/>
                            <w:bottom w:val="none" w:sz="0" w:space="0" w:color="auto"/>
                            <w:right w:val="none" w:sz="0" w:space="0" w:color="auto"/>
                          </w:divBdr>
                          <w:divsChild>
                            <w:div w:id="1700352064">
                              <w:marLeft w:val="0"/>
                              <w:marRight w:val="0"/>
                              <w:marTop w:val="0"/>
                              <w:marBottom w:val="0"/>
                              <w:divBdr>
                                <w:top w:val="none" w:sz="0" w:space="0" w:color="auto"/>
                                <w:left w:val="none" w:sz="0" w:space="0" w:color="auto"/>
                                <w:bottom w:val="none" w:sz="0" w:space="0" w:color="auto"/>
                                <w:right w:val="none" w:sz="0" w:space="0" w:color="auto"/>
                              </w:divBdr>
                              <w:divsChild>
                                <w:div w:id="114866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hyperlink" Target="http://www.managementboek.nl/boek/9789012387927/winst-in-de-zorg-emke-plomp" TargetMode="External" Id="rId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445</ap:Words>
  <ap:Characters>2449</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2889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2012-03-23T13:10:00.0000000Z</dcterms:created>
  <dcterms:modified xsi:type="dcterms:W3CDTF">2012-03-23T13:10:00.0000000Z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0x01010028C3CC9F0C97FC4EA92AF02C75E7A694</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ies>
</file>