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3293" w:rsidR="008515C5" w:rsidP="00553293" w:rsidRDefault="00553293">
      <w:pPr>
        <w:ind w:left="360"/>
        <w:rPr>
          <w:b/>
          <w:sz w:val="22"/>
          <w:lang w:val="nl-NL"/>
        </w:rPr>
      </w:pPr>
      <w:bookmarkStart w:name="_GoBack" w:id="0"/>
      <w:bookmarkEnd w:id="0"/>
      <w:r w:rsidRPr="00553293">
        <w:rPr>
          <w:b/>
          <w:sz w:val="22"/>
          <w:lang w:val="nl-NL"/>
        </w:rPr>
        <w:t>Beleidsnotitie bescherming van de burgerbevolking in gewapende conflicten</w:t>
      </w:r>
    </w:p>
    <w:p w:rsidRPr="00553293" w:rsidR="00553293" w:rsidP="00553293" w:rsidRDefault="00553293">
      <w:pPr>
        <w:ind w:left="360"/>
        <w:rPr>
          <w:b/>
          <w:lang w:val="nl-NL"/>
        </w:rPr>
      </w:pPr>
    </w:p>
    <w:p w:rsidR="008515C5" w:rsidP="00EA51F1" w:rsidRDefault="008515C5">
      <w:pPr>
        <w:ind w:left="360"/>
        <w:rPr>
          <w:lang w:val="nl-NL"/>
        </w:rPr>
      </w:pPr>
      <w:r>
        <w:rPr>
          <w:lang w:val="nl-NL"/>
        </w:rPr>
        <w:t xml:space="preserve">Naar aanleiding van de toezegging van de minister van Buitenlandse Zaken in het algemeen overleg over de eindevaluatie van de Nederlandse inzet in Uruzgan op 16 februari jl., </w:t>
      </w:r>
      <w:r w:rsidR="001A22E5">
        <w:rPr>
          <w:lang w:val="nl-NL"/>
        </w:rPr>
        <w:t xml:space="preserve">sturen </w:t>
      </w:r>
      <w:r>
        <w:rPr>
          <w:lang w:val="nl-NL"/>
        </w:rPr>
        <w:t>wij u een beleidsnotitie over de bescherming van de burgerbevolking in gewapende conflicten.</w:t>
      </w:r>
    </w:p>
    <w:p w:rsidR="001A22E5" w:rsidP="001A22E5" w:rsidRDefault="001A22E5">
      <w:pPr>
        <w:pStyle w:val="ListParagraph"/>
        <w:ind w:left="360"/>
        <w:rPr>
          <w:b/>
          <w:lang w:val="nl-NL"/>
        </w:rPr>
      </w:pPr>
    </w:p>
    <w:p w:rsidRPr="00553293" w:rsidR="00CE41A8" w:rsidP="003A38F1" w:rsidRDefault="008515C5">
      <w:pPr>
        <w:pStyle w:val="ListParagraph"/>
        <w:numPr>
          <w:ilvl w:val="0"/>
          <w:numId w:val="1"/>
        </w:numPr>
        <w:ind w:left="360"/>
        <w:rPr>
          <w:b/>
          <w:lang w:val="nl-NL"/>
        </w:rPr>
      </w:pPr>
      <w:r w:rsidRPr="00F55119">
        <w:rPr>
          <w:b/>
          <w:lang w:val="nl-NL"/>
        </w:rPr>
        <w:t>Inleiding</w:t>
      </w:r>
    </w:p>
    <w:p w:rsidRPr="001729DF" w:rsidR="008515C5" w:rsidP="001F6E45" w:rsidRDefault="001A22E5">
      <w:pPr>
        <w:ind w:left="360"/>
        <w:rPr>
          <w:lang w:val="nl-NL"/>
        </w:rPr>
      </w:pPr>
      <w:r>
        <w:rPr>
          <w:lang w:val="nl-NL"/>
        </w:rPr>
        <w:t>In gewapende conflicten heeft de burgerbevolking vaak ernstig te lijden onder geweld,</w:t>
      </w:r>
      <w:r w:rsidR="00A8765E">
        <w:rPr>
          <w:lang w:val="nl-NL"/>
        </w:rPr>
        <w:t xml:space="preserve"> ondanks de</w:t>
      </w:r>
      <w:r w:rsidRPr="00A8765E" w:rsidR="00A8765E">
        <w:rPr>
          <w:lang w:val="nl-NL"/>
        </w:rPr>
        <w:t xml:space="preserve"> </w:t>
      </w:r>
      <w:r w:rsidR="00A8765E">
        <w:rPr>
          <w:lang w:val="nl-NL"/>
        </w:rPr>
        <w:t>verplichting van strijdende partijen om burgers en burgerobjecten te beschermen en te ontzien</w:t>
      </w:r>
      <w:r w:rsidRPr="00DC42CD" w:rsidR="008515C5">
        <w:rPr>
          <w:lang w:val="nl-NL"/>
        </w:rPr>
        <w:t>.</w:t>
      </w:r>
      <w:r w:rsidRPr="005871A9">
        <w:rPr>
          <w:lang w:val="nl-NL"/>
        </w:rPr>
        <w:t xml:space="preserve"> </w:t>
      </w:r>
      <w:r w:rsidR="00A8765E">
        <w:rPr>
          <w:lang w:val="nl-NL"/>
        </w:rPr>
        <w:t xml:space="preserve">Deze verplichting vloeit voort uit het humanitair oorlogsrecht. Strijdende partijen </w:t>
      </w:r>
      <w:r w:rsidRPr="00DC42CD" w:rsidR="008515C5">
        <w:rPr>
          <w:lang w:val="nl-NL"/>
        </w:rPr>
        <w:t>kunnen of willen vaak geen verantwoordelijkheid</w:t>
      </w:r>
      <w:r w:rsidR="008515C5">
        <w:rPr>
          <w:lang w:val="nl-NL"/>
        </w:rPr>
        <w:t xml:space="preserve"> nemen voor de bescherming van hun burgers</w:t>
      </w:r>
      <w:r w:rsidR="000A7AED">
        <w:rPr>
          <w:lang w:val="nl-NL"/>
        </w:rPr>
        <w:t>, terwijl d</w:t>
      </w:r>
      <w:r w:rsidRPr="005871A9" w:rsidR="000A7AED">
        <w:rPr>
          <w:lang w:val="nl-NL"/>
        </w:rPr>
        <w:t xml:space="preserve">uurzame vrede en wederopbouw </w:t>
      </w:r>
      <w:r w:rsidR="000A7AED">
        <w:rPr>
          <w:lang w:val="nl-NL"/>
        </w:rPr>
        <w:t>niet mogelijk zijn zonder die bescherming</w:t>
      </w:r>
      <w:r w:rsidR="001F6E45">
        <w:rPr>
          <w:lang w:val="nl-NL"/>
        </w:rPr>
        <w:t xml:space="preserve">. </w:t>
      </w:r>
      <w:r w:rsidR="00A8765E">
        <w:rPr>
          <w:lang w:val="nl-NL"/>
        </w:rPr>
        <w:t>De zorgelijke trend</w:t>
      </w:r>
      <w:r w:rsidR="00D96D5A">
        <w:rPr>
          <w:lang w:val="nl-NL"/>
        </w:rPr>
        <w:t>s</w:t>
      </w:r>
      <w:r w:rsidR="008515C5">
        <w:rPr>
          <w:lang w:val="nl-NL"/>
        </w:rPr>
        <w:t xml:space="preserve"> van de afgelopen jaren, waaronder de proliferatie van geweld door niet-statelijke actoren en de toename van</w:t>
      </w:r>
      <w:r w:rsidR="00A8765E">
        <w:rPr>
          <w:lang w:val="nl-NL"/>
        </w:rPr>
        <w:t xml:space="preserve"> oorlogvoering in dichtbevolkte (stedelijke) gebieden, en het doelbewust aanvallen van burgers als oorlogsmethode,</w:t>
      </w:r>
      <w:r w:rsidR="008515C5">
        <w:rPr>
          <w:lang w:val="nl-NL"/>
        </w:rPr>
        <w:t xml:space="preserve"> zetten door. Het aantal burgerslachtoffers in gewapende conflicten, </w:t>
      </w:r>
      <w:r w:rsidR="00D96D5A">
        <w:rPr>
          <w:lang w:val="nl-NL"/>
        </w:rPr>
        <w:t xml:space="preserve">onder wie </w:t>
      </w:r>
      <w:r w:rsidR="008515C5">
        <w:rPr>
          <w:lang w:val="nl-NL"/>
        </w:rPr>
        <w:t>veel vrouwen en kinderen, is de afgelopen jaren dan ook verder toegenomen.</w:t>
      </w:r>
    </w:p>
    <w:p w:rsidR="001A22E5" w:rsidP="00553293" w:rsidRDefault="008515C5">
      <w:pPr>
        <w:ind w:left="360"/>
        <w:rPr>
          <w:lang w:val="nl-NL"/>
        </w:rPr>
      </w:pPr>
      <w:r>
        <w:rPr>
          <w:lang w:val="nl-NL"/>
        </w:rPr>
        <w:t xml:space="preserve">Nederland onderkent dit </w:t>
      </w:r>
      <w:r w:rsidR="00A53D7A">
        <w:rPr>
          <w:lang w:val="nl-NL"/>
        </w:rPr>
        <w:t>probleem</w:t>
      </w:r>
      <w:r>
        <w:rPr>
          <w:lang w:val="nl-NL"/>
        </w:rPr>
        <w:t xml:space="preserve"> al geruime tijd, zowel in het kader van conflictpreventie als bij het tegengaan van de gevolgen van gewapend</w:t>
      </w:r>
      <w:r w:rsidR="005C5918">
        <w:rPr>
          <w:lang w:val="nl-NL"/>
        </w:rPr>
        <w:t>e</w:t>
      </w:r>
      <w:r>
        <w:rPr>
          <w:lang w:val="nl-NL"/>
        </w:rPr>
        <w:t xml:space="preserve"> conflicten</w:t>
      </w:r>
      <w:r w:rsidR="000A7AED">
        <w:rPr>
          <w:lang w:val="nl-NL"/>
        </w:rPr>
        <w:t>,</w:t>
      </w:r>
      <w:r>
        <w:rPr>
          <w:lang w:val="nl-NL"/>
        </w:rPr>
        <w:t xml:space="preserve"> in het bijzonder voor vrouwen en kwetsbare groepen. </w:t>
      </w:r>
      <w:r w:rsidR="007E2805">
        <w:rPr>
          <w:lang w:val="nl-NL"/>
        </w:rPr>
        <w:t>De regering meent dat a</w:t>
      </w:r>
      <w:r w:rsidRPr="007771F2" w:rsidR="001A22E5">
        <w:rPr>
          <w:lang w:val="nl-NL"/>
        </w:rPr>
        <w:t xml:space="preserve">ctiviteiten </w:t>
      </w:r>
      <w:r w:rsidR="000A7AED">
        <w:rPr>
          <w:lang w:val="nl-NL"/>
        </w:rPr>
        <w:t xml:space="preserve">ter </w:t>
      </w:r>
      <w:r w:rsidRPr="007771F2" w:rsidR="000A7AED">
        <w:rPr>
          <w:lang w:val="nl-NL"/>
        </w:rPr>
        <w:t xml:space="preserve">bescherming van </w:t>
      </w:r>
      <w:r w:rsidR="000A7AED">
        <w:rPr>
          <w:lang w:val="nl-NL"/>
        </w:rPr>
        <w:t xml:space="preserve">de </w:t>
      </w:r>
      <w:r w:rsidRPr="007771F2" w:rsidR="000A7AED">
        <w:rPr>
          <w:lang w:val="nl-NL"/>
        </w:rPr>
        <w:t>burger</w:t>
      </w:r>
      <w:r w:rsidR="000A7AED">
        <w:rPr>
          <w:lang w:val="nl-NL"/>
        </w:rPr>
        <w:t>bevolking vanuit moreel oogpunt van belang</w:t>
      </w:r>
      <w:r w:rsidR="007E2805">
        <w:rPr>
          <w:lang w:val="nl-NL"/>
        </w:rPr>
        <w:t xml:space="preserve"> zijn</w:t>
      </w:r>
      <w:r w:rsidR="000A7AED">
        <w:rPr>
          <w:lang w:val="nl-NL"/>
        </w:rPr>
        <w:t xml:space="preserve">. Ze leveren </w:t>
      </w:r>
      <w:r w:rsidR="001A22E5">
        <w:rPr>
          <w:lang w:val="nl-NL"/>
        </w:rPr>
        <w:t>een wezenlijke bijdrage aan de stabilisering van een conflict</w:t>
      </w:r>
      <w:r w:rsidR="00271236">
        <w:rPr>
          <w:lang w:val="nl-NL"/>
        </w:rPr>
        <w:t xml:space="preserve"> en betere sociale en economische vooruitzichten. </w:t>
      </w:r>
      <w:r w:rsidR="00A8765E">
        <w:rPr>
          <w:lang w:val="nl-NL"/>
        </w:rPr>
        <w:t>Ook heeft de regering</w:t>
      </w:r>
      <w:r w:rsidR="001A22E5">
        <w:rPr>
          <w:lang w:val="nl-NL"/>
        </w:rPr>
        <w:t xml:space="preserve"> op basis van artikel 90 van de Grondwet de plicht de </w:t>
      </w:r>
      <w:r w:rsidR="00A8765E">
        <w:rPr>
          <w:lang w:val="nl-NL"/>
        </w:rPr>
        <w:t xml:space="preserve">ontwikkeling van de </w:t>
      </w:r>
      <w:r w:rsidR="001A22E5">
        <w:rPr>
          <w:lang w:val="nl-NL"/>
        </w:rPr>
        <w:t xml:space="preserve">internationale rechtsorde te bevorderen. </w:t>
      </w:r>
      <w:r w:rsidR="00271236">
        <w:rPr>
          <w:lang w:val="nl-NL"/>
        </w:rPr>
        <w:t>Kortom, d</w:t>
      </w:r>
      <w:r w:rsidR="001A22E5">
        <w:rPr>
          <w:lang w:val="nl-NL"/>
        </w:rPr>
        <w:t>e bescherming van burgers is een belangrijk thema in het Nederl</w:t>
      </w:r>
      <w:r w:rsidR="00A8765E">
        <w:rPr>
          <w:lang w:val="nl-NL"/>
        </w:rPr>
        <w:t>andse buitenlandse beleid op het gebied van</w:t>
      </w:r>
      <w:r w:rsidR="001A22E5">
        <w:rPr>
          <w:lang w:val="nl-NL"/>
        </w:rPr>
        <w:t xml:space="preserve"> conflicthantering.</w:t>
      </w:r>
    </w:p>
    <w:p w:rsidR="008515C5" w:rsidP="00553293" w:rsidRDefault="007E2805">
      <w:pPr>
        <w:ind w:left="360"/>
        <w:rPr>
          <w:lang w:val="nl-NL"/>
        </w:rPr>
      </w:pPr>
      <w:r>
        <w:rPr>
          <w:lang w:val="nl-NL"/>
        </w:rPr>
        <w:t>In d</w:t>
      </w:r>
      <w:r w:rsidR="00A8765E">
        <w:rPr>
          <w:lang w:val="nl-NL"/>
        </w:rPr>
        <w:t xml:space="preserve">eze beleidsnotitie </w:t>
      </w:r>
      <w:r w:rsidR="008515C5">
        <w:rPr>
          <w:lang w:val="nl-NL"/>
        </w:rPr>
        <w:t xml:space="preserve">wordt </w:t>
      </w:r>
      <w:r w:rsidR="00D92990">
        <w:rPr>
          <w:lang w:val="nl-NL"/>
        </w:rPr>
        <w:t xml:space="preserve">toegelicht hoe de bescherming van burgers verankerd is in </w:t>
      </w:r>
      <w:r w:rsidR="008515C5">
        <w:rPr>
          <w:lang w:val="nl-NL"/>
        </w:rPr>
        <w:t>het Nederlandse beleid</w:t>
      </w:r>
      <w:r w:rsidR="001729DF">
        <w:rPr>
          <w:lang w:val="nl-NL"/>
        </w:rPr>
        <w:t xml:space="preserve"> </w:t>
      </w:r>
      <w:r w:rsidR="008515C5">
        <w:rPr>
          <w:lang w:val="nl-NL"/>
        </w:rPr>
        <w:t xml:space="preserve">aan de hand van </w:t>
      </w:r>
      <w:r w:rsidR="00271236">
        <w:rPr>
          <w:lang w:val="nl-NL"/>
        </w:rPr>
        <w:t>een aantal beleidslijnen</w:t>
      </w:r>
      <w:r w:rsidR="008515C5">
        <w:rPr>
          <w:lang w:val="nl-NL"/>
        </w:rPr>
        <w:t xml:space="preserve">. </w:t>
      </w:r>
      <w:r w:rsidR="00882955">
        <w:rPr>
          <w:lang w:val="nl-NL"/>
        </w:rPr>
        <w:t xml:space="preserve">Deze beleidsnotitie </w:t>
      </w:r>
      <w:r w:rsidR="00D92990">
        <w:rPr>
          <w:lang w:val="nl-NL"/>
        </w:rPr>
        <w:t xml:space="preserve">moet worden gezien in samenhang met </w:t>
      </w:r>
      <w:r w:rsidR="00882955">
        <w:rPr>
          <w:lang w:val="nl-NL"/>
        </w:rPr>
        <w:t>de Kamerbrief Veiligheid en Rechtsorde (Kamerstuk 32605, nr.94), waarin de Nederlandse inzet op het gebied van conflictpreventie en vredesopbouw in prioritaire landen uiteengezet is.</w:t>
      </w:r>
    </w:p>
    <w:p w:rsidR="00553293" w:rsidP="00553293" w:rsidRDefault="00553293">
      <w:pPr>
        <w:ind w:left="360"/>
        <w:rPr>
          <w:lang w:val="nl-NL"/>
        </w:rPr>
      </w:pPr>
    </w:p>
    <w:p w:rsidRPr="00DC42CD" w:rsidR="008515C5" w:rsidP="00977672" w:rsidRDefault="006B4E98">
      <w:pPr>
        <w:pStyle w:val="ListParagraph"/>
        <w:numPr>
          <w:ilvl w:val="0"/>
          <w:numId w:val="1"/>
        </w:numPr>
        <w:ind w:left="360"/>
        <w:rPr>
          <w:b/>
          <w:lang w:val="nl-NL"/>
        </w:rPr>
      </w:pPr>
      <w:r w:rsidRPr="00DC42CD">
        <w:rPr>
          <w:b/>
          <w:lang w:val="nl-NL"/>
        </w:rPr>
        <w:t>B</w:t>
      </w:r>
      <w:r w:rsidRPr="00DC42CD" w:rsidR="008515C5">
        <w:rPr>
          <w:b/>
          <w:lang w:val="nl-NL"/>
        </w:rPr>
        <w:t xml:space="preserve">escherming van </w:t>
      </w:r>
      <w:r w:rsidRPr="00DC42CD">
        <w:rPr>
          <w:b/>
          <w:lang w:val="nl-NL"/>
        </w:rPr>
        <w:t>burgers:</w:t>
      </w:r>
      <w:r w:rsidRPr="00DC42CD" w:rsidR="008515C5">
        <w:rPr>
          <w:b/>
          <w:lang w:val="nl-NL"/>
        </w:rPr>
        <w:t xml:space="preserve"> van theorie naar praktijk</w:t>
      </w:r>
    </w:p>
    <w:p w:rsidRPr="001729DF" w:rsidR="008515C5" w:rsidP="00861CDA" w:rsidRDefault="006B4E98">
      <w:pPr>
        <w:ind w:left="349" w:firstLine="11"/>
        <w:rPr>
          <w:i/>
          <w:lang w:val="nl-NL"/>
        </w:rPr>
      </w:pPr>
      <w:r>
        <w:rPr>
          <w:i/>
          <w:lang w:val="nl-NL"/>
        </w:rPr>
        <w:t>C</w:t>
      </w:r>
      <w:r w:rsidRPr="001729DF" w:rsidR="00863FE4">
        <w:rPr>
          <w:i/>
          <w:lang w:val="nl-NL"/>
        </w:rPr>
        <w:t>onceptuele ontwikkeling</w:t>
      </w:r>
    </w:p>
    <w:p w:rsidR="008515C5" w:rsidP="00861CDA" w:rsidRDefault="008515C5">
      <w:pPr>
        <w:ind w:left="349" w:firstLine="11"/>
        <w:rPr>
          <w:lang w:val="nl-NL"/>
        </w:rPr>
      </w:pPr>
      <w:r>
        <w:rPr>
          <w:lang w:val="nl-NL"/>
        </w:rPr>
        <w:t>De internationale aandacht voor de bescherming van burgers in gewapende conflicten komt vooral tot uiting in het werk van de Verenigde Naties (VN). De VN bespreekt en ontwikkelt richtlijnen en instrumenten</w:t>
      </w:r>
      <w:r w:rsidR="001F6E45">
        <w:rPr>
          <w:lang w:val="nl-NL"/>
        </w:rPr>
        <w:t xml:space="preserve"> op dit gebied</w:t>
      </w:r>
      <w:r>
        <w:rPr>
          <w:lang w:val="nl-NL"/>
        </w:rPr>
        <w:t>.</w:t>
      </w:r>
      <w:r>
        <w:rPr>
          <w:rStyle w:val="FootnoteReference"/>
          <w:lang w:val="nl-NL"/>
        </w:rPr>
        <w:footnoteReference w:id="1"/>
      </w:r>
      <w:r>
        <w:rPr>
          <w:lang w:val="nl-NL"/>
        </w:rPr>
        <w:t xml:space="preserve"> Zowel het rapport ‘Charting a New Horizon’ als het gezaghebbende Brahimi-rapport beschouwen het vermogen van de VN om burgers te beschermen als bepalend voor de geloofwaardigheid en legitimiteit van de organisatie.</w:t>
      </w:r>
      <w:r>
        <w:rPr>
          <w:rStyle w:val="FootnoteReference"/>
          <w:lang w:val="nl-NL"/>
        </w:rPr>
        <w:footnoteReference w:id="2"/>
      </w:r>
      <w:r>
        <w:rPr>
          <w:lang w:val="nl-NL"/>
        </w:rPr>
        <w:t xml:space="preserve"> In de afgelopen jaren heeft de VN-Veiligheidsraad de bescherming van burgers verschillende keren als hoofddoel gedefinieerd in het mandaat voor internationale interventies.</w:t>
      </w:r>
      <w:r>
        <w:rPr>
          <w:rStyle w:val="FootnoteReference"/>
          <w:lang w:val="nl-NL"/>
        </w:rPr>
        <w:footnoteReference w:id="3"/>
      </w:r>
      <w:r>
        <w:rPr>
          <w:lang w:val="nl-NL"/>
        </w:rPr>
        <w:t xml:space="preserve"> </w:t>
      </w:r>
      <w:r w:rsidR="00EE01A7">
        <w:rPr>
          <w:lang w:val="nl-NL"/>
        </w:rPr>
        <w:t xml:space="preserve">Maar ook buiten internationale interventies </w:t>
      </w:r>
      <w:r w:rsidR="006B4E98">
        <w:rPr>
          <w:lang w:val="nl-NL"/>
        </w:rPr>
        <w:t>en</w:t>
      </w:r>
      <w:r w:rsidR="00EE01A7">
        <w:rPr>
          <w:lang w:val="nl-NL"/>
        </w:rPr>
        <w:t xml:space="preserve"> de VN-Veiligheidsraad </w:t>
      </w:r>
      <w:r w:rsidR="006B4E98">
        <w:rPr>
          <w:lang w:val="nl-NL"/>
        </w:rPr>
        <w:t xml:space="preserve">is de VN </w:t>
      </w:r>
      <w:r w:rsidR="00EE01A7">
        <w:rPr>
          <w:lang w:val="nl-NL"/>
        </w:rPr>
        <w:t>dagelijks actief op het gebied van</w:t>
      </w:r>
      <w:r w:rsidR="005C5918">
        <w:rPr>
          <w:lang w:val="nl-NL"/>
        </w:rPr>
        <w:t xml:space="preserve"> de</w:t>
      </w:r>
      <w:r w:rsidR="00EE01A7">
        <w:rPr>
          <w:lang w:val="nl-NL"/>
        </w:rPr>
        <w:t xml:space="preserve"> bescherming van burgers, </w:t>
      </w:r>
      <w:r w:rsidR="005C5918">
        <w:rPr>
          <w:lang w:val="nl-NL"/>
        </w:rPr>
        <w:t xml:space="preserve">bijvoorbeeld door het </w:t>
      </w:r>
      <w:r w:rsidR="00EE01A7">
        <w:rPr>
          <w:lang w:val="nl-NL"/>
        </w:rPr>
        <w:t xml:space="preserve">bieden van bescherming aan vluchtelingen en ontheemden via o.a. het verlenen van humanitaire hulp. </w:t>
      </w:r>
    </w:p>
    <w:p w:rsidRPr="007546C5" w:rsidR="008515C5" w:rsidP="00E76589" w:rsidRDefault="008515C5">
      <w:pPr>
        <w:ind w:left="360" w:firstLine="11"/>
        <w:rPr>
          <w:rFonts w:cs="Arial"/>
          <w:szCs w:val="18"/>
        </w:rPr>
      </w:pPr>
      <w:r>
        <w:rPr>
          <w:rFonts w:cs="Arial"/>
          <w:szCs w:val="18"/>
          <w:lang w:val="nl-NL"/>
        </w:rPr>
        <w:lastRenderedPageBreak/>
        <w:t>Het beleid ten aanzien van de b</w:t>
      </w:r>
      <w:r w:rsidRPr="003B2C92">
        <w:rPr>
          <w:rFonts w:cs="Arial"/>
          <w:szCs w:val="18"/>
          <w:lang w:val="nl-NL"/>
        </w:rPr>
        <w:t xml:space="preserve">escherming van </w:t>
      </w:r>
      <w:r>
        <w:rPr>
          <w:rFonts w:cs="Arial"/>
          <w:szCs w:val="18"/>
          <w:lang w:val="nl-NL"/>
        </w:rPr>
        <w:t xml:space="preserve">de burgerbevolking </w:t>
      </w:r>
      <w:r w:rsidRPr="003B2C92">
        <w:rPr>
          <w:rFonts w:cs="Arial"/>
          <w:szCs w:val="18"/>
          <w:lang w:val="nl-NL"/>
        </w:rPr>
        <w:t>in gewapend</w:t>
      </w:r>
      <w:r w:rsidR="005C5918">
        <w:rPr>
          <w:rFonts w:cs="Arial"/>
          <w:szCs w:val="18"/>
          <w:lang w:val="nl-NL"/>
        </w:rPr>
        <w:t>e</w:t>
      </w:r>
      <w:r w:rsidRPr="003B2C92">
        <w:rPr>
          <w:rFonts w:cs="Arial"/>
          <w:szCs w:val="18"/>
          <w:lang w:val="nl-NL"/>
        </w:rPr>
        <w:t xml:space="preserve"> conflict</w:t>
      </w:r>
      <w:r w:rsidR="005C5918">
        <w:rPr>
          <w:rFonts w:cs="Arial"/>
          <w:szCs w:val="18"/>
          <w:lang w:val="nl-NL"/>
        </w:rPr>
        <w:t>en</w:t>
      </w:r>
      <w:r w:rsidRPr="003B2C92">
        <w:rPr>
          <w:rFonts w:cs="Arial"/>
          <w:szCs w:val="18"/>
          <w:lang w:val="nl-NL"/>
        </w:rPr>
        <w:t xml:space="preserve"> is internationaal </w:t>
      </w:r>
      <w:r>
        <w:rPr>
          <w:rFonts w:cs="Arial"/>
          <w:szCs w:val="18"/>
          <w:lang w:val="nl-NL"/>
        </w:rPr>
        <w:t xml:space="preserve">nog </w:t>
      </w:r>
      <w:r w:rsidRPr="003B2C92">
        <w:rPr>
          <w:rFonts w:cs="Arial"/>
          <w:szCs w:val="18"/>
          <w:lang w:val="nl-NL"/>
        </w:rPr>
        <w:t>in ontwikkeling</w:t>
      </w:r>
      <w:r>
        <w:rPr>
          <w:rFonts w:cs="Arial"/>
          <w:szCs w:val="18"/>
          <w:lang w:val="nl-NL"/>
        </w:rPr>
        <w:t>.</w:t>
      </w:r>
      <w:r w:rsidRPr="003B2C92">
        <w:rPr>
          <w:rFonts w:cs="Arial"/>
          <w:szCs w:val="18"/>
          <w:lang w:val="nl-NL"/>
        </w:rPr>
        <w:t xml:space="preserve"> </w:t>
      </w:r>
      <w:r w:rsidRPr="001729DF" w:rsidR="00863FE4">
        <w:rPr>
          <w:rFonts w:cs="Arial"/>
          <w:szCs w:val="18"/>
          <w:lang w:val="nl-NL"/>
        </w:rPr>
        <w:t xml:space="preserve">Er bestaat geen internationaal geaccepteerde definitie. </w:t>
      </w:r>
      <w:r w:rsidR="004F321E">
        <w:rPr>
          <w:rFonts w:cs="Arial"/>
          <w:szCs w:val="18"/>
          <w:lang w:val="nl-NL"/>
        </w:rPr>
        <w:t xml:space="preserve">In rapporten </w:t>
      </w:r>
      <w:r w:rsidR="005C5918">
        <w:rPr>
          <w:rFonts w:cs="Arial"/>
          <w:szCs w:val="18"/>
          <w:lang w:val="nl-NL"/>
        </w:rPr>
        <w:t xml:space="preserve">en mandaten </w:t>
      </w:r>
      <w:r w:rsidR="004F321E">
        <w:rPr>
          <w:rFonts w:cs="Arial"/>
          <w:szCs w:val="18"/>
          <w:lang w:val="nl-NL"/>
        </w:rPr>
        <w:t>van de VN worden</w:t>
      </w:r>
      <w:r w:rsidR="005C5918">
        <w:rPr>
          <w:rFonts w:cs="Arial"/>
          <w:szCs w:val="18"/>
          <w:lang w:val="nl-NL"/>
        </w:rPr>
        <w:t xml:space="preserve"> enkel</w:t>
      </w:r>
      <w:r w:rsidR="004F321E">
        <w:rPr>
          <w:rFonts w:cs="Arial"/>
          <w:szCs w:val="18"/>
          <w:lang w:val="nl-NL"/>
        </w:rPr>
        <w:t xml:space="preserve"> omschrijvingen gegeven</w:t>
      </w:r>
      <w:r w:rsidR="004F321E">
        <w:rPr>
          <w:rStyle w:val="FootnoteReference"/>
          <w:szCs w:val="18"/>
          <w:lang w:val="nl-NL"/>
        </w:rPr>
        <w:footnoteReference w:id="4"/>
      </w:r>
      <w:r w:rsidR="004F321E">
        <w:rPr>
          <w:rFonts w:cs="Arial"/>
          <w:szCs w:val="18"/>
          <w:lang w:val="nl-NL"/>
        </w:rPr>
        <w:t>.</w:t>
      </w:r>
      <w:r w:rsidR="005C5918">
        <w:rPr>
          <w:rFonts w:cs="Arial"/>
          <w:szCs w:val="18"/>
          <w:lang w:val="nl-NL"/>
        </w:rPr>
        <w:t xml:space="preserve"> </w:t>
      </w:r>
      <w:r w:rsidRPr="004F321E" w:rsidR="00863FE4">
        <w:rPr>
          <w:rFonts w:cs="Arial"/>
          <w:szCs w:val="18"/>
          <w:lang w:val="nl-NL"/>
        </w:rPr>
        <w:t xml:space="preserve">Het </w:t>
      </w:r>
      <w:r w:rsidRPr="004F321E" w:rsidR="00863FE4">
        <w:rPr>
          <w:rFonts w:cs="Arial"/>
          <w:i/>
          <w:szCs w:val="18"/>
          <w:lang w:val="nl-NL"/>
        </w:rPr>
        <w:t>Inter-Agency Standing Committee</w:t>
      </w:r>
      <w:r w:rsidRPr="004F321E" w:rsidR="00863FE4">
        <w:rPr>
          <w:rFonts w:cs="Arial"/>
          <w:szCs w:val="18"/>
          <w:lang w:val="nl-NL"/>
        </w:rPr>
        <w:t xml:space="preserve">, het </w:t>
      </w:r>
      <w:r w:rsidR="00F77B6F">
        <w:rPr>
          <w:rFonts w:cs="Arial"/>
          <w:szCs w:val="18"/>
          <w:lang w:val="nl-NL"/>
        </w:rPr>
        <w:t xml:space="preserve">humanitaire </w:t>
      </w:r>
      <w:r w:rsidRPr="004F321E" w:rsidR="00863FE4">
        <w:rPr>
          <w:rFonts w:cs="Arial"/>
          <w:szCs w:val="18"/>
          <w:lang w:val="nl-NL"/>
        </w:rPr>
        <w:t>coördinatieorgaan van de humanitaire partners van de VN</w:t>
      </w:r>
      <w:r w:rsidR="00271236">
        <w:rPr>
          <w:rFonts w:cs="Arial"/>
          <w:szCs w:val="18"/>
          <w:lang w:val="nl-NL"/>
        </w:rPr>
        <w:t xml:space="preserve"> (niet als zodanig onderdeel van de VN)</w:t>
      </w:r>
      <w:r w:rsidRPr="004F321E" w:rsidR="00863FE4">
        <w:rPr>
          <w:rFonts w:cs="Arial"/>
          <w:szCs w:val="18"/>
          <w:lang w:val="nl-NL"/>
        </w:rPr>
        <w:t xml:space="preserve">, heeft </w:t>
      </w:r>
      <w:r w:rsidRPr="00882955" w:rsidR="00863FE4">
        <w:rPr>
          <w:rFonts w:cs="Arial"/>
          <w:szCs w:val="18"/>
          <w:lang w:val="nl-NL"/>
        </w:rPr>
        <w:t>de bescher</w:t>
      </w:r>
      <w:r w:rsidR="002F1FCE">
        <w:rPr>
          <w:rFonts w:cs="Arial"/>
          <w:szCs w:val="18"/>
          <w:lang w:val="nl-NL"/>
        </w:rPr>
        <w:t xml:space="preserve">ming van burgerbevolking in </w:t>
      </w:r>
      <w:r w:rsidRPr="00882955" w:rsidR="00863FE4">
        <w:rPr>
          <w:rFonts w:cs="Arial"/>
          <w:szCs w:val="18"/>
          <w:lang w:val="nl-NL"/>
        </w:rPr>
        <w:t>gewapend</w:t>
      </w:r>
      <w:r w:rsidR="002F1FCE">
        <w:rPr>
          <w:rFonts w:cs="Arial"/>
          <w:szCs w:val="18"/>
          <w:lang w:val="nl-NL"/>
        </w:rPr>
        <w:t>e</w:t>
      </w:r>
      <w:r w:rsidRPr="00882955" w:rsidR="00863FE4">
        <w:rPr>
          <w:rFonts w:cs="Arial"/>
          <w:szCs w:val="18"/>
          <w:lang w:val="nl-NL"/>
        </w:rPr>
        <w:t xml:space="preserve"> conflict</w:t>
      </w:r>
      <w:r w:rsidR="002F1FCE">
        <w:rPr>
          <w:rFonts w:cs="Arial"/>
          <w:szCs w:val="18"/>
          <w:lang w:val="nl-NL"/>
        </w:rPr>
        <w:t>en</w:t>
      </w:r>
      <w:r w:rsidRPr="00882955" w:rsidR="00863FE4">
        <w:rPr>
          <w:rFonts w:cs="Arial"/>
          <w:szCs w:val="18"/>
          <w:lang w:val="nl-NL"/>
        </w:rPr>
        <w:t xml:space="preserve"> </w:t>
      </w:r>
      <w:r w:rsidRPr="00882955" w:rsidR="00863FE4">
        <w:rPr>
          <w:lang w:val="nl-NL"/>
        </w:rPr>
        <w:t xml:space="preserve">ruim gedefinieerd als: </w:t>
      </w:r>
      <w:r w:rsidR="007546C5">
        <w:rPr>
          <w:lang w:val="nl-NL"/>
        </w:rPr>
        <w:t>“</w:t>
      </w:r>
      <w:r w:rsidRPr="007546C5" w:rsidR="00863FE4">
        <w:rPr>
          <w:rFonts w:cs="Arial"/>
          <w:szCs w:val="18"/>
          <w:lang w:val="nl-NL"/>
        </w:rPr>
        <w:t>all activities aimed at ensuring full respect for the rights of the individual in accordance with the letter and spirit of the relevant bodies of law (i.e. human rights law, international humanitarian law and refugee law)</w:t>
      </w:r>
      <w:r w:rsidR="007546C5">
        <w:rPr>
          <w:rFonts w:cs="Arial"/>
          <w:szCs w:val="18"/>
          <w:lang w:val="nl-NL"/>
        </w:rPr>
        <w:t>”</w:t>
      </w:r>
      <w:r w:rsidRPr="007546C5" w:rsidR="00863FE4">
        <w:rPr>
          <w:rFonts w:cs="Arial"/>
          <w:szCs w:val="18"/>
          <w:lang w:val="nl-NL"/>
        </w:rPr>
        <w:t>.</w:t>
      </w:r>
      <w:r w:rsidRPr="007546C5">
        <w:rPr>
          <w:rStyle w:val="FootnoteReference"/>
          <w:rFonts w:cs="Arial"/>
          <w:szCs w:val="18"/>
        </w:rPr>
        <w:footnoteReference w:id="5"/>
      </w:r>
      <w:r w:rsidRPr="007546C5" w:rsidR="00863FE4">
        <w:rPr>
          <w:rFonts w:cs="Arial"/>
          <w:szCs w:val="18"/>
          <w:lang w:val="nl-NL"/>
        </w:rPr>
        <w:t xml:space="preserve"> </w:t>
      </w:r>
      <w:r w:rsidRPr="007546C5">
        <w:rPr>
          <w:rFonts w:cs="Arial"/>
          <w:szCs w:val="18"/>
        </w:rPr>
        <w:t xml:space="preserve">‘Bescherming’ wordt in dit kader omschreven als: </w:t>
      </w:r>
      <w:r w:rsidR="007546C5">
        <w:rPr>
          <w:rFonts w:cs="Arial"/>
          <w:szCs w:val="18"/>
        </w:rPr>
        <w:t>“</w:t>
      </w:r>
      <w:r w:rsidRPr="007546C5">
        <w:rPr>
          <w:rFonts w:cs="Arial"/>
          <w:szCs w:val="18"/>
        </w:rPr>
        <w:t>Any activity…aimed at creating an environment conducive to respect for human beings, preventing or alleviating the immediate effects of a specific pattern of abuse, and restoring dignified conditions of life through reparation,</w:t>
      </w:r>
      <w:r w:rsidR="007546C5">
        <w:rPr>
          <w:rFonts w:cs="Arial"/>
          <w:szCs w:val="18"/>
        </w:rPr>
        <w:t xml:space="preserve"> restitution and rehabilitation”</w:t>
      </w:r>
      <w:r w:rsidRPr="007546C5">
        <w:rPr>
          <w:rFonts w:cs="Arial"/>
          <w:szCs w:val="18"/>
        </w:rPr>
        <w:t>.</w:t>
      </w:r>
    </w:p>
    <w:p w:rsidRPr="001729DF" w:rsidR="008515C5" w:rsidP="00E76589" w:rsidRDefault="00863FE4">
      <w:pPr>
        <w:pStyle w:val="ListParagraph"/>
        <w:ind w:left="371"/>
        <w:rPr>
          <w:i/>
          <w:lang w:val="nl-NL"/>
        </w:rPr>
      </w:pPr>
      <w:r w:rsidRPr="001729DF">
        <w:rPr>
          <w:i/>
          <w:lang w:val="nl-NL"/>
        </w:rPr>
        <w:t>Actoren</w:t>
      </w:r>
    </w:p>
    <w:p w:rsidRPr="00445C89" w:rsidR="008515C5" w:rsidP="00E76589" w:rsidRDefault="008515C5">
      <w:pPr>
        <w:ind w:left="371"/>
        <w:rPr>
          <w:lang w:val="nl-NL"/>
        </w:rPr>
      </w:pPr>
      <w:r>
        <w:rPr>
          <w:lang w:val="nl-NL"/>
        </w:rPr>
        <w:t xml:space="preserve">De </w:t>
      </w:r>
      <w:r>
        <w:rPr>
          <w:i/>
          <w:lang w:val="nl-NL"/>
        </w:rPr>
        <w:t>primaire</w:t>
      </w:r>
      <w:r>
        <w:rPr>
          <w:lang w:val="nl-NL"/>
        </w:rPr>
        <w:t xml:space="preserve"> verantwoordelijkheid in het kader van de bescherming van burgers ligt bij de strijdende partijen in een gewapend</w:t>
      </w:r>
      <w:r w:rsidR="002F1FCE">
        <w:rPr>
          <w:lang w:val="nl-NL"/>
        </w:rPr>
        <w:t>e</w:t>
      </w:r>
      <w:r>
        <w:rPr>
          <w:lang w:val="nl-NL"/>
        </w:rPr>
        <w:t xml:space="preserve"> conflict</w:t>
      </w:r>
      <w:r w:rsidR="002F1FCE">
        <w:rPr>
          <w:lang w:val="nl-NL"/>
        </w:rPr>
        <w:t>en</w:t>
      </w:r>
      <w:r>
        <w:rPr>
          <w:lang w:val="nl-NL"/>
        </w:rPr>
        <w:t xml:space="preserve"> (staten of georganiseerde gewapende groepen). De VN-Veiligheidsraad kan vredes- of wederopbouwmissies autoriseren waarbij de VN, regionale organisaties of groepen staten (militaire) middelen kunnen aanwenden om burgers te beschermen. </w:t>
      </w:r>
    </w:p>
    <w:p w:rsidR="008515C5" w:rsidP="00E76589" w:rsidRDefault="008515C5">
      <w:pPr>
        <w:pStyle w:val="ListParagraph"/>
        <w:ind w:left="371"/>
        <w:rPr>
          <w:lang w:val="nl-NL"/>
        </w:rPr>
      </w:pPr>
      <w:r>
        <w:rPr>
          <w:lang w:val="nl-NL"/>
        </w:rPr>
        <w:t>Humanitaire organisaties, zoals gespecialiseerde organisaties van de VN, niet-g</w:t>
      </w:r>
      <w:r w:rsidR="003F205B">
        <w:rPr>
          <w:lang w:val="nl-NL"/>
        </w:rPr>
        <w:t>ouvernementele organisaties en de</w:t>
      </w:r>
      <w:r>
        <w:rPr>
          <w:lang w:val="nl-NL"/>
        </w:rPr>
        <w:t xml:space="preserve"> Internationale Rode Kruis</w:t>
      </w:r>
      <w:r w:rsidR="003F205B">
        <w:rPr>
          <w:lang w:val="nl-NL"/>
        </w:rPr>
        <w:t xml:space="preserve"> Beweging</w:t>
      </w:r>
      <w:r>
        <w:rPr>
          <w:lang w:val="nl-NL"/>
        </w:rPr>
        <w:t>, opereren op basis van eigen standaarden en uitgangspunten</w:t>
      </w:r>
      <w:r w:rsidR="00271236">
        <w:rPr>
          <w:lang w:val="nl-NL"/>
        </w:rPr>
        <w:t xml:space="preserve"> (onder de paraplu van het humanitair oorlogsrecht)</w:t>
      </w:r>
      <w:r w:rsidR="001F6E45">
        <w:rPr>
          <w:lang w:val="nl-NL"/>
        </w:rPr>
        <w:t>.</w:t>
      </w:r>
      <w:r>
        <w:rPr>
          <w:rStyle w:val="FootnoteReference"/>
          <w:lang w:val="nl-NL"/>
        </w:rPr>
        <w:footnoteReference w:id="6"/>
      </w:r>
      <w:r>
        <w:rPr>
          <w:lang w:val="nl-NL"/>
        </w:rPr>
        <w:t xml:space="preserve"> Zij kunnen staten en</w:t>
      </w:r>
      <w:r w:rsidR="003F205B">
        <w:rPr>
          <w:lang w:val="nl-NL"/>
        </w:rPr>
        <w:t xml:space="preserve"> andere</w:t>
      </w:r>
      <w:r>
        <w:rPr>
          <w:lang w:val="nl-NL"/>
        </w:rPr>
        <w:t xml:space="preserve"> bij het gewapend conflict betrokken partijen wijzen op hun verplichtingen met betrekking tot de bescherming van de burgerbevolking en pleiten voor toegang voor humanitaire hulpverleners. Bij humanitaire operaties wordt voor het verlenen van humanitaire hulp </w:t>
      </w:r>
      <w:r w:rsidR="00271236">
        <w:rPr>
          <w:lang w:val="nl-NL"/>
        </w:rPr>
        <w:t>alleen</w:t>
      </w:r>
      <w:r>
        <w:rPr>
          <w:lang w:val="nl-NL"/>
        </w:rPr>
        <w:t xml:space="preserve"> </w:t>
      </w:r>
      <w:r w:rsidR="003F205B">
        <w:rPr>
          <w:lang w:val="nl-NL"/>
        </w:rPr>
        <w:t>(</w:t>
      </w:r>
      <w:r>
        <w:rPr>
          <w:lang w:val="nl-NL"/>
        </w:rPr>
        <w:t>buitenlandse</w:t>
      </w:r>
      <w:r w:rsidR="003F205B">
        <w:rPr>
          <w:lang w:val="nl-NL"/>
        </w:rPr>
        <w:t>)</w:t>
      </w:r>
      <w:r>
        <w:rPr>
          <w:lang w:val="nl-NL"/>
        </w:rPr>
        <w:t xml:space="preserve"> militaire capaciteit ingezet als de strijdende partijen en civiele organisaties hiertoe niet in staat zijn (het </w:t>
      </w:r>
      <w:r w:rsidRPr="00A8096A">
        <w:rPr>
          <w:i/>
          <w:lang w:val="nl-NL"/>
        </w:rPr>
        <w:t>last resort</w:t>
      </w:r>
      <w:r>
        <w:rPr>
          <w:lang w:val="nl-NL"/>
        </w:rPr>
        <w:t xml:space="preserve"> principe).</w:t>
      </w:r>
      <w:r>
        <w:rPr>
          <w:rStyle w:val="FootnoteReference"/>
          <w:lang w:val="nl-NL"/>
        </w:rPr>
        <w:footnoteReference w:id="7"/>
      </w:r>
      <w:r>
        <w:rPr>
          <w:lang w:val="nl-NL"/>
        </w:rPr>
        <w:t xml:space="preserve"> </w:t>
      </w:r>
    </w:p>
    <w:p w:rsidRPr="005106B4" w:rsidR="008515C5" w:rsidP="00E755DD" w:rsidRDefault="00771D6E">
      <w:pPr>
        <w:ind w:firstLine="349"/>
        <w:rPr>
          <w:i/>
          <w:color w:val="000000"/>
          <w:lang w:val="nl-NL"/>
        </w:rPr>
      </w:pPr>
      <w:r>
        <w:rPr>
          <w:i/>
          <w:color w:val="000000"/>
          <w:lang w:val="nl-NL"/>
        </w:rPr>
        <w:t>Juridisch kader</w:t>
      </w:r>
    </w:p>
    <w:p w:rsidRPr="001F6E45" w:rsidR="00863FE4" w:rsidP="00DC42CD" w:rsidRDefault="008515C5">
      <w:pPr>
        <w:pStyle w:val="NoSpacing"/>
        <w:shd w:val="clear" w:color="auto" w:fill="FFFFFF"/>
        <w:ind w:left="349"/>
        <w:rPr>
          <w:lang w:val="nl-NL"/>
        </w:rPr>
      </w:pPr>
      <w:r w:rsidRPr="001F6E45">
        <w:rPr>
          <w:lang w:val="nl-NL"/>
        </w:rPr>
        <w:t>De</w:t>
      </w:r>
      <w:r w:rsidR="00771D6E">
        <w:rPr>
          <w:lang w:val="nl-NL"/>
        </w:rPr>
        <w:t xml:space="preserve"> plicht tot de</w:t>
      </w:r>
      <w:r w:rsidRPr="001F6E45">
        <w:rPr>
          <w:lang w:val="nl-NL"/>
        </w:rPr>
        <w:t xml:space="preserve"> bescherming van burgers in gewapend</w:t>
      </w:r>
      <w:r w:rsidR="002F1FCE">
        <w:rPr>
          <w:lang w:val="nl-NL"/>
        </w:rPr>
        <w:t>e</w:t>
      </w:r>
      <w:r w:rsidRPr="001F6E45">
        <w:rPr>
          <w:lang w:val="nl-NL"/>
        </w:rPr>
        <w:t xml:space="preserve"> conflict</w:t>
      </w:r>
      <w:r w:rsidR="002F1FCE">
        <w:rPr>
          <w:lang w:val="nl-NL"/>
        </w:rPr>
        <w:t>en</w:t>
      </w:r>
      <w:r w:rsidRPr="001F6E45">
        <w:rPr>
          <w:lang w:val="nl-NL"/>
        </w:rPr>
        <w:t xml:space="preserve"> berust op bepalingen uit het humanitair oorlogsrecht, mensenrechtenverdragen en het vluchtelingenrecht:</w:t>
      </w:r>
    </w:p>
    <w:p w:rsidRPr="001F6E45" w:rsidR="008515C5" w:rsidP="00E755DD" w:rsidRDefault="008515C5">
      <w:pPr>
        <w:pStyle w:val="NoSpacing"/>
        <w:shd w:val="clear" w:color="auto" w:fill="FFFFFF"/>
        <w:rPr>
          <w:lang w:val="nl-NL"/>
        </w:rPr>
      </w:pPr>
    </w:p>
    <w:p w:rsidRPr="001F6E45" w:rsidR="008515C5" w:rsidP="00E755DD" w:rsidRDefault="008515C5">
      <w:pPr>
        <w:pStyle w:val="NoSpacing"/>
        <w:numPr>
          <w:ilvl w:val="0"/>
          <w:numId w:val="2"/>
        </w:numPr>
        <w:shd w:val="clear" w:color="auto" w:fill="FFFFFF"/>
        <w:rPr>
          <w:lang w:val="nl-NL"/>
        </w:rPr>
      </w:pPr>
      <w:r w:rsidRPr="001F6E45">
        <w:rPr>
          <w:lang w:val="nl-NL"/>
        </w:rPr>
        <w:t xml:space="preserve">Het </w:t>
      </w:r>
      <w:r w:rsidR="00771D6E">
        <w:rPr>
          <w:u w:val="single"/>
          <w:lang w:val="nl-NL"/>
        </w:rPr>
        <w:t>humanitair oorlogsrecht</w:t>
      </w:r>
      <w:r w:rsidR="00771D6E">
        <w:rPr>
          <w:lang w:val="nl-NL"/>
        </w:rPr>
        <w:t xml:space="preserve"> bevat </w:t>
      </w:r>
      <w:r w:rsidRPr="001F6E45">
        <w:rPr>
          <w:lang w:val="nl-NL"/>
        </w:rPr>
        <w:t>regels</w:t>
      </w:r>
      <w:r w:rsidR="00771D6E">
        <w:rPr>
          <w:lang w:val="nl-NL"/>
        </w:rPr>
        <w:t xml:space="preserve"> die om humanitaire redenen de gevolgen van gewapende conflicten proberen te beperken.</w:t>
      </w:r>
      <w:r w:rsidRPr="001F6E45">
        <w:rPr>
          <w:lang w:val="nl-NL"/>
        </w:rPr>
        <w:t xml:space="preserve"> Personen, </w:t>
      </w:r>
      <w:r w:rsidR="00D96D5A">
        <w:rPr>
          <w:lang w:val="nl-NL"/>
        </w:rPr>
        <w:t>onder wie</w:t>
      </w:r>
      <w:r w:rsidRPr="001F6E45">
        <w:rPr>
          <w:lang w:val="nl-NL"/>
        </w:rPr>
        <w:t xml:space="preserve"> burgers, die niet, of niet langer, deelnemen aan de </w:t>
      </w:r>
      <w:r w:rsidRPr="001F6E45" w:rsidR="00AF78B9">
        <w:rPr>
          <w:lang w:val="nl-NL"/>
        </w:rPr>
        <w:t>vijandelijkheden</w:t>
      </w:r>
      <w:r w:rsidRPr="001F6E45">
        <w:rPr>
          <w:lang w:val="nl-NL"/>
        </w:rPr>
        <w:t xml:space="preserve"> mogen, net als civiele objecten, niet worden aangevallen</w:t>
      </w:r>
      <w:r w:rsidR="00771D6E">
        <w:rPr>
          <w:lang w:val="nl-NL"/>
        </w:rPr>
        <w:t xml:space="preserve">. Burgers </w:t>
      </w:r>
      <w:r w:rsidRPr="001F6E45">
        <w:rPr>
          <w:lang w:val="nl-NL"/>
        </w:rPr>
        <w:t xml:space="preserve">dienen </w:t>
      </w:r>
      <w:r w:rsidR="00271236">
        <w:rPr>
          <w:lang w:val="nl-NL"/>
        </w:rPr>
        <w:t xml:space="preserve">te </w:t>
      </w:r>
      <w:r w:rsidRPr="001F6E45">
        <w:rPr>
          <w:lang w:val="nl-NL"/>
        </w:rPr>
        <w:t>worden ontzien en beschermd.</w:t>
      </w:r>
      <w:r w:rsidR="00771D6E">
        <w:rPr>
          <w:lang w:val="nl-NL"/>
        </w:rPr>
        <w:t xml:space="preserve"> Aanvallen op militaire doelen waarbij schade dreigt </w:t>
      </w:r>
      <w:r w:rsidR="005C5918">
        <w:rPr>
          <w:lang w:val="nl-NL"/>
        </w:rPr>
        <w:t>voor burgers</w:t>
      </w:r>
      <w:r w:rsidR="00771D6E">
        <w:rPr>
          <w:lang w:val="nl-NL"/>
        </w:rPr>
        <w:t>, mogen alleen plaatsvinden indien deze schade niet disproportioneel is ten opzichte van het militair</w:t>
      </w:r>
      <w:r w:rsidR="005C5918">
        <w:rPr>
          <w:lang w:val="nl-NL"/>
        </w:rPr>
        <w:t>e</w:t>
      </w:r>
      <w:r w:rsidR="00771D6E">
        <w:rPr>
          <w:lang w:val="nl-NL"/>
        </w:rPr>
        <w:t xml:space="preserve"> voordeel.</w:t>
      </w:r>
      <w:r w:rsidRPr="001F6E45">
        <w:rPr>
          <w:lang w:val="nl-NL"/>
        </w:rPr>
        <w:t xml:space="preserve"> Tevens dienen strijdende partijen humanitaire hulp toe te staan aan de getroffen burgerbevolking, indien daarin onvoldoende wordt voorzien</w:t>
      </w:r>
      <w:r w:rsidRPr="001F6E45" w:rsidR="00AF78B9">
        <w:rPr>
          <w:lang w:val="nl-NL"/>
        </w:rPr>
        <w:t>.</w:t>
      </w:r>
    </w:p>
    <w:p w:rsidRPr="001F6E45" w:rsidR="008515C5" w:rsidP="00E755DD" w:rsidRDefault="008515C5">
      <w:pPr>
        <w:pStyle w:val="NoSpacing"/>
        <w:shd w:val="clear" w:color="auto" w:fill="FFFFFF"/>
        <w:rPr>
          <w:lang w:val="nl-NL"/>
        </w:rPr>
      </w:pPr>
    </w:p>
    <w:p w:rsidRPr="001F6E45" w:rsidR="008515C5" w:rsidP="00E755DD" w:rsidRDefault="008515C5">
      <w:pPr>
        <w:pStyle w:val="NoSpacing"/>
        <w:numPr>
          <w:ilvl w:val="0"/>
          <w:numId w:val="2"/>
        </w:numPr>
        <w:rPr>
          <w:color w:val="000000"/>
          <w:lang w:val="nl-NL"/>
        </w:rPr>
      </w:pPr>
      <w:r w:rsidRPr="001F6E45">
        <w:rPr>
          <w:color w:val="000000"/>
          <w:u w:val="single"/>
          <w:lang w:val="nl-NL"/>
        </w:rPr>
        <w:t>Mensenrechten</w:t>
      </w:r>
      <w:r w:rsidRPr="001F6E45">
        <w:rPr>
          <w:color w:val="000000"/>
          <w:lang w:val="nl-NL"/>
        </w:rPr>
        <w:t xml:space="preserve"> </w:t>
      </w:r>
      <w:r w:rsidR="00771D6E">
        <w:rPr>
          <w:color w:val="000000"/>
          <w:lang w:val="nl-NL"/>
        </w:rPr>
        <w:t>gelden ook</w:t>
      </w:r>
      <w:r w:rsidRPr="001F6E45" w:rsidR="00771D6E">
        <w:rPr>
          <w:color w:val="000000"/>
          <w:lang w:val="nl-NL"/>
        </w:rPr>
        <w:t xml:space="preserve"> in gewapende conflicten, behoudens internationaalrechtelijk erkende uitzonderingen. </w:t>
      </w:r>
      <w:r w:rsidR="00771D6E">
        <w:rPr>
          <w:color w:val="000000"/>
          <w:lang w:val="nl-NL"/>
        </w:rPr>
        <w:t>Van sommige mensenrechten, zoals bijvoorbeeld het verbod op marteling, mag zelfs in een noodtoestand niet worden afgeweken. Indien in een gewapend conflict zowel het humanitair oorlogsrecht als een mensenrechtenverdrag van toepassing is, is b</w:t>
      </w:r>
      <w:r w:rsidRPr="001F6E45" w:rsidR="00771D6E">
        <w:rPr>
          <w:color w:val="000000"/>
          <w:lang w:val="nl-NL"/>
        </w:rPr>
        <w:t>ij conflicterende bepalingen het humanitair oorlogsrecht leidend.</w:t>
      </w:r>
    </w:p>
    <w:p w:rsidRPr="001F6E45" w:rsidR="008515C5" w:rsidP="00E755DD" w:rsidRDefault="008515C5">
      <w:pPr>
        <w:pStyle w:val="NoSpacing"/>
        <w:rPr>
          <w:color w:val="000000"/>
          <w:lang w:val="nl-NL"/>
        </w:rPr>
      </w:pPr>
    </w:p>
    <w:p w:rsidRPr="001F6E45" w:rsidR="008515C5" w:rsidP="00E755DD" w:rsidRDefault="008515C5">
      <w:pPr>
        <w:pStyle w:val="NoSpacing"/>
        <w:numPr>
          <w:ilvl w:val="0"/>
          <w:numId w:val="2"/>
        </w:numPr>
        <w:rPr>
          <w:color w:val="000000"/>
          <w:lang w:val="nl-NL"/>
        </w:rPr>
      </w:pPr>
      <w:r w:rsidRPr="001F6E45">
        <w:rPr>
          <w:color w:val="000000"/>
          <w:lang w:val="nl-NL"/>
        </w:rPr>
        <w:t xml:space="preserve">Het </w:t>
      </w:r>
      <w:r w:rsidRPr="001F6E45">
        <w:rPr>
          <w:color w:val="000000"/>
          <w:u w:val="single"/>
          <w:lang w:val="nl-NL"/>
        </w:rPr>
        <w:t>vluchtelingenrecht</w:t>
      </w:r>
      <w:r w:rsidRPr="001F6E45">
        <w:rPr>
          <w:color w:val="000000"/>
          <w:lang w:val="nl-NL"/>
        </w:rPr>
        <w:t xml:space="preserve"> biedt speciale bescherming aan personen die hun land </w:t>
      </w:r>
      <w:r w:rsidRPr="001F6E45" w:rsidR="00FB2729">
        <w:rPr>
          <w:color w:val="000000"/>
          <w:lang w:val="nl-NL"/>
        </w:rPr>
        <w:t xml:space="preserve">of woonplaats </w:t>
      </w:r>
      <w:r w:rsidRPr="001F6E45">
        <w:rPr>
          <w:color w:val="000000"/>
          <w:lang w:val="nl-NL"/>
        </w:rPr>
        <w:t xml:space="preserve">zijn ontvlucht om te ontsnappen aan onrechtmatige vervolging of geweld. Het garandeert </w:t>
      </w:r>
      <w:r w:rsidRPr="001F6E45">
        <w:rPr>
          <w:color w:val="000000"/>
          <w:lang w:val="nl-NL"/>
        </w:rPr>
        <w:lastRenderedPageBreak/>
        <w:t>onder andere dat vluchtelingen die vrezen voor lijf en leden bij terugkeer naar hun land van herkomst niet mogen worden teruggestuurd.</w:t>
      </w:r>
    </w:p>
    <w:p w:rsidRPr="001F6E45" w:rsidR="008515C5" w:rsidP="00E755DD" w:rsidRDefault="008515C5">
      <w:pPr>
        <w:pStyle w:val="NoSpacing"/>
        <w:rPr>
          <w:color w:val="000000"/>
          <w:lang w:val="nl-NL"/>
        </w:rPr>
      </w:pPr>
    </w:p>
    <w:p w:rsidRPr="001F6E45" w:rsidR="008515C5" w:rsidP="00E755DD" w:rsidRDefault="008515C5">
      <w:pPr>
        <w:pStyle w:val="NoSpacing"/>
        <w:numPr>
          <w:ilvl w:val="0"/>
          <w:numId w:val="2"/>
        </w:numPr>
        <w:rPr>
          <w:color w:val="000000"/>
          <w:lang w:val="nl-NL"/>
        </w:rPr>
      </w:pPr>
      <w:r w:rsidRPr="001F6E45">
        <w:rPr>
          <w:color w:val="000000"/>
          <w:lang w:val="nl-NL"/>
        </w:rPr>
        <w:t>De meest ernstige schendingen van het humanitair oorlogsrecht en mensenrechten, namelijk genocide, misdr</w:t>
      </w:r>
      <w:r w:rsidR="00771D6E">
        <w:rPr>
          <w:color w:val="000000"/>
          <w:lang w:val="nl-NL"/>
        </w:rPr>
        <w:t>ijven tegen de menselijkheid,</w:t>
      </w:r>
      <w:r w:rsidRPr="001F6E45">
        <w:rPr>
          <w:color w:val="000000"/>
          <w:lang w:val="nl-NL"/>
        </w:rPr>
        <w:t xml:space="preserve"> oorlogsmisdrijven</w:t>
      </w:r>
      <w:r w:rsidR="00771D6E">
        <w:rPr>
          <w:color w:val="000000"/>
          <w:lang w:val="nl-NL"/>
        </w:rPr>
        <w:t xml:space="preserve"> en het misdrijf agressie</w:t>
      </w:r>
      <w:r w:rsidRPr="001F6E45">
        <w:rPr>
          <w:color w:val="000000"/>
          <w:lang w:val="nl-NL"/>
        </w:rPr>
        <w:t xml:space="preserve">, zijn strafbaar gesteld onder het </w:t>
      </w:r>
      <w:r w:rsidRPr="001F6E45">
        <w:rPr>
          <w:color w:val="000000"/>
          <w:u w:val="single"/>
          <w:lang w:val="nl-NL"/>
        </w:rPr>
        <w:t>internationaal strafrecht.</w:t>
      </w:r>
      <w:r w:rsidRPr="001F6E45">
        <w:rPr>
          <w:color w:val="000000"/>
          <w:lang w:val="nl-NL"/>
        </w:rPr>
        <w:t xml:space="preserve"> Verdachten van dergelijke misdrijven kunnen onder voorwaarde</w:t>
      </w:r>
      <w:r w:rsidRPr="001F6E45" w:rsidR="001F6E45">
        <w:rPr>
          <w:color w:val="000000"/>
          <w:lang w:val="nl-NL"/>
        </w:rPr>
        <w:t>n</w:t>
      </w:r>
      <w:r w:rsidRPr="001F6E45">
        <w:rPr>
          <w:color w:val="000000"/>
          <w:lang w:val="nl-NL"/>
        </w:rPr>
        <w:t xml:space="preserve"> door nationale en internationale tribunalen worden berecht.</w:t>
      </w:r>
    </w:p>
    <w:p w:rsidR="001729DF" w:rsidP="00DC42CD" w:rsidRDefault="001729DF">
      <w:pPr>
        <w:pStyle w:val="NoSpacing"/>
        <w:ind w:left="709"/>
        <w:rPr>
          <w:color w:val="000000"/>
          <w:highlight w:val="yellow"/>
          <w:lang w:val="nl-NL"/>
        </w:rPr>
      </w:pPr>
    </w:p>
    <w:p w:rsidRPr="00271236" w:rsidR="008515C5" w:rsidP="00E755DD" w:rsidRDefault="00863FE4">
      <w:pPr>
        <w:pStyle w:val="ListParagraph"/>
        <w:ind w:left="426"/>
        <w:rPr>
          <w:i/>
        </w:rPr>
      </w:pPr>
      <w:r w:rsidRPr="00271236">
        <w:rPr>
          <w:i/>
        </w:rPr>
        <w:t xml:space="preserve">De relatie met </w:t>
      </w:r>
      <w:r w:rsidRPr="00271236" w:rsidR="00271236">
        <w:rPr>
          <w:i/>
        </w:rPr>
        <w:t>“</w:t>
      </w:r>
      <w:r w:rsidRPr="00271236">
        <w:rPr>
          <w:i/>
        </w:rPr>
        <w:t>Responsibility to Protect</w:t>
      </w:r>
      <w:r w:rsidR="00271236">
        <w:rPr>
          <w:i/>
        </w:rPr>
        <w:t>”</w:t>
      </w:r>
    </w:p>
    <w:p w:rsidRPr="00271236" w:rsidR="008515C5" w:rsidP="00E755DD" w:rsidRDefault="008515C5">
      <w:pPr>
        <w:pStyle w:val="ListParagraph"/>
        <w:ind w:left="426"/>
      </w:pPr>
    </w:p>
    <w:p w:rsidR="00C50484" w:rsidP="00C50484" w:rsidRDefault="00C50484">
      <w:pPr>
        <w:pStyle w:val="ListParagraph"/>
        <w:ind w:left="426"/>
        <w:rPr>
          <w:lang w:val="nl-NL"/>
        </w:rPr>
      </w:pPr>
      <w:r>
        <w:rPr>
          <w:lang w:val="nl-NL"/>
        </w:rPr>
        <w:t>In het debat over de bescherming van burgers in gewapend</w:t>
      </w:r>
      <w:r w:rsidR="00D63F3D">
        <w:rPr>
          <w:lang w:val="nl-NL"/>
        </w:rPr>
        <w:t>e</w:t>
      </w:r>
      <w:r>
        <w:rPr>
          <w:lang w:val="nl-NL"/>
        </w:rPr>
        <w:t xml:space="preserve"> conflict</w:t>
      </w:r>
      <w:r w:rsidR="00D63F3D">
        <w:rPr>
          <w:lang w:val="nl-NL"/>
        </w:rPr>
        <w:t>en</w:t>
      </w:r>
      <w:r>
        <w:rPr>
          <w:lang w:val="nl-NL"/>
        </w:rPr>
        <w:t xml:space="preserve"> wordt ook vaak de </w:t>
      </w:r>
      <w:r w:rsidRPr="00A8096A">
        <w:rPr>
          <w:i/>
          <w:lang w:val="nl-NL"/>
        </w:rPr>
        <w:t xml:space="preserve">Responsibility to Protect </w:t>
      </w:r>
      <w:r>
        <w:rPr>
          <w:lang w:val="nl-NL"/>
        </w:rPr>
        <w:t>genoemd. Dit concept richt zich op voorkoming van vier internationale misdrijven - genocide, oorlogsmisdrijven, misdrijven tegen de menselijkheid en etnische zuiveringen. Het begrip</w:t>
      </w:r>
      <w:r w:rsidR="00A53D7A">
        <w:rPr>
          <w:lang w:val="nl-NL"/>
        </w:rPr>
        <w:t xml:space="preserve"> bescherming van burgers in </w:t>
      </w:r>
      <w:r>
        <w:rPr>
          <w:lang w:val="nl-NL"/>
        </w:rPr>
        <w:t>gewapend</w:t>
      </w:r>
      <w:r w:rsidR="00D63F3D">
        <w:rPr>
          <w:lang w:val="nl-NL"/>
        </w:rPr>
        <w:t>e</w:t>
      </w:r>
      <w:r>
        <w:rPr>
          <w:lang w:val="nl-NL"/>
        </w:rPr>
        <w:t xml:space="preserve"> conflict</w:t>
      </w:r>
      <w:r w:rsidR="00D63F3D">
        <w:rPr>
          <w:lang w:val="nl-NL"/>
        </w:rPr>
        <w:t>en</w:t>
      </w:r>
      <w:r w:rsidR="00A53D7A">
        <w:rPr>
          <w:lang w:val="nl-NL"/>
        </w:rPr>
        <w:t>, zoals verwoord in VN-verband,</w:t>
      </w:r>
      <w:r>
        <w:rPr>
          <w:lang w:val="nl-NL"/>
        </w:rPr>
        <w:t xml:space="preserve"> omvat alle activiteiten die kunnen worden ondernomen om de veiligheid en waardigheid van mensen te verbeteren, maar is beperkt tot situaties van gewapend</w:t>
      </w:r>
      <w:r w:rsidR="00A53D7A">
        <w:rPr>
          <w:lang w:val="nl-NL"/>
        </w:rPr>
        <w:t>e</w:t>
      </w:r>
      <w:r>
        <w:rPr>
          <w:lang w:val="nl-NL"/>
        </w:rPr>
        <w:t xml:space="preserve"> conflict</w:t>
      </w:r>
      <w:r w:rsidR="00A53D7A">
        <w:rPr>
          <w:lang w:val="nl-NL"/>
        </w:rPr>
        <w:t>en</w:t>
      </w:r>
      <w:r>
        <w:rPr>
          <w:lang w:val="nl-NL"/>
        </w:rPr>
        <w:t>. De concepten hebben dus een verschillende achtergrond maar zijn wel gebaseerd op gemeenschappelijke uitgangspunten. Zo ligt de nadruk op het voorkomen van schendingen van het toepasselijk recht. Verder hebben internationale actoren een ondersteunende rol en er bestaat eensgezindheid dat de bescherming van burgers in gewapend</w:t>
      </w:r>
      <w:r w:rsidR="002F1FCE">
        <w:rPr>
          <w:lang w:val="nl-NL"/>
        </w:rPr>
        <w:t>e</w:t>
      </w:r>
      <w:r>
        <w:rPr>
          <w:lang w:val="nl-NL"/>
        </w:rPr>
        <w:t xml:space="preserve"> conflict</w:t>
      </w:r>
      <w:r w:rsidR="002F1FCE">
        <w:rPr>
          <w:lang w:val="nl-NL"/>
        </w:rPr>
        <w:t>en</w:t>
      </w:r>
      <w:r>
        <w:rPr>
          <w:lang w:val="nl-NL"/>
        </w:rPr>
        <w:t xml:space="preserve"> en de </w:t>
      </w:r>
      <w:r w:rsidRPr="00A8096A">
        <w:rPr>
          <w:i/>
          <w:lang w:val="nl-NL"/>
        </w:rPr>
        <w:t>Responsibility to Protect</w:t>
      </w:r>
      <w:r>
        <w:rPr>
          <w:lang w:val="nl-NL"/>
        </w:rPr>
        <w:t xml:space="preserve"> </w:t>
      </w:r>
      <w:r w:rsidRPr="003604E4">
        <w:rPr>
          <w:lang w:val="nl-NL"/>
        </w:rPr>
        <w:t>niet</w:t>
      </w:r>
      <w:r>
        <w:rPr>
          <w:lang w:val="nl-NL"/>
        </w:rPr>
        <w:t xml:space="preserve"> per definitie gepaard gaan met een militaire interventie.</w:t>
      </w:r>
    </w:p>
    <w:p w:rsidR="008515C5" w:rsidP="002907F5" w:rsidRDefault="008515C5">
      <w:pPr>
        <w:pStyle w:val="ListParagraph"/>
        <w:ind w:left="426"/>
        <w:rPr>
          <w:lang w:val="nl-NL"/>
        </w:rPr>
      </w:pPr>
    </w:p>
    <w:p w:rsidR="008515C5" w:rsidP="002907F5" w:rsidRDefault="00863FE4">
      <w:pPr>
        <w:pStyle w:val="ListParagraph"/>
        <w:ind w:left="426"/>
        <w:rPr>
          <w:lang w:val="nl-NL"/>
        </w:rPr>
      </w:pPr>
      <w:r w:rsidRPr="001729DF">
        <w:rPr>
          <w:i/>
          <w:lang w:val="nl-NL"/>
        </w:rPr>
        <w:t>De bescherming van de burgerbevolking in de praktijk</w:t>
      </w:r>
    </w:p>
    <w:p w:rsidRPr="001729DF" w:rsidR="008515C5" w:rsidP="002907F5" w:rsidRDefault="005C5918">
      <w:pPr>
        <w:ind w:left="426" w:firstLine="11"/>
        <w:rPr>
          <w:rFonts w:cs="Arial"/>
          <w:i/>
          <w:szCs w:val="18"/>
          <w:lang w:val="nl-NL"/>
        </w:rPr>
      </w:pPr>
      <w:r>
        <w:rPr>
          <w:lang w:val="nl-NL"/>
        </w:rPr>
        <w:t xml:space="preserve">De meeste crisisbeheersings- en vredesmissies, zowel van de VN, de NAVO als de EU, zijn gebaseerd op </w:t>
      </w:r>
      <w:r w:rsidR="008D4218">
        <w:rPr>
          <w:lang w:val="nl-NL"/>
        </w:rPr>
        <w:t xml:space="preserve">een resolutie van de VN-Veiligheidsraad. Daarin is de bescherming van de burgerbevolking vaak expliciet opgenomen als onderdeel van het mandaat. </w:t>
      </w:r>
      <w:r w:rsidR="008515C5">
        <w:rPr>
          <w:lang w:val="nl-NL"/>
        </w:rPr>
        <w:t>De casus van Liberia</w:t>
      </w:r>
      <w:r w:rsidR="001729DF">
        <w:rPr>
          <w:lang w:val="nl-NL"/>
        </w:rPr>
        <w:t xml:space="preserve">, waar in 2003 de VN-missie UNMIL </w:t>
      </w:r>
      <w:r w:rsidR="00271236">
        <w:rPr>
          <w:lang w:val="nl-NL"/>
        </w:rPr>
        <w:t>van start is gegaan</w:t>
      </w:r>
      <w:r w:rsidR="001729DF">
        <w:rPr>
          <w:lang w:val="nl-NL"/>
        </w:rPr>
        <w:t>,</w:t>
      </w:r>
      <w:r w:rsidR="002907F5">
        <w:rPr>
          <w:lang w:val="nl-NL"/>
        </w:rPr>
        <w:t xml:space="preserve"> </w:t>
      </w:r>
      <w:r w:rsidR="001F6E45">
        <w:rPr>
          <w:lang w:val="nl-NL"/>
        </w:rPr>
        <w:t>is een goed voorbeeld van hoe internationale actie op het gebied van de bescherming van de burgerbevolking een bijdrage kan leveren aan een stabiele en duurzame vrede in een land.</w:t>
      </w:r>
      <w:r w:rsidR="008515C5">
        <w:rPr>
          <w:lang w:val="nl-NL"/>
        </w:rPr>
        <w:t xml:space="preserve"> </w:t>
      </w:r>
      <w:r w:rsidR="001F6E45">
        <w:rPr>
          <w:lang w:val="nl-NL"/>
        </w:rPr>
        <w:t>E</w:t>
      </w:r>
      <w:r w:rsidR="008515C5">
        <w:rPr>
          <w:lang w:val="nl-NL"/>
        </w:rPr>
        <w:t xml:space="preserve">en van de taken </w:t>
      </w:r>
      <w:r w:rsidR="001F6E45">
        <w:rPr>
          <w:lang w:val="nl-NL"/>
        </w:rPr>
        <w:t xml:space="preserve">van UNMIL is </w:t>
      </w:r>
      <w:r w:rsidR="008515C5">
        <w:rPr>
          <w:lang w:val="nl-NL"/>
        </w:rPr>
        <w:t>de bescherming van burgers. De ondersteuning aan de Liberiaanse regering in de vorm van de robuuste houding en zichtbaarheid van UNMIL-militairen</w:t>
      </w:r>
      <w:r w:rsidR="001D521B">
        <w:rPr>
          <w:lang w:val="nl-NL"/>
        </w:rPr>
        <w:t>, de verleende humanitaire hulp aan vluchtelingen en ontheemden</w:t>
      </w:r>
      <w:r w:rsidR="008515C5">
        <w:rPr>
          <w:lang w:val="nl-NL"/>
        </w:rPr>
        <w:t xml:space="preserve"> en de ondersteuning van donoren aan de opbouw van de veiligheidssector heeft ertoe bijgedragen dat de </w:t>
      </w:r>
      <w:r w:rsidR="001F6E45">
        <w:rPr>
          <w:lang w:val="nl-NL"/>
        </w:rPr>
        <w:t>veiligheids</w:t>
      </w:r>
      <w:r w:rsidR="008515C5">
        <w:rPr>
          <w:lang w:val="nl-NL"/>
        </w:rPr>
        <w:t xml:space="preserve">situatie stabiliseerde. </w:t>
      </w:r>
    </w:p>
    <w:p w:rsidRPr="00E300AC" w:rsidR="00E300AC" w:rsidP="00E300AC" w:rsidRDefault="00E300AC">
      <w:pPr>
        <w:ind w:left="426"/>
        <w:rPr>
          <w:szCs w:val="18"/>
          <w:lang w:val="nl-NL"/>
        </w:rPr>
      </w:pPr>
      <w:r w:rsidRPr="00E300AC">
        <w:rPr>
          <w:szCs w:val="18"/>
          <w:lang w:val="nl-NL"/>
        </w:rPr>
        <w:t xml:space="preserve">Ook de NAVO heeft de bescherming van de burgerbevolking in gewapende conflicten hoog in het vaandel staan. Dit beïnvloedt de wijze van opereren in internationale militaire operaties, zoals </w:t>
      </w:r>
      <w:r w:rsidRPr="00E300AC">
        <w:rPr>
          <w:i/>
          <w:iCs/>
          <w:szCs w:val="18"/>
          <w:lang w:val="nl-NL"/>
        </w:rPr>
        <w:t xml:space="preserve">Operation Unified </w:t>
      </w:r>
      <w:r w:rsidRPr="00E300AC">
        <w:rPr>
          <w:i/>
          <w:szCs w:val="18"/>
          <w:lang w:val="nl-NL"/>
        </w:rPr>
        <w:t>Protector</w:t>
      </w:r>
      <w:r w:rsidRPr="00E300AC">
        <w:rPr>
          <w:szCs w:val="18"/>
          <w:lang w:val="nl-NL"/>
        </w:rPr>
        <w:t xml:space="preserve"> in Libië in 2011. Ook bij optreden op de grond is veiligheid van en contact met de lokale burgerbevolking een belangrijk uitgangspunt (b</w:t>
      </w:r>
      <w:r>
        <w:rPr>
          <w:szCs w:val="18"/>
          <w:lang w:val="nl-NL"/>
        </w:rPr>
        <w:t>ijvoorbeeld in</w:t>
      </w:r>
      <w:r w:rsidR="00A53D7A">
        <w:rPr>
          <w:szCs w:val="18"/>
          <w:lang w:val="nl-NL"/>
        </w:rPr>
        <w:t xml:space="preserve"> de</w:t>
      </w:r>
      <w:r>
        <w:rPr>
          <w:szCs w:val="18"/>
          <w:lang w:val="nl-NL"/>
        </w:rPr>
        <w:t xml:space="preserve"> missies</w:t>
      </w:r>
      <w:r w:rsidRPr="00E300AC">
        <w:rPr>
          <w:szCs w:val="18"/>
          <w:lang w:val="nl-NL"/>
        </w:rPr>
        <w:t xml:space="preserve"> KFOR</w:t>
      </w:r>
      <w:r>
        <w:rPr>
          <w:szCs w:val="18"/>
          <w:lang w:val="nl-NL"/>
        </w:rPr>
        <w:t xml:space="preserve"> en</w:t>
      </w:r>
      <w:r w:rsidRPr="00E300AC">
        <w:rPr>
          <w:szCs w:val="18"/>
          <w:lang w:val="nl-NL"/>
        </w:rPr>
        <w:t xml:space="preserve"> ISAF) en beoogt </w:t>
      </w:r>
      <w:r w:rsidR="00A53D7A">
        <w:rPr>
          <w:szCs w:val="18"/>
          <w:lang w:val="nl-NL"/>
        </w:rPr>
        <w:t xml:space="preserve">de </w:t>
      </w:r>
      <w:r w:rsidRPr="00E300AC">
        <w:rPr>
          <w:szCs w:val="18"/>
          <w:lang w:val="nl-NL"/>
        </w:rPr>
        <w:t>NAVO de eigen inzet te laten aansluiten bij de civiele en diplomatieke inzet (“comprehensive ap</w:t>
      </w:r>
      <w:r>
        <w:rPr>
          <w:szCs w:val="18"/>
          <w:lang w:val="nl-NL"/>
        </w:rPr>
        <w:t>proach”). Verder</w:t>
      </w:r>
      <w:r w:rsidRPr="00E300AC">
        <w:rPr>
          <w:szCs w:val="18"/>
          <w:lang w:val="nl-NL"/>
        </w:rPr>
        <w:t xml:space="preserve"> hebben bij militair optreden alle NAVO-landen op grond van het humanitair oorlogsrecht de verplichting om zo veel mogelijk te voorkomen dat er burgerslachtoffers vallen. </w:t>
      </w:r>
      <w:r w:rsidR="00A53D7A">
        <w:rPr>
          <w:szCs w:val="18"/>
          <w:lang w:val="nl-NL"/>
        </w:rPr>
        <w:t>D</w:t>
      </w:r>
      <w:r w:rsidRPr="00E300AC">
        <w:rPr>
          <w:szCs w:val="18"/>
          <w:lang w:val="nl-NL"/>
        </w:rPr>
        <w:t>e NAVO</w:t>
      </w:r>
      <w:r w:rsidR="00A53D7A">
        <w:rPr>
          <w:szCs w:val="18"/>
          <w:lang w:val="nl-NL"/>
        </w:rPr>
        <w:t xml:space="preserve"> besteedt</w:t>
      </w:r>
      <w:r w:rsidRPr="00E300AC">
        <w:rPr>
          <w:szCs w:val="18"/>
          <w:lang w:val="nl-NL"/>
        </w:rPr>
        <w:t xml:space="preserve"> binnen haar operaties speciale aandacht aan de positie van vrouwen en kinderen in gewapende conflicten.</w:t>
      </w:r>
    </w:p>
    <w:p w:rsidR="00C50484" w:rsidP="00C50484" w:rsidRDefault="008515C5">
      <w:pPr>
        <w:ind w:left="426"/>
        <w:rPr>
          <w:lang w:val="nl-NL"/>
        </w:rPr>
      </w:pPr>
      <w:r>
        <w:rPr>
          <w:lang w:val="nl-NL"/>
        </w:rPr>
        <w:t>De Europese Unie (EU) heeft in 2003 richtlijnen opgesteld voor de bescherming van burgers in crisisbeheersingsoperaties</w:t>
      </w:r>
      <w:r w:rsidRPr="003B2C92">
        <w:rPr>
          <w:lang w:val="nl-NL"/>
        </w:rPr>
        <w:t xml:space="preserve">. Begin 2012 </w:t>
      </w:r>
      <w:r>
        <w:rPr>
          <w:lang w:val="nl-NL"/>
        </w:rPr>
        <w:t xml:space="preserve">zijn </w:t>
      </w:r>
      <w:r w:rsidRPr="003B2C92">
        <w:rPr>
          <w:lang w:val="nl-NL"/>
        </w:rPr>
        <w:t>de</w:t>
      </w:r>
      <w:r>
        <w:rPr>
          <w:lang w:val="nl-NL"/>
        </w:rPr>
        <w:t>ze richtlijnen in nauw overleg met de VN</w:t>
      </w:r>
      <w:r w:rsidRPr="003B2C92">
        <w:rPr>
          <w:lang w:val="nl-NL"/>
        </w:rPr>
        <w:t xml:space="preserve"> geactualiseerd. De meeste EU</w:t>
      </w:r>
      <w:r>
        <w:rPr>
          <w:lang w:val="nl-NL"/>
        </w:rPr>
        <w:t>-</w:t>
      </w:r>
      <w:r w:rsidRPr="003B2C92">
        <w:rPr>
          <w:lang w:val="nl-NL"/>
        </w:rPr>
        <w:t xml:space="preserve">missies en </w:t>
      </w:r>
      <w:r>
        <w:rPr>
          <w:lang w:val="nl-NL"/>
        </w:rPr>
        <w:t>-</w:t>
      </w:r>
      <w:r w:rsidRPr="003B2C92">
        <w:rPr>
          <w:lang w:val="nl-NL"/>
        </w:rPr>
        <w:t xml:space="preserve">operaties </w:t>
      </w:r>
      <w:r>
        <w:rPr>
          <w:lang w:val="nl-NL"/>
        </w:rPr>
        <w:t xml:space="preserve">houden verband met de </w:t>
      </w:r>
      <w:r w:rsidRPr="003B2C92">
        <w:rPr>
          <w:lang w:val="nl-NL"/>
        </w:rPr>
        <w:t>bescherming van de burgerbevolki</w:t>
      </w:r>
      <w:r>
        <w:rPr>
          <w:lang w:val="nl-NL"/>
        </w:rPr>
        <w:t xml:space="preserve">ng. Zo was het hoofddoel van de </w:t>
      </w:r>
      <w:r w:rsidRPr="003B2C92">
        <w:rPr>
          <w:lang w:val="nl-NL"/>
        </w:rPr>
        <w:t>EUFOR</w:t>
      </w:r>
      <w:r>
        <w:rPr>
          <w:lang w:val="nl-NL"/>
        </w:rPr>
        <w:t>-</w:t>
      </w:r>
      <w:r w:rsidRPr="003B2C92">
        <w:rPr>
          <w:lang w:val="nl-NL"/>
        </w:rPr>
        <w:t xml:space="preserve">missie </w:t>
      </w:r>
      <w:r>
        <w:rPr>
          <w:lang w:val="nl-NL"/>
        </w:rPr>
        <w:t xml:space="preserve">in Tsjaad </w:t>
      </w:r>
      <w:r w:rsidRPr="003B2C92">
        <w:rPr>
          <w:lang w:val="nl-NL"/>
        </w:rPr>
        <w:t xml:space="preserve">het </w:t>
      </w:r>
      <w:r>
        <w:rPr>
          <w:lang w:val="nl-NL"/>
        </w:rPr>
        <w:t>creëren</w:t>
      </w:r>
      <w:r w:rsidRPr="003B2C92">
        <w:rPr>
          <w:lang w:val="nl-NL"/>
        </w:rPr>
        <w:t xml:space="preserve"> van een veilige omgeving voor vluchteli</w:t>
      </w:r>
      <w:r>
        <w:rPr>
          <w:lang w:val="nl-NL"/>
        </w:rPr>
        <w:t xml:space="preserve">ngen en ontheemden. De </w:t>
      </w:r>
      <w:r w:rsidRPr="003B2C92">
        <w:rPr>
          <w:lang w:val="nl-NL"/>
        </w:rPr>
        <w:t>EUFOR A</w:t>
      </w:r>
      <w:r>
        <w:rPr>
          <w:lang w:val="nl-NL"/>
        </w:rPr>
        <w:t xml:space="preserve">lthea missie </w:t>
      </w:r>
      <w:r w:rsidRPr="003B2C92">
        <w:rPr>
          <w:lang w:val="nl-NL"/>
        </w:rPr>
        <w:t>in Bosnië</w:t>
      </w:r>
      <w:r>
        <w:rPr>
          <w:lang w:val="nl-NL"/>
        </w:rPr>
        <w:t>-</w:t>
      </w:r>
      <w:r w:rsidRPr="003B2C92">
        <w:rPr>
          <w:lang w:val="nl-NL"/>
        </w:rPr>
        <w:t xml:space="preserve">Herzegovina </w:t>
      </w:r>
      <w:r>
        <w:rPr>
          <w:lang w:val="nl-NL"/>
        </w:rPr>
        <w:t xml:space="preserve">beoogt </w:t>
      </w:r>
      <w:r w:rsidRPr="003B2C92">
        <w:rPr>
          <w:lang w:val="nl-NL"/>
        </w:rPr>
        <w:t xml:space="preserve">door </w:t>
      </w:r>
      <w:r>
        <w:rPr>
          <w:lang w:val="nl-NL"/>
        </w:rPr>
        <w:t xml:space="preserve">de </w:t>
      </w:r>
      <w:r w:rsidRPr="003B2C92">
        <w:rPr>
          <w:lang w:val="nl-NL"/>
        </w:rPr>
        <w:t>aanwezigheid van militairen bij te dragen aan een veilige omgeving waarin</w:t>
      </w:r>
      <w:r>
        <w:rPr>
          <w:lang w:val="nl-NL"/>
        </w:rPr>
        <w:t xml:space="preserve"> de</w:t>
      </w:r>
      <w:r w:rsidRPr="003B2C92">
        <w:rPr>
          <w:lang w:val="nl-NL"/>
        </w:rPr>
        <w:t xml:space="preserve"> hervatting van geweld wordt voorkomen. Ook </w:t>
      </w:r>
      <w:r>
        <w:rPr>
          <w:lang w:val="nl-NL"/>
        </w:rPr>
        <w:t xml:space="preserve">de </w:t>
      </w:r>
      <w:r w:rsidRPr="003B2C92">
        <w:rPr>
          <w:lang w:val="nl-NL"/>
        </w:rPr>
        <w:t xml:space="preserve">civiele missies </w:t>
      </w:r>
      <w:r>
        <w:rPr>
          <w:lang w:val="nl-NL"/>
        </w:rPr>
        <w:t xml:space="preserve">van de EU </w:t>
      </w:r>
      <w:r w:rsidRPr="003B2C92">
        <w:rPr>
          <w:lang w:val="nl-NL"/>
        </w:rPr>
        <w:t>drage</w:t>
      </w:r>
      <w:r>
        <w:rPr>
          <w:lang w:val="nl-NL"/>
        </w:rPr>
        <w:t xml:space="preserve">n bij </w:t>
      </w:r>
      <w:r w:rsidRPr="003B2C92">
        <w:rPr>
          <w:lang w:val="nl-NL"/>
        </w:rPr>
        <w:t xml:space="preserve">aan </w:t>
      </w:r>
      <w:r>
        <w:rPr>
          <w:lang w:val="nl-NL"/>
        </w:rPr>
        <w:t xml:space="preserve">de </w:t>
      </w:r>
      <w:r w:rsidRPr="003B2C92">
        <w:rPr>
          <w:lang w:val="nl-NL"/>
        </w:rPr>
        <w:t xml:space="preserve">bescherming van </w:t>
      </w:r>
      <w:r>
        <w:rPr>
          <w:lang w:val="nl-NL"/>
        </w:rPr>
        <w:t xml:space="preserve">de </w:t>
      </w:r>
      <w:r w:rsidRPr="003B2C92">
        <w:rPr>
          <w:lang w:val="nl-NL"/>
        </w:rPr>
        <w:t>burgerbevolking</w:t>
      </w:r>
      <w:r>
        <w:rPr>
          <w:lang w:val="nl-NL"/>
        </w:rPr>
        <w:t>, bijvoorbeeld</w:t>
      </w:r>
      <w:r w:rsidRPr="003B2C92">
        <w:rPr>
          <w:lang w:val="nl-NL"/>
        </w:rPr>
        <w:t xml:space="preserve"> door</w:t>
      </w:r>
      <w:r>
        <w:rPr>
          <w:lang w:val="nl-NL"/>
        </w:rPr>
        <w:t xml:space="preserve"> activiteiten gericht op de hervorming van de politie</w:t>
      </w:r>
      <w:r w:rsidRPr="003B2C92">
        <w:rPr>
          <w:lang w:val="nl-NL"/>
        </w:rPr>
        <w:t xml:space="preserve">, </w:t>
      </w:r>
      <w:r>
        <w:rPr>
          <w:lang w:val="nl-NL"/>
        </w:rPr>
        <w:t xml:space="preserve">de ontwikkeling van </w:t>
      </w:r>
      <w:r w:rsidRPr="003B2C92">
        <w:rPr>
          <w:lang w:val="nl-NL"/>
        </w:rPr>
        <w:t>onafhankelijk</w:t>
      </w:r>
      <w:r>
        <w:rPr>
          <w:lang w:val="nl-NL"/>
        </w:rPr>
        <w:t xml:space="preserve">e rechtssystemen en de </w:t>
      </w:r>
      <w:r w:rsidR="00C50484">
        <w:rPr>
          <w:lang w:val="nl-NL"/>
        </w:rPr>
        <w:t>strijd tegen straffeloosheid.</w:t>
      </w:r>
      <w:r w:rsidRPr="003B2C92" w:rsidR="00C50484">
        <w:rPr>
          <w:lang w:val="nl-NL"/>
        </w:rPr>
        <w:t xml:space="preserve"> </w:t>
      </w:r>
      <w:r w:rsidR="00C50484">
        <w:rPr>
          <w:lang w:val="nl-NL"/>
        </w:rPr>
        <w:t xml:space="preserve">De </w:t>
      </w:r>
      <w:r w:rsidRPr="003B2C92" w:rsidR="00C50484">
        <w:rPr>
          <w:lang w:val="nl-NL"/>
        </w:rPr>
        <w:t xml:space="preserve">EU </w:t>
      </w:r>
      <w:r w:rsidR="00C50484">
        <w:rPr>
          <w:lang w:val="nl-NL"/>
        </w:rPr>
        <w:t xml:space="preserve">vraagt verder via </w:t>
      </w:r>
      <w:r w:rsidRPr="003B2C92" w:rsidR="00C50484">
        <w:rPr>
          <w:lang w:val="nl-NL"/>
        </w:rPr>
        <w:t xml:space="preserve">politieke dialogen </w:t>
      </w:r>
      <w:r w:rsidR="00C50484">
        <w:rPr>
          <w:lang w:val="nl-NL"/>
        </w:rPr>
        <w:t xml:space="preserve">aandacht voor </w:t>
      </w:r>
      <w:r w:rsidRPr="003B2C92" w:rsidR="00C50484">
        <w:rPr>
          <w:lang w:val="nl-NL"/>
        </w:rPr>
        <w:t xml:space="preserve">de rechten van de burgerbevolking in een </w:t>
      </w:r>
      <w:r w:rsidRPr="00BC12E5" w:rsidR="00C50484">
        <w:rPr>
          <w:lang w:val="nl-NL"/>
        </w:rPr>
        <w:t>conflictsituatie</w:t>
      </w:r>
      <w:r w:rsidR="00C50484">
        <w:rPr>
          <w:lang w:val="nl-NL"/>
        </w:rPr>
        <w:t>.</w:t>
      </w:r>
    </w:p>
    <w:p w:rsidRPr="002907F5" w:rsidR="0025628A" w:rsidP="00C50484" w:rsidRDefault="0025628A">
      <w:pPr>
        <w:ind w:left="426"/>
        <w:rPr>
          <w:lang w:val="nl-NL"/>
        </w:rPr>
      </w:pPr>
    </w:p>
    <w:p w:rsidRPr="00EF27F4" w:rsidR="008515C5" w:rsidP="00E97329" w:rsidRDefault="006B4E98">
      <w:pPr>
        <w:pStyle w:val="ListParagraph"/>
        <w:numPr>
          <w:ilvl w:val="0"/>
          <w:numId w:val="1"/>
        </w:numPr>
        <w:ind w:left="426" w:hanging="426"/>
        <w:rPr>
          <w:b/>
          <w:lang w:val="nl-NL"/>
        </w:rPr>
      </w:pPr>
      <w:r w:rsidRPr="00EF27F4">
        <w:rPr>
          <w:b/>
          <w:lang w:val="nl-NL"/>
        </w:rPr>
        <w:lastRenderedPageBreak/>
        <w:t>B</w:t>
      </w:r>
      <w:r w:rsidRPr="00EF27F4" w:rsidR="008515C5">
        <w:rPr>
          <w:b/>
          <w:lang w:val="nl-NL"/>
        </w:rPr>
        <w:t xml:space="preserve">escherming van </w:t>
      </w:r>
      <w:r w:rsidRPr="00EF27F4">
        <w:rPr>
          <w:b/>
          <w:lang w:val="nl-NL"/>
        </w:rPr>
        <w:t>burgers: Nederlands beleid</w:t>
      </w:r>
    </w:p>
    <w:p w:rsidR="00AD4869" w:rsidP="00582FFD" w:rsidRDefault="00AD4869">
      <w:pPr>
        <w:pStyle w:val="ListParagraph"/>
        <w:ind w:left="426"/>
        <w:rPr>
          <w:lang w:val="nl-NL"/>
        </w:rPr>
      </w:pPr>
    </w:p>
    <w:p w:rsidR="008515C5" w:rsidP="00A5338A" w:rsidRDefault="008515C5">
      <w:pPr>
        <w:pStyle w:val="ListParagraph"/>
        <w:ind w:left="426"/>
        <w:rPr>
          <w:lang w:val="nl-NL"/>
        </w:rPr>
      </w:pPr>
      <w:r>
        <w:rPr>
          <w:lang w:val="nl-NL"/>
        </w:rPr>
        <w:t>D</w:t>
      </w:r>
      <w:r w:rsidRPr="00882924">
        <w:rPr>
          <w:lang w:val="nl-NL"/>
        </w:rPr>
        <w:t>e primaire verantwoordelijk</w:t>
      </w:r>
      <w:r w:rsidR="003E1369">
        <w:rPr>
          <w:lang w:val="nl-NL"/>
        </w:rPr>
        <w:t>heid</w:t>
      </w:r>
      <w:r w:rsidRPr="00882924">
        <w:rPr>
          <w:lang w:val="nl-NL"/>
        </w:rPr>
        <w:t xml:space="preserve"> voor de bescherming van de burgerbevolking </w:t>
      </w:r>
      <w:r>
        <w:rPr>
          <w:lang w:val="nl-NL"/>
        </w:rPr>
        <w:t>in g</w:t>
      </w:r>
      <w:r w:rsidR="00C50484">
        <w:rPr>
          <w:lang w:val="nl-NL"/>
        </w:rPr>
        <w:t xml:space="preserve">ewapende conflicten ligt bij </w:t>
      </w:r>
      <w:r w:rsidRPr="00882924">
        <w:rPr>
          <w:lang w:val="nl-NL"/>
        </w:rPr>
        <w:t>de</w:t>
      </w:r>
      <w:r>
        <w:rPr>
          <w:lang w:val="nl-NL"/>
        </w:rPr>
        <w:t xml:space="preserve"> strijdende partijen. Niettemin kan </w:t>
      </w:r>
      <w:r w:rsidRPr="00882924">
        <w:rPr>
          <w:lang w:val="nl-NL"/>
        </w:rPr>
        <w:t xml:space="preserve">Nederland </w:t>
      </w:r>
      <w:r>
        <w:rPr>
          <w:lang w:val="nl-NL"/>
        </w:rPr>
        <w:t xml:space="preserve">binnen de eigen mogelijkheden bijdragen aan </w:t>
      </w:r>
      <w:r w:rsidRPr="00882924">
        <w:rPr>
          <w:lang w:val="nl-NL"/>
        </w:rPr>
        <w:t>de</w:t>
      </w:r>
      <w:r w:rsidRPr="00882924">
        <w:rPr>
          <w:rFonts w:cs="Arial"/>
          <w:szCs w:val="18"/>
          <w:lang w:val="nl-NL"/>
        </w:rPr>
        <w:t xml:space="preserve"> bescherming van de burgerbevolking in gewapend</w:t>
      </w:r>
      <w:r>
        <w:rPr>
          <w:rFonts w:cs="Arial"/>
          <w:szCs w:val="18"/>
          <w:lang w:val="nl-NL"/>
        </w:rPr>
        <w:t>e</w:t>
      </w:r>
      <w:r w:rsidRPr="00882924">
        <w:rPr>
          <w:rFonts w:cs="Arial"/>
          <w:szCs w:val="18"/>
          <w:lang w:val="nl-NL"/>
        </w:rPr>
        <w:t xml:space="preserve"> conflict</w:t>
      </w:r>
      <w:r>
        <w:rPr>
          <w:rFonts w:cs="Arial"/>
          <w:szCs w:val="18"/>
          <w:lang w:val="nl-NL"/>
        </w:rPr>
        <w:t xml:space="preserve">en. Dat kan </w:t>
      </w:r>
      <w:r w:rsidRPr="00882924">
        <w:rPr>
          <w:rFonts w:cs="Arial"/>
          <w:szCs w:val="18"/>
          <w:lang w:val="nl-NL"/>
        </w:rPr>
        <w:t>als lid van de VN</w:t>
      </w:r>
      <w:r>
        <w:rPr>
          <w:rFonts w:cs="Arial"/>
          <w:szCs w:val="18"/>
          <w:lang w:val="nl-NL"/>
        </w:rPr>
        <w:t>,</w:t>
      </w:r>
      <w:r w:rsidRPr="00882924">
        <w:rPr>
          <w:rFonts w:cs="Arial"/>
          <w:szCs w:val="18"/>
          <w:lang w:val="nl-NL"/>
        </w:rPr>
        <w:t xml:space="preserve"> als donor van </w:t>
      </w:r>
      <w:r>
        <w:rPr>
          <w:rFonts w:cs="Arial"/>
          <w:szCs w:val="18"/>
          <w:lang w:val="nl-NL"/>
        </w:rPr>
        <w:t>internationale (</w:t>
      </w:r>
      <w:r w:rsidRPr="00882924">
        <w:rPr>
          <w:rFonts w:cs="Arial"/>
          <w:szCs w:val="18"/>
          <w:lang w:val="nl-NL"/>
        </w:rPr>
        <w:t>non-gouver</w:t>
      </w:r>
      <w:r>
        <w:rPr>
          <w:rFonts w:cs="Arial"/>
          <w:szCs w:val="18"/>
          <w:lang w:val="nl-NL"/>
        </w:rPr>
        <w:t>ne</w:t>
      </w:r>
      <w:r w:rsidRPr="00882924">
        <w:rPr>
          <w:rFonts w:cs="Arial"/>
          <w:szCs w:val="18"/>
          <w:lang w:val="nl-NL"/>
        </w:rPr>
        <w:t>mentele</w:t>
      </w:r>
      <w:r>
        <w:rPr>
          <w:rFonts w:cs="Arial"/>
          <w:szCs w:val="18"/>
          <w:lang w:val="nl-NL"/>
        </w:rPr>
        <w:t>)</w:t>
      </w:r>
      <w:r w:rsidRPr="00882924">
        <w:rPr>
          <w:rFonts w:cs="Arial"/>
          <w:szCs w:val="18"/>
          <w:lang w:val="nl-NL"/>
        </w:rPr>
        <w:t xml:space="preserve"> </w:t>
      </w:r>
      <w:r>
        <w:rPr>
          <w:rFonts w:cs="Arial"/>
          <w:szCs w:val="18"/>
          <w:lang w:val="nl-NL"/>
        </w:rPr>
        <w:t xml:space="preserve">organisaties en door bij te dragen aan </w:t>
      </w:r>
      <w:r w:rsidRPr="00882924">
        <w:rPr>
          <w:rFonts w:cs="Arial"/>
          <w:szCs w:val="18"/>
          <w:lang w:val="nl-NL"/>
        </w:rPr>
        <w:t xml:space="preserve">internationale militaire en civiele operaties. </w:t>
      </w:r>
      <w:r w:rsidR="00C50484">
        <w:rPr>
          <w:rFonts w:cs="Arial"/>
          <w:szCs w:val="18"/>
          <w:lang w:val="nl-NL"/>
        </w:rPr>
        <w:t>Aldus draagt Nederland ook bij</w:t>
      </w:r>
      <w:r>
        <w:rPr>
          <w:rFonts w:cs="Arial"/>
          <w:szCs w:val="18"/>
          <w:lang w:val="nl-NL"/>
        </w:rPr>
        <w:t xml:space="preserve"> aan de ontwikkeling van het instrumentarium en het beleid van de bescherming van de burgerbevolking in gewapende conflicten.</w:t>
      </w:r>
    </w:p>
    <w:p w:rsidR="008515C5" w:rsidP="00A8096A" w:rsidRDefault="008515C5">
      <w:pPr>
        <w:pStyle w:val="NoSpacing"/>
        <w:ind w:left="426"/>
        <w:rPr>
          <w:lang w:val="nl-NL"/>
        </w:rPr>
      </w:pPr>
      <w:r w:rsidRPr="005871A9">
        <w:rPr>
          <w:lang w:val="nl-NL"/>
        </w:rPr>
        <w:t>Deze beleids</w:t>
      </w:r>
      <w:r>
        <w:rPr>
          <w:lang w:val="nl-NL"/>
        </w:rPr>
        <w:t>notitie</w:t>
      </w:r>
      <w:r w:rsidRPr="005871A9">
        <w:rPr>
          <w:lang w:val="nl-NL"/>
        </w:rPr>
        <w:t xml:space="preserve"> </w:t>
      </w:r>
      <w:r>
        <w:rPr>
          <w:lang w:val="nl-NL"/>
        </w:rPr>
        <w:t xml:space="preserve">sluit aan op </w:t>
      </w:r>
      <w:r w:rsidRPr="005871A9">
        <w:rPr>
          <w:lang w:val="nl-NL"/>
        </w:rPr>
        <w:t xml:space="preserve">andere </w:t>
      </w:r>
      <w:r>
        <w:rPr>
          <w:lang w:val="nl-NL"/>
        </w:rPr>
        <w:t>thema’s in</w:t>
      </w:r>
      <w:r w:rsidRPr="005871A9">
        <w:rPr>
          <w:lang w:val="nl-NL"/>
        </w:rPr>
        <w:t xml:space="preserve"> het buitenlands beleid</w:t>
      </w:r>
      <w:r>
        <w:rPr>
          <w:lang w:val="nl-NL"/>
        </w:rPr>
        <w:t>,</w:t>
      </w:r>
      <w:r w:rsidRPr="005871A9">
        <w:rPr>
          <w:lang w:val="nl-NL"/>
        </w:rPr>
        <w:t xml:space="preserve"> </w:t>
      </w:r>
      <w:r w:rsidRPr="005871A9">
        <w:rPr>
          <w:rFonts w:cs="Arial"/>
          <w:szCs w:val="18"/>
          <w:lang w:val="nl-NL"/>
        </w:rPr>
        <w:t>waaronder veiligheid en rechtsorde, mensenrechten, gender, humanitaire hulp, goed bestuur, hervorming van de veiligheidssector (</w:t>
      </w:r>
      <w:r w:rsidRPr="00254AB0">
        <w:rPr>
          <w:rFonts w:cs="Arial"/>
          <w:i/>
          <w:szCs w:val="18"/>
          <w:lang w:val="nl-NL"/>
        </w:rPr>
        <w:t>Security Sector Reform</w:t>
      </w:r>
      <w:r w:rsidRPr="005871A9">
        <w:rPr>
          <w:rFonts w:cs="Arial"/>
          <w:szCs w:val="18"/>
          <w:lang w:val="nl-NL"/>
        </w:rPr>
        <w:t xml:space="preserve">), </w:t>
      </w:r>
      <w:r w:rsidRPr="005871A9">
        <w:rPr>
          <w:rFonts w:cs="Arial"/>
          <w:i/>
          <w:szCs w:val="18"/>
          <w:lang w:val="nl-NL"/>
        </w:rPr>
        <w:t>Transitional Justice</w:t>
      </w:r>
      <w:r>
        <w:rPr>
          <w:rFonts w:cs="Arial"/>
          <w:szCs w:val="18"/>
          <w:lang w:val="nl-NL"/>
        </w:rPr>
        <w:t xml:space="preserve"> </w:t>
      </w:r>
      <w:r w:rsidRPr="005871A9">
        <w:rPr>
          <w:rFonts w:cs="Arial"/>
          <w:szCs w:val="18"/>
          <w:lang w:val="nl-NL"/>
        </w:rPr>
        <w:t xml:space="preserve">en </w:t>
      </w:r>
      <w:r w:rsidRPr="005871A9">
        <w:rPr>
          <w:rFonts w:cs="Arial"/>
          <w:i/>
          <w:szCs w:val="18"/>
          <w:lang w:val="nl-NL"/>
        </w:rPr>
        <w:t>Responsibility to Protect</w:t>
      </w:r>
      <w:r w:rsidRPr="006B4E98">
        <w:rPr>
          <w:rFonts w:cs="Arial"/>
          <w:szCs w:val="18"/>
          <w:lang w:val="nl-NL"/>
        </w:rPr>
        <w:t>.</w:t>
      </w:r>
      <w:r w:rsidRPr="006B4E98">
        <w:rPr>
          <w:rStyle w:val="FootnoteReference"/>
          <w:rFonts w:cs="Arial"/>
          <w:szCs w:val="18"/>
          <w:lang w:val="nl-NL"/>
        </w:rPr>
        <w:footnoteReference w:id="8"/>
      </w:r>
      <w:r w:rsidRPr="006B4E98">
        <w:rPr>
          <w:rFonts w:cs="Arial"/>
          <w:szCs w:val="18"/>
          <w:lang w:val="nl-NL"/>
        </w:rPr>
        <w:t xml:space="preserve"> In dat kader stemt de </w:t>
      </w:r>
      <w:r w:rsidRPr="00DC42CD">
        <w:rPr>
          <w:lang w:val="nl-NL"/>
        </w:rPr>
        <w:t>Nederlandse inzet ter bescherming van de burgerbevolking in gewapende conflicten overeen met een aantal algemene kenmerken van het Nederlands buitenlands beleid</w:t>
      </w:r>
      <w:r w:rsidR="0025628A">
        <w:rPr>
          <w:lang w:val="nl-NL"/>
        </w:rPr>
        <w:t>.</w:t>
      </w:r>
    </w:p>
    <w:p w:rsidR="008515C5" w:rsidP="00A8096A" w:rsidRDefault="008515C5">
      <w:pPr>
        <w:pStyle w:val="NoSpacing"/>
        <w:ind w:left="426"/>
        <w:rPr>
          <w:lang w:val="nl-NL"/>
        </w:rPr>
      </w:pPr>
      <w:r w:rsidRPr="007C4229">
        <w:rPr>
          <w:lang w:val="nl-NL"/>
        </w:rPr>
        <w:t xml:space="preserve"> </w:t>
      </w:r>
    </w:p>
    <w:p w:rsidRPr="00C50484" w:rsidR="008515C5" w:rsidP="0025628A" w:rsidRDefault="0025628A">
      <w:pPr>
        <w:pStyle w:val="NoSpacing"/>
        <w:ind w:left="426"/>
        <w:rPr>
          <w:lang w:val="nl-NL"/>
        </w:rPr>
      </w:pPr>
      <w:r>
        <w:rPr>
          <w:lang w:val="nl-NL"/>
        </w:rPr>
        <w:t xml:space="preserve">Ten eerste ligt het </w:t>
      </w:r>
      <w:r w:rsidRPr="0025628A">
        <w:rPr>
          <w:lang w:val="nl-NL"/>
        </w:rPr>
        <w:t>a</w:t>
      </w:r>
      <w:r w:rsidRPr="0025628A" w:rsidR="008515C5">
        <w:rPr>
          <w:lang w:val="nl-NL"/>
        </w:rPr>
        <w:t>ccent op conflictpreventie</w:t>
      </w:r>
      <w:r>
        <w:rPr>
          <w:lang w:val="nl-NL"/>
        </w:rPr>
        <w:t>.</w:t>
      </w:r>
      <w:r w:rsidRPr="00C50484" w:rsidR="008515C5">
        <w:rPr>
          <w:lang w:val="nl-NL"/>
        </w:rPr>
        <w:t xml:space="preserve"> </w:t>
      </w:r>
      <w:r w:rsidR="00C50484">
        <w:rPr>
          <w:lang w:val="nl-NL"/>
        </w:rPr>
        <w:t xml:space="preserve">Het voorkomen van conflicten is de meest efficiënte en duurzame manier om burgers tegen oorlogsgeweld te beschermen. Het Nederlandse beleid is daarom gericht op het vroegtijdig signaleren van potentiële conflictsituaties en op een tijdige (internationale) reactie ter voorkoming van schendingen. </w:t>
      </w:r>
    </w:p>
    <w:p w:rsidR="008515C5" w:rsidP="0025628A" w:rsidRDefault="008515C5">
      <w:pPr>
        <w:pStyle w:val="NoSpacing"/>
        <w:rPr>
          <w:lang w:val="nl-NL"/>
        </w:rPr>
      </w:pPr>
    </w:p>
    <w:p w:rsidR="008515C5" w:rsidP="0025628A" w:rsidRDefault="0025628A">
      <w:pPr>
        <w:pStyle w:val="NoSpacing"/>
        <w:ind w:left="426"/>
        <w:rPr>
          <w:lang w:val="nl-NL"/>
        </w:rPr>
      </w:pPr>
      <w:r>
        <w:rPr>
          <w:lang w:val="nl-NL"/>
        </w:rPr>
        <w:t>Ten tweede is het g</w:t>
      </w:r>
      <w:r w:rsidRPr="0025628A" w:rsidR="008515C5">
        <w:rPr>
          <w:lang w:val="nl-NL"/>
        </w:rPr>
        <w:t>ezamenlijk optreden met partners</w:t>
      </w:r>
      <w:r>
        <w:rPr>
          <w:lang w:val="nl-NL"/>
        </w:rPr>
        <w:t xml:space="preserve"> van belang.</w:t>
      </w:r>
      <w:r w:rsidRPr="00C50484" w:rsidR="008515C5">
        <w:rPr>
          <w:lang w:val="nl-NL"/>
        </w:rPr>
        <w:t xml:space="preserve"> </w:t>
      </w:r>
      <w:r w:rsidR="00882955">
        <w:rPr>
          <w:lang w:val="nl-NL"/>
        </w:rPr>
        <w:t xml:space="preserve">De Nederlandse inzet op het gebied van de bescherming van burgers geschiedt bij voorkeur in </w:t>
      </w:r>
      <w:r w:rsidR="008D4218">
        <w:rPr>
          <w:lang w:val="nl-NL"/>
        </w:rPr>
        <w:t xml:space="preserve">VN-, </w:t>
      </w:r>
      <w:r w:rsidR="00882955">
        <w:rPr>
          <w:lang w:val="nl-NL"/>
        </w:rPr>
        <w:t>EU-</w:t>
      </w:r>
      <w:r w:rsidR="008D4218">
        <w:rPr>
          <w:lang w:val="nl-NL"/>
        </w:rPr>
        <w:t xml:space="preserve"> of NAVO-</w:t>
      </w:r>
      <w:r w:rsidR="00882955">
        <w:rPr>
          <w:lang w:val="nl-NL"/>
        </w:rPr>
        <w:t>verband, dan wel in samenwerking met gelijkgezinde partners</w:t>
      </w:r>
      <w:r w:rsidR="00A53D7A">
        <w:rPr>
          <w:lang w:val="nl-NL"/>
        </w:rPr>
        <w:t>,</w:t>
      </w:r>
      <w:r w:rsidR="00882955">
        <w:rPr>
          <w:lang w:val="nl-NL"/>
        </w:rPr>
        <w:t xml:space="preserve"> om effectiever te kunnen bijdragen aan de bescherming van de burgerbevolking in gewapend</w:t>
      </w:r>
      <w:r w:rsidR="00C50484">
        <w:rPr>
          <w:lang w:val="nl-NL"/>
        </w:rPr>
        <w:t>e</w:t>
      </w:r>
      <w:r w:rsidR="00882955">
        <w:rPr>
          <w:lang w:val="nl-NL"/>
        </w:rPr>
        <w:t xml:space="preserve"> conflict</w:t>
      </w:r>
      <w:r w:rsidR="00C50484">
        <w:rPr>
          <w:lang w:val="nl-NL"/>
        </w:rPr>
        <w:t>en</w:t>
      </w:r>
      <w:r w:rsidR="00882955">
        <w:rPr>
          <w:lang w:val="nl-NL"/>
        </w:rPr>
        <w:t xml:space="preserve">. </w:t>
      </w:r>
      <w:r w:rsidR="008515C5">
        <w:rPr>
          <w:lang w:val="nl-NL"/>
        </w:rPr>
        <w:t>Ook werkt Nederland samen met het maatschappelijk middenveld en de lokale gemeenschappen om de bijdrage aan bescherming te laten aansluiten op de beschermingsbehoefte.</w:t>
      </w:r>
    </w:p>
    <w:p w:rsidR="008515C5" w:rsidP="0025628A" w:rsidRDefault="008515C5">
      <w:pPr>
        <w:pStyle w:val="NoSpacing"/>
        <w:rPr>
          <w:lang w:val="nl-NL"/>
        </w:rPr>
      </w:pPr>
    </w:p>
    <w:p w:rsidR="008515C5" w:rsidP="0025628A" w:rsidRDefault="0025628A">
      <w:pPr>
        <w:pStyle w:val="NoSpacing"/>
        <w:ind w:left="426"/>
        <w:rPr>
          <w:rFonts w:cs="Verdana"/>
          <w:szCs w:val="18"/>
          <w:lang w:val="nl-NL"/>
        </w:rPr>
      </w:pPr>
      <w:r>
        <w:rPr>
          <w:lang w:val="nl-NL"/>
        </w:rPr>
        <w:t>In de derde plaats</w:t>
      </w:r>
      <w:r w:rsidR="008515C5">
        <w:rPr>
          <w:rFonts w:cs="Verdana"/>
          <w:szCs w:val="18"/>
          <w:lang w:val="nl-NL"/>
        </w:rPr>
        <w:t xml:space="preserve"> kiest </w:t>
      </w:r>
      <w:r>
        <w:rPr>
          <w:rFonts w:cs="Verdana"/>
          <w:szCs w:val="18"/>
          <w:lang w:val="nl-NL"/>
        </w:rPr>
        <w:t xml:space="preserve">Nederland </w:t>
      </w:r>
      <w:r w:rsidR="008515C5">
        <w:rPr>
          <w:rFonts w:cs="Verdana"/>
          <w:szCs w:val="18"/>
          <w:lang w:val="nl-NL"/>
        </w:rPr>
        <w:t xml:space="preserve">voor een geïntegreerde benadering op het terrein van veiligheid en stabiliteit, waarbij </w:t>
      </w:r>
      <w:r w:rsidRPr="00397B01" w:rsidR="008515C5">
        <w:rPr>
          <w:szCs w:val="18"/>
          <w:lang w:val="nl-NL"/>
        </w:rPr>
        <w:t xml:space="preserve">diplomatieke, </w:t>
      </w:r>
      <w:r w:rsidR="008515C5">
        <w:rPr>
          <w:szCs w:val="18"/>
          <w:lang w:val="nl-NL"/>
        </w:rPr>
        <w:t xml:space="preserve">militaire </w:t>
      </w:r>
      <w:r w:rsidRPr="00397B01" w:rsidR="008515C5">
        <w:rPr>
          <w:szCs w:val="18"/>
          <w:lang w:val="nl-NL"/>
        </w:rPr>
        <w:t>en ontwikkelingsactiviteiten</w:t>
      </w:r>
      <w:r w:rsidR="00A53D7A">
        <w:rPr>
          <w:szCs w:val="18"/>
          <w:lang w:val="nl-NL"/>
        </w:rPr>
        <w:t xml:space="preserve"> in samenhang</w:t>
      </w:r>
      <w:r w:rsidRPr="00397B01" w:rsidR="008515C5">
        <w:rPr>
          <w:szCs w:val="18"/>
          <w:lang w:val="nl-NL"/>
        </w:rPr>
        <w:t xml:space="preserve"> </w:t>
      </w:r>
      <w:r w:rsidR="008515C5">
        <w:rPr>
          <w:szCs w:val="18"/>
          <w:lang w:val="nl-NL"/>
        </w:rPr>
        <w:t xml:space="preserve">worden </w:t>
      </w:r>
      <w:r w:rsidRPr="00397B01" w:rsidR="008515C5">
        <w:rPr>
          <w:szCs w:val="18"/>
          <w:lang w:val="nl-NL"/>
        </w:rPr>
        <w:t>ingezet</w:t>
      </w:r>
      <w:r w:rsidR="008515C5">
        <w:rPr>
          <w:rFonts w:cs="Verdana"/>
          <w:szCs w:val="18"/>
          <w:lang w:val="nl-NL"/>
        </w:rPr>
        <w:t>.</w:t>
      </w:r>
      <w:r w:rsidR="001729DF">
        <w:rPr>
          <w:rFonts w:cs="Verdana"/>
          <w:szCs w:val="18"/>
          <w:lang w:val="nl-NL"/>
        </w:rPr>
        <w:t xml:space="preserve"> </w:t>
      </w:r>
      <w:r w:rsidR="008515C5">
        <w:rPr>
          <w:rFonts w:cs="Verdana"/>
          <w:szCs w:val="18"/>
          <w:lang w:val="nl-NL"/>
        </w:rPr>
        <w:t xml:space="preserve">Dat is nodig </w:t>
      </w:r>
      <w:r w:rsidR="008515C5">
        <w:rPr>
          <w:szCs w:val="18"/>
          <w:lang w:val="nl-NL"/>
        </w:rPr>
        <w:t xml:space="preserve">vanwege </w:t>
      </w:r>
      <w:r w:rsidRPr="00397B01" w:rsidR="008515C5">
        <w:rPr>
          <w:szCs w:val="18"/>
          <w:lang w:val="nl-NL"/>
        </w:rPr>
        <w:t>de</w:t>
      </w:r>
      <w:r w:rsidR="00A53D7A">
        <w:rPr>
          <w:szCs w:val="18"/>
          <w:lang w:val="nl-NL"/>
        </w:rPr>
        <w:t xml:space="preserve"> inherente</w:t>
      </w:r>
      <w:r w:rsidRPr="00397B01" w:rsidR="008515C5">
        <w:rPr>
          <w:szCs w:val="18"/>
          <w:lang w:val="nl-NL"/>
        </w:rPr>
        <w:t xml:space="preserve"> complexiteit van conflicten, </w:t>
      </w:r>
      <w:r w:rsidR="008515C5">
        <w:rPr>
          <w:szCs w:val="18"/>
          <w:lang w:val="nl-NL"/>
        </w:rPr>
        <w:t xml:space="preserve">maar </w:t>
      </w:r>
      <w:r w:rsidRPr="00397B01" w:rsidR="008515C5">
        <w:rPr>
          <w:szCs w:val="18"/>
          <w:lang w:val="nl-NL"/>
        </w:rPr>
        <w:t xml:space="preserve">het biedt uiteindelijk ook het beste vooruitzicht op duurzame </w:t>
      </w:r>
      <w:r w:rsidR="008515C5">
        <w:rPr>
          <w:szCs w:val="18"/>
          <w:lang w:val="nl-NL"/>
        </w:rPr>
        <w:t>veiligheid.</w:t>
      </w:r>
      <w:r w:rsidRPr="00397B01" w:rsidR="008515C5">
        <w:rPr>
          <w:rFonts w:cs="Verdana"/>
          <w:szCs w:val="18"/>
          <w:lang w:val="nl-NL"/>
        </w:rPr>
        <w:t xml:space="preserve"> </w:t>
      </w:r>
    </w:p>
    <w:p w:rsidRPr="00397B01" w:rsidR="008515C5" w:rsidP="0025628A" w:rsidRDefault="008515C5">
      <w:pPr>
        <w:pStyle w:val="NoSpacing"/>
        <w:rPr>
          <w:szCs w:val="18"/>
          <w:lang w:val="nl-NL"/>
        </w:rPr>
      </w:pPr>
    </w:p>
    <w:p w:rsidR="008515C5" w:rsidP="0025628A" w:rsidRDefault="0025628A">
      <w:pPr>
        <w:pStyle w:val="NoSpacing"/>
        <w:ind w:left="426"/>
        <w:rPr>
          <w:lang w:val="nl-NL"/>
        </w:rPr>
      </w:pPr>
      <w:r>
        <w:rPr>
          <w:szCs w:val="18"/>
          <w:lang w:val="nl-NL"/>
        </w:rPr>
        <w:t>Speciale aandacht voor g</w:t>
      </w:r>
      <w:r w:rsidRPr="0025628A" w:rsidR="008515C5">
        <w:rPr>
          <w:szCs w:val="18"/>
          <w:lang w:val="nl-NL"/>
        </w:rPr>
        <w:t>ender</w:t>
      </w:r>
      <w:r>
        <w:rPr>
          <w:szCs w:val="18"/>
          <w:lang w:val="nl-NL"/>
        </w:rPr>
        <w:t xml:space="preserve"> is ook hier een grondslag.</w:t>
      </w:r>
      <w:r w:rsidRPr="00C50484" w:rsidR="008515C5">
        <w:rPr>
          <w:szCs w:val="18"/>
          <w:lang w:val="nl-NL"/>
        </w:rPr>
        <w:t xml:space="preserve"> </w:t>
      </w:r>
      <w:r w:rsidRPr="00CA103A" w:rsidR="008515C5">
        <w:rPr>
          <w:lang w:val="nl-NL"/>
        </w:rPr>
        <w:t xml:space="preserve">Veiligheid is niet gender-neutraal. Enerzijds </w:t>
      </w:r>
      <w:r w:rsidR="008515C5">
        <w:rPr>
          <w:lang w:val="nl-NL"/>
        </w:rPr>
        <w:t xml:space="preserve">zijn </w:t>
      </w:r>
      <w:r w:rsidRPr="00CA103A" w:rsidR="008515C5">
        <w:rPr>
          <w:lang w:val="nl-NL"/>
        </w:rPr>
        <w:t xml:space="preserve">vrouwen </w:t>
      </w:r>
      <w:r w:rsidR="008515C5">
        <w:rPr>
          <w:lang w:val="nl-NL"/>
        </w:rPr>
        <w:t xml:space="preserve">vaker </w:t>
      </w:r>
      <w:r w:rsidRPr="00CA103A" w:rsidR="008515C5">
        <w:rPr>
          <w:lang w:val="nl-NL"/>
        </w:rPr>
        <w:t>slachtoffer van (seksueel) geweld</w:t>
      </w:r>
      <w:r w:rsidR="008515C5">
        <w:rPr>
          <w:lang w:val="nl-NL"/>
        </w:rPr>
        <w:t>, a</w:t>
      </w:r>
      <w:r w:rsidRPr="00CA103A" w:rsidR="008515C5">
        <w:rPr>
          <w:lang w:val="nl-NL"/>
        </w:rPr>
        <w:t>nderzijds word</w:t>
      </w:r>
      <w:r w:rsidR="008515C5">
        <w:rPr>
          <w:lang w:val="nl-NL"/>
        </w:rPr>
        <w:t xml:space="preserve">en zij onvoldoende benut bij </w:t>
      </w:r>
      <w:r w:rsidRPr="00CA103A" w:rsidR="008515C5">
        <w:rPr>
          <w:lang w:val="nl-NL"/>
        </w:rPr>
        <w:t>conflictpreventie, -resolutie en –tra</w:t>
      </w:r>
      <w:r w:rsidR="008515C5">
        <w:rPr>
          <w:lang w:val="nl-NL"/>
        </w:rPr>
        <w:t>nsformatie</w:t>
      </w:r>
      <w:r w:rsidR="008C6FD8">
        <w:rPr>
          <w:lang w:val="nl-NL"/>
        </w:rPr>
        <w:t>.</w:t>
      </w:r>
      <w:r w:rsidR="008515C5">
        <w:rPr>
          <w:lang w:val="nl-NL"/>
        </w:rPr>
        <w:t xml:space="preserve"> </w:t>
      </w:r>
      <w:r w:rsidRPr="00CA103A" w:rsidR="008515C5">
        <w:rPr>
          <w:lang w:val="nl-NL"/>
        </w:rPr>
        <w:t xml:space="preserve">Vrouwen </w:t>
      </w:r>
      <w:r w:rsidR="008515C5">
        <w:rPr>
          <w:lang w:val="nl-NL"/>
        </w:rPr>
        <w:t>vervullen</w:t>
      </w:r>
      <w:r w:rsidR="00A53D7A">
        <w:rPr>
          <w:lang w:val="nl-NL"/>
        </w:rPr>
        <w:t xml:space="preserve"> namelijk</w:t>
      </w:r>
      <w:r w:rsidR="008515C5">
        <w:rPr>
          <w:lang w:val="nl-NL"/>
        </w:rPr>
        <w:t xml:space="preserve"> een </w:t>
      </w:r>
      <w:r w:rsidRPr="00CA103A" w:rsidR="008515C5">
        <w:rPr>
          <w:lang w:val="nl-NL"/>
        </w:rPr>
        <w:t xml:space="preserve">belangrijke </w:t>
      </w:r>
      <w:r w:rsidR="008515C5">
        <w:rPr>
          <w:lang w:val="nl-NL"/>
        </w:rPr>
        <w:t xml:space="preserve">rol als </w:t>
      </w:r>
      <w:r w:rsidRPr="00CA103A" w:rsidR="008515C5">
        <w:rPr>
          <w:lang w:val="nl-NL"/>
        </w:rPr>
        <w:t xml:space="preserve">‘early warners’ voor conflicten en </w:t>
      </w:r>
      <w:r w:rsidR="008515C5">
        <w:rPr>
          <w:lang w:val="nl-NL"/>
        </w:rPr>
        <w:t xml:space="preserve">als </w:t>
      </w:r>
      <w:r w:rsidRPr="00CA103A" w:rsidR="008515C5">
        <w:rPr>
          <w:lang w:val="nl-NL"/>
        </w:rPr>
        <w:t xml:space="preserve">lokale en nationale </w:t>
      </w:r>
      <w:r w:rsidR="008515C5">
        <w:rPr>
          <w:lang w:val="nl-NL"/>
        </w:rPr>
        <w:t>‘</w:t>
      </w:r>
      <w:r w:rsidRPr="00CA103A" w:rsidR="008515C5">
        <w:rPr>
          <w:lang w:val="nl-NL"/>
        </w:rPr>
        <w:t>vredesactoren</w:t>
      </w:r>
      <w:r w:rsidR="008515C5">
        <w:rPr>
          <w:lang w:val="nl-NL"/>
        </w:rPr>
        <w:t>’</w:t>
      </w:r>
      <w:r w:rsidRPr="00CA103A" w:rsidR="008515C5">
        <w:rPr>
          <w:lang w:val="nl-NL"/>
        </w:rPr>
        <w:t xml:space="preserve">. </w:t>
      </w:r>
    </w:p>
    <w:p w:rsidRPr="007771F2" w:rsidR="008515C5" w:rsidP="0025628A" w:rsidRDefault="008515C5">
      <w:pPr>
        <w:pStyle w:val="NoSpacing"/>
        <w:rPr>
          <w:rFonts w:ascii="Times New Roman" w:hAnsi="Times New Roman"/>
          <w:sz w:val="24"/>
          <w:szCs w:val="24"/>
          <w:lang w:val="nl-NL" w:eastAsia="nl-NL"/>
        </w:rPr>
      </w:pPr>
    </w:p>
    <w:p w:rsidR="008515C5" w:rsidP="0025628A" w:rsidRDefault="0025628A">
      <w:pPr>
        <w:pStyle w:val="NoSpacing"/>
        <w:ind w:left="426"/>
        <w:rPr>
          <w:lang w:val="nl-NL"/>
        </w:rPr>
      </w:pPr>
      <w:r>
        <w:rPr>
          <w:szCs w:val="18"/>
          <w:lang w:val="nl-NL"/>
        </w:rPr>
        <w:t>Ten</w:t>
      </w:r>
      <w:r w:rsidR="008C6FD8">
        <w:rPr>
          <w:szCs w:val="18"/>
          <w:lang w:val="nl-NL"/>
        </w:rPr>
        <w:t xml:space="preserve"> </w:t>
      </w:r>
      <w:r>
        <w:rPr>
          <w:szCs w:val="18"/>
          <w:lang w:val="nl-NL"/>
        </w:rPr>
        <w:t>slotte is d</w:t>
      </w:r>
      <w:r w:rsidR="008515C5">
        <w:rPr>
          <w:szCs w:val="18"/>
          <w:lang w:val="nl-NL"/>
        </w:rPr>
        <w:t xml:space="preserve">e beschikbaarheid van </w:t>
      </w:r>
      <w:r w:rsidRPr="0025628A" w:rsidR="008515C5">
        <w:rPr>
          <w:szCs w:val="18"/>
          <w:lang w:val="nl-NL"/>
        </w:rPr>
        <w:t>voldoende capaciteit</w:t>
      </w:r>
      <w:r>
        <w:rPr>
          <w:szCs w:val="18"/>
          <w:lang w:val="nl-NL"/>
        </w:rPr>
        <w:t xml:space="preserve"> belangrijk</w:t>
      </w:r>
      <w:r w:rsidR="008C6FD8">
        <w:rPr>
          <w:szCs w:val="18"/>
          <w:lang w:val="nl-NL"/>
        </w:rPr>
        <w:t>.</w:t>
      </w:r>
      <w:r w:rsidRPr="00D70F35" w:rsidR="008515C5">
        <w:rPr>
          <w:szCs w:val="18"/>
          <w:lang w:val="nl-NL"/>
        </w:rPr>
        <w:t xml:space="preserve"> </w:t>
      </w:r>
      <w:r w:rsidR="008515C5">
        <w:rPr>
          <w:lang w:val="nl-NL"/>
        </w:rPr>
        <w:t>Op internationaal, regionaal en nationaal niveau is personeel met voldoende expertise en conflictsensitiviteit nodig. Dat geldt zowel voor de landen in een conflictsituatie als voor internationale en regionale organisaties. Ook Nederland</w:t>
      </w:r>
      <w:r w:rsidR="00A53D7A">
        <w:rPr>
          <w:lang w:val="nl-NL"/>
        </w:rPr>
        <w:t xml:space="preserve"> zelf</w:t>
      </w:r>
      <w:r w:rsidR="008515C5">
        <w:rPr>
          <w:lang w:val="nl-NL"/>
        </w:rPr>
        <w:t xml:space="preserve"> dient over capaciteit te beschikken om te kunnen bijdragen aan de bescherming van de burgerbevolking in gewapende conflicten (diplomatiek, operationeel en op het gebied van capaciteitsopbouw in fragiele staten). </w:t>
      </w:r>
    </w:p>
    <w:p w:rsidRPr="00397B01" w:rsidR="008515C5" w:rsidP="005E4E76" w:rsidRDefault="008515C5">
      <w:pPr>
        <w:pStyle w:val="NoSpacing"/>
        <w:ind w:left="426"/>
        <w:rPr>
          <w:lang w:val="nl-NL"/>
        </w:rPr>
      </w:pPr>
    </w:p>
    <w:p w:rsidR="008515C5" w:rsidP="005E4E76" w:rsidRDefault="00AD4869">
      <w:pPr>
        <w:pStyle w:val="NoSpacing"/>
        <w:ind w:left="426"/>
        <w:rPr>
          <w:lang w:val="nl-NL"/>
        </w:rPr>
      </w:pPr>
      <w:r>
        <w:rPr>
          <w:i/>
          <w:lang w:val="nl-NL"/>
        </w:rPr>
        <w:t>Beleidslijnen</w:t>
      </w:r>
    </w:p>
    <w:p w:rsidRPr="00A6041E" w:rsidR="008515C5" w:rsidP="005E4E76" w:rsidRDefault="008515C5">
      <w:pPr>
        <w:pStyle w:val="NoSpacing"/>
        <w:ind w:left="426"/>
        <w:rPr>
          <w:lang w:val="nl-NL"/>
        </w:rPr>
      </w:pPr>
    </w:p>
    <w:p w:rsidR="008515C5" w:rsidP="005E4E76" w:rsidRDefault="008515C5">
      <w:pPr>
        <w:pStyle w:val="NoSpacing"/>
        <w:ind w:left="426"/>
        <w:rPr>
          <w:lang w:val="nl-NL"/>
        </w:rPr>
      </w:pPr>
      <w:r>
        <w:rPr>
          <w:lang w:val="nl-NL"/>
        </w:rPr>
        <w:t>Het Nederlandse beleid ten aanzien van de bescherming van de burgerbevolking in gewapende conflicten is gericht op preventie, de bescherming tijdens gewapende conflicten, de</w:t>
      </w:r>
      <w:r w:rsidR="00C50484">
        <w:rPr>
          <w:lang w:val="nl-NL"/>
        </w:rPr>
        <w:t xml:space="preserve"> strafrechtelijke vervolging van oorlogsmisdrijven en andere internationale misdrijven</w:t>
      </w:r>
      <w:r>
        <w:rPr>
          <w:lang w:val="nl-NL"/>
        </w:rPr>
        <w:t xml:space="preserve"> en de </w:t>
      </w:r>
      <w:r w:rsidR="004F321E">
        <w:rPr>
          <w:lang w:val="nl-NL"/>
        </w:rPr>
        <w:t>wederopbouw.</w:t>
      </w:r>
      <w:r w:rsidR="006B4E98">
        <w:rPr>
          <w:lang w:val="nl-NL"/>
        </w:rPr>
        <w:t xml:space="preserve"> De </w:t>
      </w:r>
      <w:r w:rsidR="00A53D7A">
        <w:rPr>
          <w:lang w:val="nl-NL"/>
        </w:rPr>
        <w:t>beleidslijnen</w:t>
      </w:r>
      <w:r w:rsidR="006B4E98">
        <w:rPr>
          <w:lang w:val="nl-NL"/>
        </w:rPr>
        <w:t xml:space="preserve"> zijn niet scherp van elkaar </w:t>
      </w:r>
      <w:r w:rsidR="002907F5">
        <w:rPr>
          <w:lang w:val="nl-NL"/>
        </w:rPr>
        <w:t>t</w:t>
      </w:r>
      <w:r w:rsidR="006B4E98">
        <w:rPr>
          <w:lang w:val="nl-NL"/>
        </w:rPr>
        <w:t>e scheiden</w:t>
      </w:r>
      <w:r w:rsidR="00C50484">
        <w:rPr>
          <w:lang w:val="nl-NL"/>
        </w:rPr>
        <w:t>; ze vormen juist een coherent geheel</w:t>
      </w:r>
      <w:r w:rsidR="006B4E98">
        <w:rPr>
          <w:lang w:val="nl-NL"/>
        </w:rPr>
        <w:t xml:space="preserve">. Zo bestaat er een wisselwerking tussen wederopbouwactiviteiten en het </w:t>
      </w:r>
      <w:r w:rsidR="006B4E98">
        <w:rPr>
          <w:lang w:val="nl-NL"/>
        </w:rPr>
        <w:lastRenderedPageBreak/>
        <w:t xml:space="preserve">voorkomen van gewapende conflicten en geweld tegen burgers. </w:t>
      </w:r>
      <w:r>
        <w:rPr>
          <w:lang w:val="nl-NL"/>
        </w:rPr>
        <w:t xml:space="preserve">Hieronder worden </w:t>
      </w:r>
      <w:r w:rsidR="00C50484">
        <w:rPr>
          <w:lang w:val="nl-NL"/>
        </w:rPr>
        <w:t xml:space="preserve">een </w:t>
      </w:r>
      <w:r w:rsidR="00EC5D18">
        <w:rPr>
          <w:lang w:val="nl-NL"/>
        </w:rPr>
        <w:t xml:space="preserve">aantal </w:t>
      </w:r>
      <w:r>
        <w:rPr>
          <w:lang w:val="nl-NL"/>
        </w:rPr>
        <w:t>beleids</w:t>
      </w:r>
      <w:r w:rsidR="00AD4869">
        <w:rPr>
          <w:lang w:val="nl-NL"/>
        </w:rPr>
        <w:t>lijnen</w:t>
      </w:r>
      <w:r w:rsidR="008C6FD8">
        <w:rPr>
          <w:lang w:val="nl-NL"/>
        </w:rPr>
        <w:t xml:space="preserve"> uitgewerkt met een aantal accenten van de Nederlandse inzet</w:t>
      </w:r>
      <w:r w:rsidR="00126E62">
        <w:rPr>
          <w:lang w:val="nl-NL"/>
        </w:rPr>
        <w:t>.</w:t>
      </w:r>
    </w:p>
    <w:p w:rsidRPr="00EC4178" w:rsidR="008515C5" w:rsidP="00EC4178" w:rsidRDefault="008515C5">
      <w:pPr>
        <w:pStyle w:val="NoSpacing"/>
        <w:ind w:left="426"/>
        <w:rPr>
          <w:lang w:val="nl-NL"/>
        </w:rPr>
      </w:pPr>
    </w:p>
    <w:p w:rsidRPr="007546C5" w:rsidR="00EC4178" w:rsidP="00EC4178" w:rsidRDefault="00126E62">
      <w:pPr>
        <w:pStyle w:val="NoSpacing"/>
        <w:ind w:left="426"/>
        <w:rPr>
          <w:lang w:val="nl-NL"/>
        </w:rPr>
      </w:pPr>
      <w:r w:rsidRPr="00126E62">
        <w:rPr>
          <w:lang w:val="nl-NL"/>
        </w:rPr>
        <w:t>Een eerste beleidslijn is h</w:t>
      </w:r>
      <w:r w:rsidRPr="00126E62" w:rsidR="00AD4869">
        <w:rPr>
          <w:lang w:val="nl-NL"/>
        </w:rPr>
        <w:t>et v</w:t>
      </w:r>
      <w:r w:rsidRPr="00126E62" w:rsidR="00863FE4">
        <w:rPr>
          <w:lang w:val="nl-NL"/>
        </w:rPr>
        <w:t xml:space="preserve">oorkomen van gewapende conflicten en schendingen van </w:t>
      </w:r>
      <w:r w:rsidRPr="00126E62" w:rsidR="008B3B9A">
        <w:rPr>
          <w:lang w:val="nl-NL"/>
        </w:rPr>
        <w:t>het internationaal recht met betrekking tot de</w:t>
      </w:r>
      <w:r w:rsidRPr="00126E62" w:rsidR="00863FE4">
        <w:rPr>
          <w:lang w:val="nl-NL"/>
        </w:rPr>
        <w:t xml:space="preserve"> bescherming van de burgerb</w:t>
      </w:r>
      <w:r w:rsidRPr="00126E62" w:rsidR="008B3B9A">
        <w:rPr>
          <w:lang w:val="nl-NL"/>
        </w:rPr>
        <w:t>evolking</w:t>
      </w:r>
      <w:r w:rsidRPr="00126E62" w:rsidR="00EC4178">
        <w:rPr>
          <w:lang w:val="nl-NL"/>
        </w:rPr>
        <w:t>.</w:t>
      </w:r>
      <w:r>
        <w:rPr>
          <w:lang w:val="nl-NL"/>
        </w:rPr>
        <w:t xml:space="preserve"> </w:t>
      </w:r>
      <w:r w:rsidRPr="007546C5" w:rsidR="007E2805">
        <w:rPr>
          <w:lang w:val="nl-NL"/>
        </w:rPr>
        <w:t>Om dit te bereiken, ondersteunt Nederland e</w:t>
      </w:r>
      <w:r w:rsidRPr="007546C5" w:rsidR="008515C5">
        <w:rPr>
          <w:lang w:val="nl-NL"/>
        </w:rPr>
        <w:t xml:space="preserve">en </w:t>
      </w:r>
      <w:r w:rsidR="009244FA">
        <w:rPr>
          <w:lang w:val="nl-NL"/>
        </w:rPr>
        <w:t xml:space="preserve">goed en effectief </w:t>
      </w:r>
      <w:r w:rsidRPr="007546C5" w:rsidR="00AD4869">
        <w:rPr>
          <w:lang w:val="nl-NL"/>
        </w:rPr>
        <w:t xml:space="preserve">normatief stelsel </w:t>
      </w:r>
      <w:r w:rsidRPr="007546C5" w:rsidR="008515C5">
        <w:rPr>
          <w:lang w:val="nl-NL"/>
        </w:rPr>
        <w:t>ten behoeve van de bescherming van de burgerbevolking</w:t>
      </w:r>
      <w:r w:rsidRPr="007546C5" w:rsidR="00AD4869">
        <w:rPr>
          <w:lang w:val="nl-NL"/>
        </w:rPr>
        <w:t>, waarbij onder andere wordt ingezet op n</w:t>
      </w:r>
      <w:r w:rsidRPr="007546C5" w:rsidR="008515C5">
        <w:rPr>
          <w:lang w:val="nl-NL"/>
        </w:rPr>
        <w:t>aleving van het internationaal recht</w:t>
      </w:r>
      <w:r w:rsidRPr="007546C5" w:rsidR="00AD4869">
        <w:rPr>
          <w:lang w:val="nl-NL"/>
        </w:rPr>
        <w:t xml:space="preserve">, het consolideren </w:t>
      </w:r>
      <w:r w:rsidRPr="007546C5" w:rsidR="008515C5">
        <w:rPr>
          <w:lang w:val="nl-NL"/>
        </w:rPr>
        <w:t xml:space="preserve">en ontwikkelen van </w:t>
      </w:r>
      <w:r w:rsidR="009244FA">
        <w:rPr>
          <w:lang w:val="nl-NL"/>
        </w:rPr>
        <w:t>internationale normen</w:t>
      </w:r>
      <w:r w:rsidRPr="007546C5" w:rsidR="00AD4869">
        <w:rPr>
          <w:lang w:val="nl-NL"/>
        </w:rPr>
        <w:t xml:space="preserve"> en </w:t>
      </w:r>
      <w:r w:rsidR="008C6FD8">
        <w:rPr>
          <w:lang w:val="nl-NL"/>
        </w:rPr>
        <w:t xml:space="preserve">de </w:t>
      </w:r>
      <w:r w:rsidRPr="007546C5" w:rsidR="00AD4869">
        <w:rPr>
          <w:lang w:val="nl-NL"/>
        </w:rPr>
        <w:t>r</w:t>
      </w:r>
      <w:r w:rsidRPr="007546C5" w:rsidR="00F23746">
        <w:rPr>
          <w:lang w:val="nl-NL"/>
        </w:rPr>
        <w:t xml:space="preserve">egulering </w:t>
      </w:r>
      <w:r w:rsidRPr="007546C5" w:rsidR="00AD4869">
        <w:rPr>
          <w:lang w:val="nl-NL"/>
        </w:rPr>
        <w:t>en verminder</w:t>
      </w:r>
      <w:r w:rsidR="008C6FD8">
        <w:rPr>
          <w:lang w:val="nl-NL"/>
        </w:rPr>
        <w:t>ing</w:t>
      </w:r>
      <w:r w:rsidRPr="007546C5" w:rsidR="00AD4869">
        <w:rPr>
          <w:lang w:val="nl-NL"/>
        </w:rPr>
        <w:t xml:space="preserve"> van </w:t>
      </w:r>
      <w:r w:rsidRPr="007546C5" w:rsidR="00F23746">
        <w:rPr>
          <w:lang w:val="nl-NL"/>
        </w:rPr>
        <w:t xml:space="preserve">wapenhandel </w:t>
      </w:r>
      <w:r w:rsidRPr="007546C5" w:rsidR="00AD4869">
        <w:rPr>
          <w:lang w:val="nl-NL"/>
        </w:rPr>
        <w:t xml:space="preserve">in </w:t>
      </w:r>
      <w:r w:rsidRPr="007546C5" w:rsidR="00F23746">
        <w:rPr>
          <w:lang w:val="nl-NL"/>
        </w:rPr>
        <w:t>kleine wapens.</w:t>
      </w:r>
    </w:p>
    <w:p w:rsidRPr="00EC4178" w:rsidR="00EC4178" w:rsidP="00A5338A" w:rsidRDefault="00EC4178">
      <w:pPr>
        <w:pStyle w:val="NoSpacing"/>
        <w:rPr>
          <w:lang w:val="nl-NL"/>
        </w:rPr>
      </w:pPr>
    </w:p>
    <w:p w:rsidRPr="007546C5" w:rsidR="001B64BF" w:rsidP="00EC4178" w:rsidRDefault="00126E62">
      <w:pPr>
        <w:pStyle w:val="NoSpacing"/>
        <w:ind w:left="426"/>
        <w:rPr>
          <w:lang w:val="nl-NL"/>
        </w:rPr>
      </w:pPr>
      <w:r w:rsidRPr="008C6FD8">
        <w:rPr>
          <w:lang w:val="nl-NL"/>
        </w:rPr>
        <w:t>Een tweede</w:t>
      </w:r>
      <w:r w:rsidRPr="00126E62">
        <w:rPr>
          <w:lang w:val="nl-NL"/>
        </w:rPr>
        <w:t xml:space="preserve"> beleidslijn betreft t</w:t>
      </w:r>
      <w:r w:rsidRPr="00126E62" w:rsidR="00863FE4">
        <w:rPr>
          <w:lang w:val="nl-NL"/>
        </w:rPr>
        <w:t>ijdige en effectieve be</w:t>
      </w:r>
      <w:r w:rsidRPr="00126E62" w:rsidR="009244FA">
        <w:rPr>
          <w:lang w:val="nl-NL"/>
        </w:rPr>
        <w:t>scherming van burgerbevolking tijdens</w:t>
      </w:r>
      <w:r w:rsidRPr="00126E62" w:rsidR="008B3B9A">
        <w:rPr>
          <w:lang w:val="nl-NL"/>
        </w:rPr>
        <w:t xml:space="preserve"> gewapende conflicten</w:t>
      </w:r>
      <w:r w:rsidRPr="00126E62" w:rsidR="00EC4178">
        <w:rPr>
          <w:lang w:val="nl-NL"/>
        </w:rPr>
        <w:t>.</w:t>
      </w:r>
      <w:r w:rsidRPr="00126E62">
        <w:rPr>
          <w:lang w:val="nl-NL"/>
        </w:rPr>
        <w:t xml:space="preserve"> </w:t>
      </w:r>
      <w:r w:rsidRPr="00126E62" w:rsidR="007E2805">
        <w:rPr>
          <w:lang w:val="nl-NL"/>
        </w:rPr>
        <w:t>Nederland</w:t>
      </w:r>
      <w:r w:rsidRPr="007546C5" w:rsidR="007E2805">
        <w:rPr>
          <w:lang w:val="nl-NL"/>
        </w:rPr>
        <w:t xml:space="preserve"> streeft naar</w:t>
      </w:r>
      <w:r w:rsidR="008C6FD8">
        <w:rPr>
          <w:lang w:val="nl-NL"/>
        </w:rPr>
        <w:t xml:space="preserve"> de</w:t>
      </w:r>
      <w:r w:rsidRPr="007546C5" w:rsidR="007E2805">
        <w:rPr>
          <w:lang w:val="nl-NL"/>
        </w:rPr>
        <w:t xml:space="preserve"> e</w:t>
      </w:r>
      <w:r w:rsidRPr="007546C5" w:rsidR="008515C5">
        <w:rPr>
          <w:lang w:val="nl-NL"/>
        </w:rPr>
        <w:t xml:space="preserve">ffectieve ondersteuning </w:t>
      </w:r>
      <w:r w:rsidR="00A53D7A">
        <w:rPr>
          <w:lang w:val="nl-NL"/>
        </w:rPr>
        <w:t>v</w:t>
      </w:r>
      <w:r w:rsidRPr="007546C5" w:rsidR="008515C5">
        <w:rPr>
          <w:lang w:val="nl-NL"/>
        </w:rPr>
        <w:t>an nationale staten in het bieden van bescherming aan de burgerbevolking in gewapend</w:t>
      </w:r>
      <w:r w:rsidR="008C6FD8">
        <w:rPr>
          <w:lang w:val="nl-NL"/>
        </w:rPr>
        <w:t>e</w:t>
      </w:r>
      <w:r w:rsidRPr="007546C5" w:rsidR="008515C5">
        <w:rPr>
          <w:lang w:val="nl-NL"/>
        </w:rPr>
        <w:t xml:space="preserve"> conflict</w:t>
      </w:r>
      <w:r w:rsidR="008C6FD8">
        <w:rPr>
          <w:lang w:val="nl-NL"/>
        </w:rPr>
        <w:t>en</w:t>
      </w:r>
      <w:r w:rsidR="00A53D7A">
        <w:rPr>
          <w:lang w:val="nl-NL"/>
        </w:rPr>
        <w:t xml:space="preserve"> en </w:t>
      </w:r>
      <w:r w:rsidR="008C6FD8">
        <w:rPr>
          <w:lang w:val="nl-NL"/>
        </w:rPr>
        <w:t>moedigt de VN en regionale organisaties aan hiertoe actie te nemen.</w:t>
      </w:r>
      <w:r w:rsidR="00A53D7A">
        <w:rPr>
          <w:lang w:val="nl-NL"/>
        </w:rPr>
        <w:t xml:space="preserve"> In bepaalde gevallen draagt Nederland bij aan internationale missies waar</w:t>
      </w:r>
      <w:r w:rsidR="005B6178">
        <w:rPr>
          <w:lang w:val="nl-NL"/>
        </w:rPr>
        <w:t>van</w:t>
      </w:r>
      <w:r w:rsidR="00A53D7A">
        <w:rPr>
          <w:lang w:val="nl-NL"/>
        </w:rPr>
        <w:t xml:space="preserve"> de bescherming van burgers deel </w:t>
      </w:r>
      <w:r w:rsidR="005B6178">
        <w:rPr>
          <w:lang w:val="nl-NL"/>
        </w:rPr>
        <w:t>uitmaakt</w:t>
      </w:r>
      <w:r w:rsidR="00A53D7A">
        <w:rPr>
          <w:lang w:val="nl-NL"/>
        </w:rPr>
        <w:t>.</w:t>
      </w:r>
      <w:r w:rsidR="00FC1190">
        <w:rPr>
          <w:lang w:val="nl-NL"/>
        </w:rPr>
        <w:t xml:space="preserve"> </w:t>
      </w:r>
      <w:r w:rsidR="008C6FD8">
        <w:rPr>
          <w:lang w:val="nl-NL"/>
        </w:rPr>
        <w:t>Voorts pleit</w:t>
      </w:r>
      <w:r w:rsidRPr="007546C5" w:rsidR="00AD4869">
        <w:rPr>
          <w:lang w:val="nl-NL"/>
        </w:rPr>
        <w:t xml:space="preserve"> Nederland voor</w:t>
      </w:r>
      <w:r w:rsidR="008C6FD8">
        <w:rPr>
          <w:lang w:val="nl-NL"/>
        </w:rPr>
        <w:t xml:space="preserve"> de</w:t>
      </w:r>
      <w:r w:rsidRPr="007546C5" w:rsidR="00AD4869">
        <w:rPr>
          <w:lang w:val="nl-NL"/>
        </w:rPr>
        <w:t xml:space="preserve"> o</w:t>
      </w:r>
      <w:r w:rsidRPr="007546C5" w:rsidR="008515C5">
        <w:rPr>
          <w:lang w:val="nl-NL"/>
        </w:rPr>
        <w:t xml:space="preserve">nbelemmerde </w:t>
      </w:r>
      <w:r w:rsidRPr="007546C5" w:rsidR="003E1369">
        <w:rPr>
          <w:lang w:val="nl-NL"/>
        </w:rPr>
        <w:t>toegang</w:t>
      </w:r>
      <w:r w:rsidR="008C6FD8">
        <w:rPr>
          <w:lang w:val="nl-NL"/>
        </w:rPr>
        <w:t xml:space="preserve"> van</w:t>
      </w:r>
      <w:r w:rsidRPr="007546C5" w:rsidR="003E1369">
        <w:rPr>
          <w:lang w:val="nl-NL"/>
        </w:rPr>
        <w:t xml:space="preserve"> </w:t>
      </w:r>
      <w:r w:rsidRPr="007546C5" w:rsidR="001B64BF">
        <w:rPr>
          <w:lang w:val="nl-NL"/>
        </w:rPr>
        <w:t xml:space="preserve">humanitaire actoren </w:t>
      </w:r>
      <w:r w:rsidRPr="007546C5" w:rsidR="003E1369">
        <w:rPr>
          <w:lang w:val="nl-NL"/>
        </w:rPr>
        <w:t>tot kwetsbare burgers en respect voor principes</w:t>
      </w:r>
      <w:r w:rsidRPr="007546C5" w:rsidR="008515C5">
        <w:rPr>
          <w:lang w:val="nl-NL"/>
        </w:rPr>
        <w:t xml:space="preserve"> van </w:t>
      </w:r>
      <w:r w:rsidRPr="007546C5" w:rsidR="003E1369">
        <w:rPr>
          <w:lang w:val="nl-NL"/>
        </w:rPr>
        <w:t>neutraliteit, onpartijdigheid en onafhan</w:t>
      </w:r>
      <w:r w:rsidRPr="007546C5" w:rsidR="001B64BF">
        <w:rPr>
          <w:lang w:val="nl-NL"/>
        </w:rPr>
        <w:t>kelijkheid van humanitaire hulp.</w:t>
      </w:r>
    </w:p>
    <w:p w:rsidRPr="007546C5" w:rsidR="00EC5D18" w:rsidP="00EC4178" w:rsidRDefault="00EC5D18">
      <w:pPr>
        <w:pStyle w:val="NoSpacing"/>
        <w:ind w:left="426"/>
        <w:rPr>
          <w:lang w:val="nl-NL"/>
        </w:rPr>
      </w:pPr>
    </w:p>
    <w:p w:rsidRPr="007546C5" w:rsidR="00EC5D18" w:rsidP="00A5338A" w:rsidRDefault="008515C5">
      <w:pPr>
        <w:pStyle w:val="NoSpacing"/>
        <w:ind w:left="426"/>
        <w:rPr>
          <w:lang w:val="nl-NL"/>
        </w:rPr>
      </w:pPr>
      <w:r w:rsidRPr="007546C5">
        <w:rPr>
          <w:lang w:val="nl-NL"/>
        </w:rPr>
        <w:t>Nederland</w:t>
      </w:r>
      <w:r w:rsidRPr="007546C5" w:rsidR="00EC4178">
        <w:rPr>
          <w:lang w:val="nl-NL"/>
        </w:rPr>
        <w:t xml:space="preserve"> zet</w:t>
      </w:r>
      <w:r w:rsidR="00FC1190">
        <w:rPr>
          <w:lang w:val="nl-NL"/>
        </w:rPr>
        <w:t xml:space="preserve"> </w:t>
      </w:r>
      <w:r w:rsidRPr="007546C5">
        <w:rPr>
          <w:lang w:val="nl-NL"/>
        </w:rPr>
        <w:t>in</w:t>
      </w:r>
      <w:r w:rsidRPr="007546C5" w:rsidR="00EC4178">
        <w:rPr>
          <w:lang w:val="nl-NL"/>
        </w:rPr>
        <w:t xml:space="preserve"> </w:t>
      </w:r>
      <w:r w:rsidRPr="007546C5">
        <w:rPr>
          <w:lang w:val="nl-NL"/>
        </w:rPr>
        <w:t>op</w:t>
      </w:r>
      <w:r w:rsidRPr="007546C5" w:rsidR="001B64BF">
        <w:rPr>
          <w:lang w:val="nl-NL"/>
        </w:rPr>
        <w:t xml:space="preserve"> </w:t>
      </w:r>
      <w:r w:rsidRPr="007546C5">
        <w:rPr>
          <w:lang w:val="nl-NL"/>
        </w:rPr>
        <w:t>duidelijk</w:t>
      </w:r>
      <w:r w:rsidRPr="007546C5" w:rsidR="001B64BF">
        <w:rPr>
          <w:lang w:val="nl-NL"/>
        </w:rPr>
        <w:t>e</w:t>
      </w:r>
      <w:r w:rsidRPr="007546C5">
        <w:rPr>
          <w:lang w:val="nl-NL"/>
        </w:rPr>
        <w:t xml:space="preserve"> mandat</w:t>
      </w:r>
      <w:r w:rsidRPr="007546C5" w:rsidR="001B64BF">
        <w:rPr>
          <w:lang w:val="nl-NL"/>
        </w:rPr>
        <w:t>en</w:t>
      </w:r>
      <w:r w:rsidRPr="007546C5">
        <w:rPr>
          <w:lang w:val="nl-NL"/>
        </w:rPr>
        <w:t xml:space="preserve"> </w:t>
      </w:r>
      <w:r w:rsidR="009244FA">
        <w:rPr>
          <w:lang w:val="nl-NL"/>
        </w:rPr>
        <w:t>voor vredesmissies</w:t>
      </w:r>
      <w:r w:rsidR="008C6FD8">
        <w:rPr>
          <w:lang w:val="nl-NL"/>
        </w:rPr>
        <w:t xml:space="preserve"> met</w:t>
      </w:r>
      <w:r w:rsidR="009244FA">
        <w:rPr>
          <w:lang w:val="nl-NL"/>
        </w:rPr>
        <w:t>,</w:t>
      </w:r>
      <w:r w:rsidRPr="007546C5" w:rsidR="009244FA">
        <w:rPr>
          <w:lang w:val="nl-NL"/>
        </w:rPr>
        <w:t xml:space="preserve"> waar relevant, </w:t>
      </w:r>
      <w:r w:rsidRPr="007546C5" w:rsidR="001B64BF">
        <w:rPr>
          <w:lang w:val="nl-NL"/>
        </w:rPr>
        <w:t xml:space="preserve">aandacht voor </w:t>
      </w:r>
      <w:r w:rsidRPr="007546C5">
        <w:rPr>
          <w:lang w:val="nl-NL"/>
        </w:rPr>
        <w:t>de bescherming van de burgerbevolking</w:t>
      </w:r>
      <w:r w:rsidRPr="007546C5" w:rsidR="001B64BF">
        <w:rPr>
          <w:lang w:val="nl-NL"/>
        </w:rPr>
        <w:t xml:space="preserve"> en </w:t>
      </w:r>
      <w:r w:rsidRPr="007546C5">
        <w:rPr>
          <w:lang w:val="nl-NL"/>
        </w:rPr>
        <w:t>het hanteren van een geïntegreerde aanpak bij de uitvoering.</w:t>
      </w:r>
      <w:r w:rsidRPr="007546C5" w:rsidR="001B64BF">
        <w:rPr>
          <w:lang w:val="nl-NL"/>
        </w:rPr>
        <w:t xml:space="preserve"> Dit </w:t>
      </w:r>
      <w:r w:rsidRPr="007546C5" w:rsidR="00EC4178">
        <w:rPr>
          <w:lang w:val="nl-NL"/>
        </w:rPr>
        <w:t xml:space="preserve">laatste </w:t>
      </w:r>
      <w:r w:rsidRPr="007546C5" w:rsidR="001B64BF">
        <w:rPr>
          <w:lang w:val="nl-NL"/>
        </w:rPr>
        <w:t xml:space="preserve">geldt ook voor </w:t>
      </w:r>
      <w:r w:rsidRPr="007546C5">
        <w:rPr>
          <w:lang w:val="nl-NL"/>
        </w:rPr>
        <w:t xml:space="preserve">het bepalen van </w:t>
      </w:r>
      <w:r w:rsidRPr="007546C5" w:rsidR="001B64BF">
        <w:rPr>
          <w:lang w:val="nl-NL"/>
        </w:rPr>
        <w:t xml:space="preserve">een eventuele </w:t>
      </w:r>
      <w:r w:rsidRPr="007546C5">
        <w:rPr>
          <w:lang w:val="nl-NL"/>
        </w:rPr>
        <w:t>Nederlandse bijdrage aan vredesmissies.</w:t>
      </w:r>
      <w:r w:rsidRPr="007546C5" w:rsidR="001B64BF">
        <w:rPr>
          <w:lang w:val="nl-NL"/>
        </w:rPr>
        <w:t xml:space="preserve"> Belangrijk is ook het borgen </w:t>
      </w:r>
      <w:r w:rsidRPr="007546C5">
        <w:rPr>
          <w:lang w:val="nl-NL"/>
        </w:rPr>
        <w:t xml:space="preserve">en </w:t>
      </w:r>
      <w:r w:rsidRPr="007546C5" w:rsidR="001B64BF">
        <w:rPr>
          <w:lang w:val="nl-NL"/>
        </w:rPr>
        <w:t xml:space="preserve">uitvoeren </w:t>
      </w:r>
      <w:r w:rsidRPr="007546C5">
        <w:rPr>
          <w:lang w:val="nl-NL"/>
        </w:rPr>
        <w:t xml:space="preserve">van geleerde lessen en </w:t>
      </w:r>
      <w:r w:rsidRPr="009244FA">
        <w:rPr>
          <w:i/>
          <w:lang w:val="nl-NL"/>
        </w:rPr>
        <w:t>best practices</w:t>
      </w:r>
      <w:r w:rsidRPr="007546C5" w:rsidR="00EC4178">
        <w:rPr>
          <w:lang w:val="nl-NL"/>
        </w:rPr>
        <w:t>.</w:t>
      </w:r>
    </w:p>
    <w:p w:rsidRPr="009C0DA1" w:rsidR="008515C5" w:rsidP="00A5338A" w:rsidRDefault="008515C5">
      <w:pPr>
        <w:pStyle w:val="NoSpacing"/>
        <w:rPr>
          <w:lang w:val="nl-NL"/>
        </w:rPr>
      </w:pPr>
    </w:p>
    <w:p w:rsidRPr="00EC4178" w:rsidR="008515C5" w:rsidP="00EC4178" w:rsidRDefault="00126E62">
      <w:pPr>
        <w:pStyle w:val="NoSpacing"/>
        <w:ind w:left="426"/>
        <w:rPr>
          <w:lang w:val="nl-NL"/>
        </w:rPr>
      </w:pPr>
      <w:r>
        <w:rPr>
          <w:lang w:val="nl-NL"/>
        </w:rPr>
        <w:t>Ten derde ligt accent op s</w:t>
      </w:r>
      <w:r w:rsidRPr="00126E62" w:rsidR="00863FE4">
        <w:rPr>
          <w:lang w:val="nl-NL"/>
        </w:rPr>
        <w:t>trafrechtelijke veran</w:t>
      </w:r>
      <w:r w:rsidRPr="00126E62" w:rsidR="008B3B9A">
        <w:rPr>
          <w:lang w:val="nl-NL"/>
        </w:rPr>
        <w:t>twoording</w:t>
      </w:r>
      <w:r w:rsidRPr="00126E62" w:rsidR="009244FA">
        <w:rPr>
          <w:lang w:val="nl-NL"/>
        </w:rPr>
        <w:t>: onderzoek en vervolging</w:t>
      </w:r>
      <w:r w:rsidRPr="00126E62">
        <w:rPr>
          <w:lang w:val="nl-NL"/>
        </w:rPr>
        <w:t>.</w:t>
      </w:r>
      <w:r w:rsidRPr="00E300AC" w:rsidR="008C6FD8">
        <w:rPr>
          <w:lang w:val="nl-NL"/>
        </w:rPr>
        <w:t xml:space="preserve"> </w:t>
      </w:r>
      <w:r w:rsidRPr="007546C5" w:rsidR="007E2805">
        <w:rPr>
          <w:lang w:val="nl-NL"/>
        </w:rPr>
        <w:t>Bij b</w:t>
      </w:r>
      <w:r w:rsidRPr="007546C5" w:rsidR="008515C5">
        <w:rPr>
          <w:lang w:val="nl-NL"/>
        </w:rPr>
        <w:t>estrijding van straffeloosheid</w:t>
      </w:r>
      <w:r w:rsidRPr="007546C5" w:rsidR="001B64BF">
        <w:rPr>
          <w:lang w:val="nl-NL"/>
        </w:rPr>
        <w:t xml:space="preserve"> w</w:t>
      </w:r>
      <w:r w:rsidRPr="007546C5" w:rsidR="007E2805">
        <w:rPr>
          <w:lang w:val="nl-NL"/>
        </w:rPr>
        <w:t>ordt</w:t>
      </w:r>
      <w:r w:rsidRPr="00EC4178" w:rsidR="001B64BF">
        <w:rPr>
          <w:lang w:val="nl-NL"/>
        </w:rPr>
        <w:t xml:space="preserve"> onder andere ingezet op een b</w:t>
      </w:r>
      <w:r w:rsidRPr="00EC4178" w:rsidR="003A38F1">
        <w:rPr>
          <w:lang w:val="nl-NL"/>
        </w:rPr>
        <w:t>ijdrage aan de versterking van het systeem van internationaalrechtelijke instellingen</w:t>
      </w:r>
      <w:r w:rsidRPr="00EC4178" w:rsidR="001B64BF">
        <w:rPr>
          <w:lang w:val="nl-NL"/>
        </w:rPr>
        <w:t>, u</w:t>
      </w:r>
      <w:r w:rsidRPr="00EC4178" w:rsidR="008515C5">
        <w:rPr>
          <w:lang w:val="nl-NL"/>
        </w:rPr>
        <w:t>niversele aanvaarding van de rechtsmacht van het Internationaal Strafhof en het Internationaal Gerechtshof</w:t>
      </w:r>
      <w:r w:rsidRPr="00EC4178" w:rsidR="001B64BF">
        <w:rPr>
          <w:lang w:val="nl-NL"/>
        </w:rPr>
        <w:t>, als ook het v</w:t>
      </w:r>
      <w:r w:rsidRPr="00EC4178" w:rsidR="008515C5">
        <w:rPr>
          <w:lang w:val="nl-NL"/>
        </w:rPr>
        <w:t>ersterk</w:t>
      </w:r>
      <w:r w:rsidRPr="00EC4178" w:rsidR="001B64BF">
        <w:rPr>
          <w:lang w:val="nl-NL"/>
        </w:rPr>
        <w:t xml:space="preserve">en van de </w:t>
      </w:r>
      <w:r w:rsidRPr="00EC4178" w:rsidR="008515C5">
        <w:rPr>
          <w:lang w:val="nl-NL"/>
        </w:rPr>
        <w:t>capaciteit</w:t>
      </w:r>
      <w:r w:rsidRPr="00EC4178" w:rsidR="003A38F1">
        <w:rPr>
          <w:lang w:val="nl-NL"/>
        </w:rPr>
        <w:t xml:space="preserve"> van de VN en andere organisaties</w:t>
      </w:r>
      <w:r w:rsidRPr="00EC4178" w:rsidR="00EC4178">
        <w:rPr>
          <w:lang w:val="nl-NL"/>
        </w:rPr>
        <w:t>.</w:t>
      </w:r>
    </w:p>
    <w:p w:rsidRPr="00EC4178" w:rsidR="008515C5" w:rsidP="00EC4178" w:rsidRDefault="008515C5">
      <w:pPr>
        <w:pStyle w:val="NoSpacing"/>
        <w:ind w:left="426"/>
        <w:rPr>
          <w:lang w:val="nl-NL"/>
        </w:rPr>
      </w:pPr>
    </w:p>
    <w:p w:rsidRPr="005B036E" w:rsidR="008515C5" w:rsidP="00EC4178" w:rsidRDefault="00126E62">
      <w:pPr>
        <w:pStyle w:val="NoSpacing"/>
        <w:ind w:left="426"/>
        <w:rPr>
          <w:lang w:val="nl-NL"/>
        </w:rPr>
      </w:pPr>
      <w:r>
        <w:rPr>
          <w:lang w:val="nl-NL"/>
        </w:rPr>
        <w:t>Ten</w:t>
      </w:r>
      <w:r w:rsidR="00D70949">
        <w:rPr>
          <w:lang w:val="nl-NL"/>
        </w:rPr>
        <w:t xml:space="preserve"> </w:t>
      </w:r>
      <w:r>
        <w:rPr>
          <w:lang w:val="nl-NL"/>
        </w:rPr>
        <w:t>slotte is w</w:t>
      </w:r>
      <w:r w:rsidRPr="00126E62" w:rsidR="008B3B9A">
        <w:rPr>
          <w:lang w:val="nl-NL"/>
        </w:rPr>
        <w:t>ederopbouw</w:t>
      </w:r>
      <w:r>
        <w:rPr>
          <w:lang w:val="nl-NL"/>
        </w:rPr>
        <w:t xml:space="preserve"> van belang. </w:t>
      </w:r>
      <w:r w:rsidRPr="00EC4178" w:rsidR="001B64BF">
        <w:rPr>
          <w:lang w:val="nl-NL"/>
        </w:rPr>
        <w:t>Nederland zet hierbij onder andere in op</w:t>
      </w:r>
      <w:r w:rsidR="008C6FD8">
        <w:rPr>
          <w:lang w:val="nl-NL"/>
        </w:rPr>
        <w:t xml:space="preserve"> de bevordering van de</w:t>
      </w:r>
      <w:r w:rsidRPr="00EC4178" w:rsidR="001B64BF">
        <w:rPr>
          <w:lang w:val="nl-NL"/>
        </w:rPr>
        <w:t xml:space="preserve"> b</w:t>
      </w:r>
      <w:r w:rsidRPr="00EC4178" w:rsidR="008515C5">
        <w:rPr>
          <w:lang w:val="nl-NL"/>
        </w:rPr>
        <w:t xml:space="preserve">ewustwording </w:t>
      </w:r>
      <w:r w:rsidR="008C6FD8">
        <w:rPr>
          <w:lang w:val="nl-NL"/>
        </w:rPr>
        <w:t xml:space="preserve">van staten </w:t>
      </w:r>
      <w:r w:rsidRPr="00EC4178" w:rsidR="008515C5">
        <w:rPr>
          <w:lang w:val="nl-NL"/>
        </w:rPr>
        <w:t>voor verplichtingen om bescherming te bieden aan de eigen burgerbevolking</w:t>
      </w:r>
      <w:r w:rsidR="00A5338A">
        <w:rPr>
          <w:lang w:val="nl-NL"/>
        </w:rPr>
        <w:t>.</w:t>
      </w:r>
      <w:r w:rsidR="00C25F06">
        <w:rPr>
          <w:lang w:val="nl-NL"/>
        </w:rPr>
        <w:t xml:space="preserve"> Verder </w:t>
      </w:r>
      <w:r w:rsidR="000953FC">
        <w:rPr>
          <w:lang w:val="nl-NL"/>
        </w:rPr>
        <w:t xml:space="preserve">speelt </w:t>
      </w:r>
      <w:r w:rsidR="00C25F06">
        <w:rPr>
          <w:lang w:val="nl-NL"/>
        </w:rPr>
        <w:t>Nede</w:t>
      </w:r>
      <w:r w:rsidR="000953FC">
        <w:rPr>
          <w:lang w:val="nl-NL"/>
        </w:rPr>
        <w:t>rland een rol</w:t>
      </w:r>
      <w:r w:rsidR="00C25F06">
        <w:rPr>
          <w:lang w:val="nl-NL"/>
        </w:rPr>
        <w:t xml:space="preserve"> in de</w:t>
      </w:r>
      <w:r w:rsidRPr="00EC4178" w:rsidR="001B64BF">
        <w:rPr>
          <w:lang w:val="nl-NL"/>
        </w:rPr>
        <w:t xml:space="preserve"> hervorming </w:t>
      </w:r>
      <w:r w:rsidR="00C25F06">
        <w:rPr>
          <w:lang w:val="nl-NL"/>
        </w:rPr>
        <w:t xml:space="preserve">en professionalisering </w:t>
      </w:r>
      <w:r w:rsidRPr="00EC4178" w:rsidR="001B64BF">
        <w:rPr>
          <w:lang w:val="nl-NL"/>
        </w:rPr>
        <w:t>van de v</w:t>
      </w:r>
      <w:r w:rsidRPr="00A30DE9" w:rsidR="008515C5">
        <w:rPr>
          <w:lang w:val="nl-NL"/>
        </w:rPr>
        <w:t>eiligheidssector</w:t>
      </w:r>
      <w:r w:rsidR="00A5338A">
        <w:rPr>
          <w:lang w:val="nl-NL"/>
        </w:rPr>
        <w:t>,</w:t>
      </w:r>
      <w:r w:rsidR="00F77B6F">
        <w:rPr>
          <w:lang w:val="nl-NL"/>
        </w:rPr>
        <w:t xml:space="preserve"> </w:t>
      </w:r>
      <w:r w:rsidR="00C25F06">
        <w:rPr>
          <w:lang w:val="nl-NL"/>
        </w:rPr>
        <w:t xml:space="preserve">voornamelijk in partnerlanden, door advisering, training en </w:t>
      </w:r>
      <w:r w:rsidR="00A5338A">
        <w:rPr>
          <w:lang w:val="nl-NL"/>
        </w:rPr>
        <w:t>capaciteitsopbouw</w:t>
      </w:r>
      <w:r w:rsidR="00C25F06">
        <w:rPr>
          <w:lang w:val="nl-NL"/>
        </w:rPr>
        <w:t xml:space="preserve"> van de krijgsmacht, politie en rechterlijke macht en de bevordering van </w:t>
      </w:r>
      <w:r w:rsidRPr="00A30DE9" w:rsidR="008515C5">
        <w:rPr>
          <w:lang w:val="nl-NL"/>
        </w:rPr>
        <w:t>demobilisatie, re-integratie en werkgelegenheid voor oud-strijders</w:t>
      </w:r>
      <w:r w:rsidR="008515C5">
        <w:rPr>
          <w:lang w:val="nl-NL"/>
        </w:rPr>
        <w:t>.</w:t>
      </w:r>
      <w:r w:rsidR="001B64BF">
        <w:rPr>
          <w:lang w:val="nl-NL"/>
        </w:rPr>
        <w:t xml:space="preserve"> Ook </w:t>
      </w:r>
      <w:r w:rsidRPr="00EC4178" w:rsidR="008515C5">
        <w:rPr>
          <w:lang w:val="nl-NL"/>
        </w:rPr>
        <w:t>ontmijn</w:t>
      </w:r>
      <w:r w:rsidRPr="00EC4178" w:rsidR="001B64BF">
        <w:rPr>
          <w:lang w:val="nl-NL"/>
        </w:rPr>
        <w:t>ing,</w:t>
      </w:r>
      <w:r w:rsidRPr="00EC4178" w:rsidR="008515C5">
        <w:rPr>
          <w:lang w:val="nl-NL"/>
        </w:rPr>
        <w:t xml:space="preserve"> opruiming van clustermunitie en ontwapening</w:t>
      </w:r>
      <w:r w:rsidRPr="00EC4178" w:rsidR="001B64BF">
        <w:rPr>
          <w:lang w:val="nl-NL"/>
        </w:rPr>
        <w:t xml:space="preserve"> krijg</w:t>
      </w:r>
      <w:r w:rsidR="00FC1190">
        <w:rPr>
          <w:lang w:val="nl-NL"/>
        </w:rPr>
        <w:t>en</w:t>
      </w:r>
      <w:r w:rsidRPr="00EC4178" w:rsidR="001B64BF">
        <w:rPr>
          <w:lang w:val="nl-NL"/>
        </w:rPr>
        <w:t xml:space="preserve"> de aandacht, net als </w:t>
      </w:r>
      <w:r w:rsidR="00C25F06">
        <w:rPr>
          <w:lang w:val="nl-NL"/>
        </w:rPr>
        <w:t xml:space="preserve">de </w:t>
      </w:r>
      <w:r w:rsidRPr="00EC4178" w:rsidR="001B64BF">
        <w:rPr>
          <w:lang w:val="nl-NL"/>
        </w:rPr>
        <w:t>o</w:t>
      </w:r>
      <w:r w:rsidRPr="00EC4178" w:rsidR="00F77B6F">
        <w:rPr>
          <w:lang w:val="nl-NL"/>
        </w:rPr>
        <w:t xml:space="preserve">ndersteuning bij terugkeer van vluchtelingen, </w:t>
      </w:r>
      <w:r w:rsidRPr="00EC4178" w:rsidR="001B64BF">
        <w:rPr>
          <w:lang w:val="nl-NL"/>
        </w:rPr>
        <w:t xml:space="preserve">op een manier die </w:t>
      </w:r>
      <w:r w:rsidR="00C25F06">
        <w:rPr>
          <w:lang w:val="nl-NL"/>
        </w:rPr>
        <w:t xml:space="preserve">de </w:t>
      </w:r>
      <w:r w:rsidRPr="00EC4178" w:rsidR="00F77B6F">
        <w:rPr>
          <w:lang w:val="nl-NL"/>
        </w:rPr>
        <w:t>stabiliteit</w:t>
      </w:r>
      <w:r w:rsidR="00A5338A">
        <w:rPr>
          <w:lang w:val="nl-NL"/>
        </w:rPr>
        <w:t xml:space="preserve"> </w:t>
      </w:r>
      <w:r w:rsidR="00C25F06">
        <w:rPr>
          <w:lang w:val="nl-NL"/>
        </w:rPr>
        <w:t xml:space="preserve">niet in gevaar brengt. </w:t>
      </w:r>
    </w:p>
    <w:sectPr w:rsidRPr="005B036E" w:rsidR="008515C5" w:rsidSect="00752A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rtlGutter/>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4EB" w:rsidRDefault="00BE64EB" w:rsidP="00B859D6">
      <w:pPr>
        <w:spacing w:after="0"/>
      </w:pPr>
      <w:r>
        <w:separator/>
      </w:r>
    </w:p>
  </w:endnote>
  <w:endnote w:type="continuationSeparator" w:id="0">
    <w:p w:rsidR="00BE64EB" w:rsidRDefault="00BE64EB" w:rsidP="00B85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EB" w:rsidRDefault="00017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7A" w:rsidRDefault="00A53D7A">
    <w:pPr>
      <w:pStyle w:val="Footer"/>
      <w:jc w:val="right"/>
    </w:pPr>
    <w:r>
      <w:fldChar w:fldCharType="begin"/>
    </w:r>
    <w:r>
      <w:instrText xml:space="preserve"> PAGE   \* MERGEFORMAT </w:instrText>
    </w:r>
    <w:r>
      <w:fldChar w:fldCharType="separate"/>
    </w:r>
    <w:r w:rsidR="00017FEB">
      <w:rPr>
        <w:noProof/>
      </w:rPr>
      <w:t>5</w:t>
    </w:r>
    <w:r>
      <w:rPr>
        <w:noProof/>
      </w:rPr>
      <w:fldChar w:fldCharType="end"/>
    </w:r>
  </w:p>
  <w:p w:rsidR="00A53D7A" w:rsidRDefault="00A53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EB" w:rsidRDefault="00017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4EB" w:rsidRDefault="00BE64EB" w:rsidP="00B859D6">
      <w:pPr>
        <w:spacing w:after="0"/>
      </w:pPr>
      <w:r>
        <w:separator/>
      </w:r>
    </w:p>
  </w:footnote>
  <w:footnote w:type="continuationSeparator" w:id="0">
    <w:p w:rsidR="00BE64EB" w:rsidRDefault="00BE64EB" w:rsidP="00B859D6">
      <w:pPr>
        <w:spacing w:after="0"/>
      </w:pPr>
      <w:r>
        <w:continuationSeparator/>
      </w:r>
    </w:p>
  </w:footnote>
  <w:footnote w:id="1">
    <w:p w:rsidR="00A53D7A" w:rsidRDefault="00A53D7A">
      <w:pPr>
        <w:pStyle w:val="FootnoteText"/>
      </w:pPr>
      <w:r w:rsidRPr="00271236">
        <w:rPr>
          <w:rFonts w:cs="Calibri"/>
          <w:sz w:val="12"/>
          <w:szCs w:val="12"/>
        </w:rPr>
        <w:footnoteRef/>
      </w:r>
      <w:r w:rsidRPr="00856BCD">
        <w:rPr>
          <w:rFonts w:cs="Calibri"/>
          <w:sz w:val="16"/>
          <w:szCs w:val="16"/>
        </w:rPr>
        <w:t xml:space="preserve"> “DPKO/DFS Operational Concept on the Protecction of Civilians in UN Peacekeeping Operations” (New York, UN, 2010)</w:t>
      </w:r>
      <w:r>
        <w:rPr>
          <w:rFonts w:cs="Calibri"/>
          <w:sz w:val="16"/>
          <w:szCs w:val="16"/>
        </w:rPr>
        <w:t>.</w:t>
      </w:r>
    </w:p>
  </w:footnote>
  <w:footnote w:id="2">
    <w:p w:rsidR="00A53D7A" w:rsidRDefault="00A53D7A">
      <w:pPr>
        <w:pStyle w:val="FootnoteText"/>
      </w:pPr>
      <w:r w:rsidRPr="00271236">
        <w:rPr>
          <w:rFonts w:cs="Calibri"/>
          <w:sz w:val="12"/>
          <w:szCs w:val="12"/>
        </w:rPr>
        <w:footnoteRef/>
      </w:r>
      <w:r w:rsidRPr="00271236">
        <w:rPr>
          <w:rFonts w:cs="Calibri"/>
          <w:sz w:val="12"/>
          <w:szCs w:val="12"/>
        </w:rPr>
        <w:t xml:space="preserve"> </w:t>
      </w:r>
      <w:r w:rsidRPr="00856BCD">
        <w:rPr>
          <w:rFonts w:cs="Calibri"/>
          <w:sz w:val="16"/>
          <w:szCs w:val="16"/>
        </w:rPr>
        <w:t>“ A New Partnership Agenda: Charting a New Horizon for UN Peacekeeping” (NY, DPKO/DFS, 2009) en “Report  of The Panel on UN Peacekeeping Organisations. The Brahi</w:t>
      </w:r>
      <w:r>
        <w:rPr>
          <w:rFonts w:cs="Calibri"/>
          <w:sz w:val="16"/>
          <w:szCs w:val="16"/>
        </w:rPr>
        <w:t>mi report” (New York, UN, 2000).</w:t>
      </w:r>
    </w:p>
  </w:footnote>
  <w:footnote w:id="3">
    <w:p w:rsidR="00A53D7A" w:rsidRDefault="00A53D7A">
      <w:pPr>
        <w:pStyle w:val="FootnoteText"/>
      </w:pPr>
      <w:r w:rsidRPr="00271236">
        <w:rPr>
          <w:rFonts w:cs="Calibri"/>
          <w:sz w:val="12"/>
          <w:szCs w:val="12"/>
        </w:rPr>
        <w:footnoteRef/>
      </w:r>
      <w:r w:rsidRPr="00271236">
        <w:rPr>
          <w:rFonts w:cs="Calibri"/>
          <w:sz w:val="12"/>
          <w:szCs w:val="12"/>
        </w:rPr>
        <w:t xml:space="preserve"> </w:t>
      </w:r>
      <w:r>
        <w:rPr>
          <w:rFonts w:cs="Calibri"/>
          <w:sz w:val="16"/>
          <w:szCs w:val="16"/>
        </w:rPr>
        <w:t xml:space="preserve">Oa </w:t>
      </w:r>
      <w:r w:rsidRPr="00247D90">
        <w:rPr>
          <w:rFonts w:cs="Calibri"/>
          <w:sz w:val="16"/>
          <w:szCs w:val="16"/>
        </w:rPr>
        <w:t>VNVR resoluties</w:t>
      </w:r>
      <w:r>
        <w:rPr>
          <w:rFonts w:cs="Calibri"/>
          <w:sz w:val="16"/>
          <w:szCs w:val="16"/>
        </w:rPr>
        <w:t xml:space="preserve"> 1925 (MONUSCO), 1970 (</w:t>
      </w:r>
      <w:r w:rsidRPr="00247D90">
        <w:rPr>
          <w:rFonts w:cs="Calibri"/>
          <w:sz w:val="16"/>
          <w:szCs w:val="16"/>
        </w:rPr>
        <w:t>Libië) en 1996 (</w:t>
      </w:r>
      <w:r>
        <w:rPr>
          <w:rFonts w:cs="Calibri"/>
          <w:sz w:val="16"/>
          <w:szCs w:val="16"/>
        </w:rPr>
        <w:t>UNMISS</w:t>
      </w:r>
      <w:r w:rsidRPr="00247D90">
        <w:rPr>
          <w:rFonts w:cs="Calibri"/>
          <w:sz w:val="16"/>
          <w:szCs w:val="16"/>
        </w:rPr>
        <w:t>)</w:t>
      </w:r>
      <w:r>
        <w:rPr>
          <w:rFonts w:cs="Calibri"/>
          <w:sz w:val="16"/>
          <w:szCs w:val="16"/>
        </w:rPr>
        <w:t>.</w:t>
      </w:r>
    </w:p>
  </w:footnote>
  <w:footnote w:id="4">
    <w:p w:rsidR="00A53D7A" w:rsidRPr="00DC42CD" w:rsidRDefault="00A53D7A">
      <w:pPr>
        <w:pStyle w:val="FootnoteText"/>
        <w:rPr>
          <w:sz w:val="16"/>
          <w:szCs w:val="16"/>
        </w:rPr>
      </w:pPr>
      <w:r w:rsidRPr="00DC42CD">
        <w:rPr>
          <w:rStyle w:val="FootnoteReference"/>
          <w:sz w:val="16"/>
          <w:szCs w:val="16"/>
        </w:rPr>
        <w:footnoteRef/>
      </w:r>
      <w:r w:rsidRPr="00DC42CD">
        <w:rPr>
          <w:sz w:val="16"/>
          <w:szCs w:val="16"/>
        </w:rPr>
        <w:t xml:space="preserve"> </w:t>
      </w:r>
      <w:r w:rsidRPr="004F321E">
        <w:rPr>
          <w:sz w:val="16"/>
          <w:szCs w:val="16"/>
        </w:rPr>
        <w:t>Onder andere “</w:t>
      </w:r>
      <w:r w:rsidRPr="00DC42CD">
        <w:rPr>
          <w:sz w:val="16"/>
          <w:szCs w:val="16"/>
        </w:rPr>
        <w:t>Report of the Secretary-General on the protection of civilians in armed conflict</w:t>
      </w:r>
      <w:r>
        <w:rPr>
          <w:sz w:val="16"/>
          <w:szCs w:val="16"/>
        </w:rPr>
        <w:t>”</w:t>
      </w:r>
      <w:r w:rsidRPr="00DC42CD">
        <w:rPr>
          <w:sz w:val="16"/>
          <w:szCs w:val="16"/>
        </w:rPr>
        <w:t xml:space="preserve"> (</w:t>
      </w:r>
      <w:r w:rsidRPr="004F321E">
        <w:rPr>
          <w:sz w:val="16"/>
          <w:szCs w:val="16"/>
        </w:rPr>
        <w:t>New York, UN, 2012), VN VR resolutie 1856 (2008) en 1996 (2011)</w:t>
      </w:r>
      <w:r>
        <w:rPr>
          <w:sz w:val="16"/>
          <w:szCs w:val="16"/>
        </w:rPr>
        <w:t>.</w:t>
      </w:r>
    </w:p>
  </w:footnote>
  <w:footnote w:id="5">
    <w:p w:rsidR="00A53D7A" w:rsidRPr="00DC42CD" w:rsidRDefault="00A53D7A" w:rsidP="00A72850">
      <w:pPr>
        <w:pStyle w:val="FootnoteText"/>
        <w:rPr>
          <w:sz w:val="16"/>
          <w:szCs w:val="16"/>
        </w:rPr>
      </w:pPr>
      <w:r w:rsidRPr="004F321E">
        <w:rPr>
          <w:rStyle w:val="FootnoteReference"/>
          <w:sz w:val="16"/>
          <w:szCs w:val="16"/>
        </w:rPr>
        <w:footnoteRef/>
      </w:r>
      <w:r w:rsidRPr="004F321E">
        <w:rPr>
          <w:sz w:val="16"/>
          <w:szCs w:val="16"/>
        </w:rPr>
        <w:t xml:space="preserve"> Inter-Agency Standing Committee, 2001</w:t>
      </w:r>
      <w:r>
        <w:rPr>
          <w:sz w:val="16"/>
          <w:szCs w:val="16"/>
        </w:rPr>
        <w:t>.</w:t>
      </w:r>
    </w:p>
  </w:footnote>
  <w:footnote w:id="6">
    <w:p w:rsidR="00A53D7A" w:rsidRPr="00DC42CD" w:rsidRDefault="00A53D7A" w:rsidP="00866957">
      <w:pPr>
        <w:pStyle w:val="FootnoteText"/>
        <w:rPr>
          <w:sz w:val="16"/>
          <w:szCs w:val="16"/>
        </w:rPr>
      </w:pPr>
      <w:r w:rsidRPr="00271236">
        <w:rPr>
          <w:rStyle w:val="FootnoteReference"/>
          <w:sz w:val="16"/>
          <w:szCs w:val="16"/>
        </w:rPr>
        <w:footnoteRef/>
      </w:r>
      <w:r w:rsidRPr="00DC42CD">
        <w:rPr>
          <w:sz w:val="16"/>
          <w:szCs w:val="16"/>
        </w:rPr>
        <w:t xml:space="preserve"> </w:t>
      </w:r>
      <w:r w:rsidRPr="00DC42CD">
        <w:rPr>
          <w:rFonts w:cs="Arial"/>
          <w:sz w:val="16"/>
          <w:szCs w:val="16"/>
          <w:lang w:val="en-GB"/>
        </w:rPr>
        <w:t>Zie bijvoorbeeld: The Code of Conduct for the International Red Cross and Red Crescent Movement and NGOs in Disaster Relief.</w:t>
      </w:r>
    </w:p>
  </w:footnote>
  <w:footnote w:id="7">
    <w:p w:rsidR="00A53D7A" w:rsidRDefault="00A53D7A" w:rsidP="00866957">
      <w:pPr>
        <w:pStyle w:val="FootnoteText"/>
      </w:pPr>
      <w:r w:rsidRPr="00DC42CD">
        <w:rPr>
          <w:rStyle w:val="FootnoteReference"/>
          <w:sz w:val="16"/>
          <w:szCs w:val="16"/>
        </w:rPr>
        <w:footnoteRef/>
      </w:r>
      <w:r w:rsidRPr="00DC42CD">
        <w:rPr>
          <w:sz w:val="16"/>
          <w:szCs w:val="16"/>
        </w:rPr>
        <w:t xml:space="preserve"> </w:t>
      </w:r>
      <w:r w:rsidRPr="00DC42CD">
        <w:rPr>
          <w:rFonts w:cs="Arial"/>
          <w:i/>
          <w:sz w:val="16"/>
          <w:szCs w:val="16"/>
          <w:lang w:val="en-GB"/>
        </w:rPr>
        <w:t>Oslo Guidelines for the Use of Foreign Military and Civil Defence Assets in Disaster Relief</w:t>
      </w:r>
      <w:r w:rsidRPr="00DC42CD">
        <w:rPr>
          <w:rFonts w:cs="Arial"/>
          <w:sz w:val="16"/>
          <w:szCs w:val="16"/>
          <w:lang w:val="en-GB"/>
        </w:rPr>
        <w:t>’</w:t>
      </w:r>
      <w:r w:rsidRPr="00DC42CD">
        <w:rPr>
          <w:rFonts w:cs="Arial"/>
          <w:sz w:val="16"/>
          <w:szCs w:val="16"/>
          <w:vertAlign w:val="superscript"/>
        </w:rPr>
        <w:footnoteRef/>
      </w:r>
      <w:r w:rsidRPr="00DC42CD">
        <w:rPr>
          <w:rFonts w:cs="Arial"/>
          <w:sz w:val="16"/>
          <w:szCs w:val="16"/>
          <w:lang w:val="en-GB"/>
        </w:rPr>
        <w:t xml:space="preserve"> en ‘</w:t>
      </w:r>
      <w:r w:rsidRPr="00DC42CD">
        <w:rPr>
          <w:rFonts w:cs="Arial"/>
          <w:i/>
          <w:sz w:val="16"/>
          <w:szCs w:val="16"/>
          <w:lang w:val="en-GB"/>
        </w:rPr>
        <w:t>Guidelines of Military and Civil Defence Assets (MCDA) To Support United Nations Humanitarian Activities in Complex Emergencies’</w:t>
      </w:r>
      <w:r w:rsidRPr="00DC42CD">
        <w:rPr>
          <w:rFonts w:cs="Arial"/>
          <w:i/>
          <w:sz w:val="16"/>
          <w:szCs w:val="16"/>
          <w:vertAlign w:val="superscript"/>
          <w:lang w:val="en-GB"/>
        </w:rPr>
        <w:footnoteRef/>
      </w:r>
      <w:r w:rsidRPr="00DC42CD">
        <w:rPr>
          <w:rFonts w:cs="Arial"/>
          <w:i/>
          <w:sz w:val="16"/>
          <w:szCs w:val="16"/>
          <w:lang w:val="en-GB"/>
        </w:rPr>
        <w:t>,</w:t>
      </w:r>
      <w:r w:rsidRPr="00DC42CD">
        <w:rPr>
          <w:rFonts w:cs="Arial"/>
          <w:sz w:val="16"/>
          <w:szCs w:val="16"/>
        </w:rPr>
        <w:t>1994 en 2003</w:t>
      </w:r>
      <w:r>
        <w:rPr>
          <w:rFonts w:cs="Arial"/>
          <w:sz w:val="16"/>
          <w:szCs w:val="16"/>
        </w:rPr>
        <w:t>.</w:t>
      </w:r>
    </w:p>
  </w:footnote>
  <w:footnote w:id="8">
    <w:p w:rsidR="00A53D7A" w:rsidRPr="00E76589" w:rsidRDefault="00A53D7A" w:rsidP="005871A9">
      <w:pPr>
        <w:pStyle w:val="ListParagraph"/>
        <w:ind w:left="0"/>
        <w:rPr>
          <w:lang w:val="nl-NL"/>
        </w:rPr>
      </w:pPr>
      <w:r>
        <w:rPr>
          <w:rStyle w:val="FootnoteReference"/>
        </w:rPr>
        <w:footnoteRef/>
      </w:r>
      <w:r w:rsidRPr="00F62F67">
        <w:rPr>
          <w:lang w:val="nl-NL"/>
        </w:rPr>
        <w:t xml:space="preserve"> </w:t>
      </w:r>
      <w:r w:rsidRPr="00F62F67">
        <w:rPr>
          <w:rFonts w:cs="Arial"/>
          <w:sz w:val="16"/>
          <w:szCs w:val="16"/>
          <w:lang w:val="nl-NL"/>
        </w:rPr>
        <w:t>Relevante documenten in dit kader zijn onder meer</w:t>
      </w:r>
      <w:r>
        <w:rPr>
          <w:rFonts w:cs="Arial"/>
          <w:sz w:val="16"/>
          <w:szCs w:val="16"/>
          <w:lang w:val="nl-NL"/>
        </w:rPr>
        <w:t xml:space="preserve"> d</w:t>
      </w:r>
      <w:r w:rsidRPr="00F62F67">
        <w:rPr>
          <w:rFonts w:cs="Arial"/>
          <w:sz w:val="16"/>
          <w:szCs w:val="16"/>
          <w:lang w:val="nl-NL"/>
        </w:rPr>
        <w:t>e “Focusbrief ontwikkelingssamenwerking”</w:t>
      </w:r>
      <w:r>
        <w:rPr>
          <w:rFonts w:cs="Arial"/>
          <w:sz w:val="16"/>
          <w:szCs w:val="16"/>
          <w:lang w:val="nl-NL"/>
        </w:rPr>
        <w:t>,</w:t>
      </w:r>
      <w:r w:rsidRPr="00F62F67">
        <w:rPr>
          <w:rFonts w:cs="Arial"/>
          <w:sz w:val="16"/>
          <w:szCs w:val="16"/>
          <w:lang w:val="nl-NL"/>
        </w:rPr>
        <w:t xml:space="preserve"> brief “speerpunt veiligheid en rechtsorde”</w:t>
      </w:r>
      <w:r>
        <w:rPr>
          <w:rFonts w:cs="Arial"/>
          <w:sz w:val="16"/>
          <w:szCs w:val="16"/>
          <w:lang w:val="nl-NL"/>
        </w:rPr>
        <w:t xml:space="preserve"> </w:t>
      </w:r>
      <w:r w:rsidRPr="00F62F67">
        <w:rPr>
          <w:sz w:val="16"/>
          <w:szCs w:val="16"/>
          <w:lang w:val="nl-NL"/>
        </w:rPr>
        <w:t>(Kamerstuk 32605, Nr. 2)</w:t>
      </w:r>
      <w:r>
        <w:rPr>
          <w:sz w:val="16"/>
          <w:szCs w:val="16"/>
          <w:lang w:val="nl-NL"/>
        </w:rPr>
        <w:t>, h</w:t>
      </w:r>
      <w:r w:rsidRPr="00F62F67">
        <w:rPr>
          <w:rFonts w:cs="Arial"/>
          <w:sz w:val="16"/>
          <w:szCs w:val="16"/>
          <w:lang w:val="nl-NL"/>
        </w:rPr>
        <w:t>et Beleidskader Humanitaire hulp “Hulp aan mensen in nood” (Kamerstuk 32605, Nr. 64);</w:t>
      </w:r>
      <w:r>
        <w:rPr>
          <w:rFonts w:cs="Arial"/>
          <w:sz w:val="16"/>
          <w:szCs w:val="16"/>
          <w:lang w:val="nl-NL"/>
        </w:rPr>
        <w:t xml:space="preserve"> </w:t>
      </w:r>
      <w:r w:rsidRPr="0028721A">
        <w:rPr>
          <w:rFonts w:cs="Arial"/>
          <w:sz w:val="16"/>
          <w:szCs w:val="16"/>
          <w:lang w:val="nl-NL"/>
        </w:rPr>
        <w:t>Dutch National Action Plan (2012 – 2015) For the implementation of UN Security Council Resolution 1325</w:t>
      </w:r>
      <w:r>
        <w:rPr>
          <w:rFonts w:cs="Arial"/>
          <w:sz w:val="16"/>
          <w:szCs w:val="16"/>
          <w:lang w:val="nl-NL"/>
        </w:rPr>
        <w:t xml:space="preserve">; </w:t>
      </w:r>
      <w:r w:rsidRPr="00F62F67">
        <w:rPr>
          <w:rFonts w:cs="Arial"/>
          <w:sz w:val="16"/>
          <w:szCs w:val="16"/>
          <w:lang w:val="nl-NL"/>
        </w:rPr>
        <w:t xml:space="preserve">Regeringsreactie op het AIV-advies </w:t>
      </w:r>
      <w:r>
        <w:rPr>
          <w:rFonts w:cs="Arial"/>
          <w:sz w:val="16"/>
          <w:szCs w:val="16"/>
          <w:lang w:val="nl-NL"/>
        </w:rPr>
        <w:t>“</w:t>
      </w:r>
      <w:r w:rsidRPr="00F62F67">
        <w:rPr>
          <w:rFonts w:cs="Arial"/>
          <w:sz w:val="16"/>
          <w:szCs w:val="16"/>
          <w:lang w:val="nl-NL"/>
        </w:rPr>
        <w:t>Nederland en de Responsibility to Protect</w:t>
      </w:r>
      <w:r>
        <w:rPr>
          <w:rFonts w:cs="Arial"/>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EB" w:rsidRDefault="00017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EB" w:rsidRDefault="00017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EB" w:rsidRDefault="00017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406"/>
    <w:multiLevelType w:val="hybridMultilevel"/>
    <w:tmpl w:val="E1EA93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24132C2"/>
    <w:multiLevelType w:val="hybridMultilevel"/>
    <w:tmpl w:val="FD8EF2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47D46AF"/>
    <w:multiLevelType w:val="hybridMultilevel"/>
    <w:tmpl w:val="CC30C882"/>
    <w:lvl w:ilvl="0" w:tplc="61B49A0A">
      <w:start w:val="1"/>
      <w:numFmt w:val="bullet"/>
      <w:lvlText w:val="-"/>
      <w:lvlJc w:val="left"/>
      <w:pPr>
        <w:ind w:left="360" w:hanging="360"/>
      </w:pPr>
      <w:rPr>
        <w:rFonts w:ascii="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5811D53"/>
    <w:multiLevelType w:val="hybridMultilevel"/>
    <w:tmpl w:val="539E330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nsid w:val="17890DAC"/>
    <w:multiLevelType w:val="hybridMultilevel"/>
    <w:tmpl w:val="7EF04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D01662B"/>
    <w:multiLevelType w:val="hybridMultilevel"/>
    <w:tmpl w:val="966652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nsid w:val="21D46B27"/>
    <w:multiLevelType w:val="hybridMultilevel"/>
    <w:tmpl w:val="24981E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31359DF"/>
    <w:multiLevelType w:val="hybridMultilevel"/>
    <w:tmpl w:val="EDAC7060"/>
    <w:lvl w:ilvl="0" w:tplc="04130001">
      <w:start w:val="1"/>
      <w:numFmt w:val="bullet"/>
      <w:lvlText w:val=""/>
      <w:lvlJc w:val="left"/>
      <w:pPr>
        <w:ind w:left="426" w:hanging="360"/>
      </w:pPr>
      <w:rPr>
        <w:rFonts w:ascii="Symbol" w:hAnsi="Symbol" w:hint="default"/>
      </w:rPr>
    </w:lvl>
    <w:lvl w:ilvl="1" w:tplc="04130003" w:tentative="1">
      <w:start w:val="1"/>
      <w:numFmt w:val="bullet"/>
      <w:lvlText w:val="o"/>
      <w:lvlJc w:val="left"/>
      <w:pPr>
        <w:ind w:left="1146" w:hanging="360"/>
      </w:pPr>
      <w:rPr>
        <w:rFonts w:ascii="Courier New" w:hAnsi="Courier New"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8">
    <w:nsid w:val="2EA4136F"/>
    <w:multiLevelType w:val="hybridMultilevel"/>
    <w:tmpl w:val="D578FDF4"/>
    <w:lvl w:ilvl="0" w:tplc="DB4A255E">
      <w:start w:val="4"/>
      <w:numFmt w:val="bullet"/>
      <w:lvlText w:val=""/>
      <w:lvlJc w:val="left"/>
      <w:pPr>
        <w:tabs>
          <w:tab w:val="num" w:pos="1277"/>
        </w:tabs>
        <w:ind w:left="1277" w:hanging="284"/>
      </w:pPr>
      <w:rPr>
        <w:rFonts w:ascii="Symbol" w:hAnsi="Symbol" w:hint="default"/>
        <w:color w:val="auto"/>
      </w:rPr>
    </w:lvl>
    <w:lvl w:ilvl="1" w:tplc="04130003" w:tentative="1">
      <w:start w:val="1"/>
      <w:numFmt w:val="bullet"/>
      <w:lvlText w:val="o"/>
      <w:lvlJc w:val="left"/>
      <w:pPr>
        <w:tabs>
          <w:tab w:val="num" w:pos="1866"/>
        </w:tabs>
        <w:ind w:left="1866" w:hanging="360"/>
      </w:pPr>
      <w:rPr>
        <w:rFonts w:ascii="Courier New" w:hAnsi="Courier New" w:hint="default"/>
      </w:rPr>
    </w:lvl>
    <w:lvl w:ilvl="2" w:tplc="04130005" w:tentative="1">
      <w:start w:val="1"/>
      <w:numFmt w:val="bullet"/>
      <w:lvlText w:val=""/>
      <w:lvlJc w:val="left"/>
      <w:pPr>
        <w:tabs>
          <w:tab w:val="num" w:pos="2586"/>
        </w:tabs>
        <w:ind w:left="2586" w:hanging="360"/>
      </w:pPr>
      <w:rPr>
        <w:rFonts w:ascii="Wingdings" w:hAnsi="Wingdings" w:hint="default"/>
      </w:rPr>
    </w:lvl>
    <w:lvl w:ilvl="3" w:tplc="04130001" w:tentative="1">
      <w:start w:val="1"/>
      <w:numFmt w:val="bullet"/>
      <w:lvlText w:val=""/>
      <w:lvlJc w:val="left"/>
      <w:pPr>
        <w:tabs>
          <w:tab w:val="num" w:pos="3306"/>
        </w:tabs>
        <w:ind w:left="3306" w:hanging="360"/>
      </w:pPr>
      <w:rPr>
        <w:rFonts w:ascii="Symbol" w:hAnsi="Symbol" w:hint="default"/>
      </w:rPr>
    </w:lvl>
    <w:lvl w:ilvl="4" w:tplc="04130003" w:tentative="1">
      <w:start w:val="1"/>
      <w:numFmt w:val="bullet"/>
      <w:lvlText w:val="o"/>
      <w:lvlJc w:val="left"/>
      <w:pPr>
        <w:tabs>
          <w:tab w:val="num" w:pos="4026"/>
        </w:tabs>
        <w:ind w:left="4026" w:hanging="360"/>
      </w:pPr>
      <w:rPr>
        <w:rFonts w:ascii="Courier New" w:hAnsi="Courier New" w:hint="default"/>
      </w:rPr>
    </w:lvl>
    <w:lvl w:ilvl="5" w:tplc="04130005" w:tentative="1">
      <w:start w:val="1"/>
      <w:numFmt w:val="bullet"/>
      <w:lvlText w:val=""/>
      <w:lvlJc w:val="left"/>
      <w:pPr>
        <w:tabs>
          <w:tab w:val="num" w:pos="4746"/>
        </w:tabs>
        <w:ind w:left="4746" w:hanging="360"/>
      </w:pPr>
      <w:rPr>
        <w:rFonts w:ascii="Wingdings" w:hAnsi="Wingdings" w:hint="default"/>
      </w:rPr>
    </w:lvl>
    <w:lvl w:ilvl="6" w:tplc="04130001" w:tentative="1">
      <w:start w:val="1"/>
      <w:numFmt w:val="bullet"/>
      <w:lvlText w:val=""/>
      <w:lvlJc w:val="left"/>
      <w:pPr>
        <w:tabs>
          <w:tab w:val="num" w:pos="5466"/>
        </w:tabs>
        <w:ind w:left="5466" w:hanging="360"/>
      </w:pPr>
      <w:rPr>
        <w:rFonts w:ascii="Symbol" w:hAnsi="Symbol" w:hint="default"/>
      </w:rPr>
    </w:lvl>
    <w:lvl w:ilvl="7" w:tplc="04130003" w:tentative="1">
      <w:start w:val="1"/>
      <w:numFmt w:val="bullet"/>
      <w:lvlText w:val="o"/>
      <w:lvlJc w:val="left"/>
      <w:pPr>
        <w:tabs>
          <w:tab w:val="num" w:pos="6186"/>
        </w:tabs>
        <w:ind w:left="6186" w:hanging="360"/>
      </w:pPr>
      <w:rPr>
        <w:rFonts w:ascii="Courier New" w:hAnsi="Courier New" w:hint="default"/>
      </w:rPr>
    </w:lvl>
    <w:lvl w:ilvl="8" w:tplc="04130005" w:tentative="1">
      <w:start w:val="1"/>
      <w:numFmt w:val="bullet"/>
      <w:lvlText w:val=""/>
      <w:lvlJc w:val="left"/>
      <w:pPr>
        <w:tabs>
          <w:tab w:val="num" w:pos="6906"/>
        </w:tabs>
        <w:ind w:left="6906" w:hanging="360"/>
      </w:pPr>
      <w:rPr>
        <w:rFonts w:ascii="Wingdings" w:hAnsi="Wingdings" w:hint="default"/>
      </w:rPr>
    </w:lvl>
  </w:abstractNum>
  <w:abstractNum w:abstractNumId="9">
    <w:nsid w:val="30706A73"/>
    <w:multiLevelType w:val="hybridMultilevel"/>
    <w:tmpl w:val="70E0BF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31170B81"/>
    <w:multiLevelType w:val="hybridMultilevel"/>
    <w:tmpl w:val="16645B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2F92845"/>
    <w:multiLevelType w:val="hybridMultilevel"/>
    <w:tmpl w:val="4F8C37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696564F"/>
    <w:multiLevelType w:val="hybridMultilevel"/>
    <w:tmpl w:val="FC5E4968"/>
    <w:lvl w:ilvl="0" w:tplc="0413000F">
      <w:start w:val="1"/>
      <w:numFmt w:val="decimal"/>
      <w:lvlText w:val="%1."/>
      <w:lvlJc w:val="left"/>
      <w:pPr>
        <w:ind w:left="720" w:hanging="360"/>
      </w:p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9884DDF"/>
    <w:multiLevelType w:val="hybridMultilevel"/>
    <w:tmpl w:val="913AFB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ABD1D03"/>
    <w:multiLevelType w:val="hybridMultilevel"/>
    <w:tmpl w:val="5C0EE2DC"/>
    <w:lvl w:ilvl="0" w:tplc="04130001">
      <w:start w:val="1"/>
      <w:numFmt w:val="bullet"/>
      <w:lvlText w:val=""/>
      <w:lvlJc w:val="left"/>
      <w:pPr>
        <w:ind w:left="1866" w:hanging="360"/>
      </w:pPr>
      <w:rPr>
        <w:rFonts w:ascii="Symbol" w:hAnsi="Symbol" w:hint="default"/>
      </w:rPr>
    </w:lvl>
    <w:lvl w:ilvl="1" w:tplc="04130003" w:tentative="1">
      <w:start w:val="1"/>
      <w:numFmt w:val="bullet"/>
      <w:lvlText w:val="o"/>
      <w:lvlJc w:val="left"/>
      <w:pPr>
        <w:ind w:left="2586" w:hanging="360"/>
      </w:pPr>
      <w:rPr>
        <w:rFonts w:ascii="Courier New" w:hAnsi="Courier New" w:hint="default"/>
      </w:rPr>
    </w:lvl>
    <w:lvl w:ilvl="2" w:tplc="04130005" w:tentative="1">
      <w:start w:val="1"/>
      <w:numFmt w:val="bullet"/>
      <w:lvlText w:val=""/>
      <w:lvlJc w:val="left"/>
      <w:pPr>
        <w:ind w:left="3306" w:hanging="360"/>
      </w:pPr>
      <w:rPr>
        <w:rFonts w:ascii="Wingdings" w:hAnsi="Wingdings" w:hint="default"/>
      </w:rPr>
    </w:lvl>
    <w:lvl w:ilvl="3" w:tplc="04130001" w:tentative="1">
      <w:start w:val="1"/>
      <w:numFmt w:val="bullet"/>
      <w:lvlText w:val=""/>
      <w:lvlJc w:val="left"/>
      <w:pPr>
        <w:ind w:left="4026" w:hanging="360"/>
      </w:pPr>
      <w:rPr>
        <w:rFonts w:ascii="Symbol" w:hAnsi="Symbol" w:hint="default"/>
      </w:rPr>
    </w:lvl>
    <w:lvl w:ilvl="4" w:tplc="04130003" w:tentative="1">
      <w:start w:val="1"/>
      <w:numFmt w:val="bullet"/>
      <w:lvlText w:val="o"/>
      <w:lvlJc w:val="left"/>
      <w:pPr>
        <w:ind w:left="4746" w:hanging="360"/>
      </w:pPr>
      <w:rPr>
        <w:rFonts w:ascii="Courier New" w:hAnsi="Courier New" w:hint="default"/>
      </w:rPr>
    </w:lvl>
    <w:lvl w:ilvl="5" w:tplc="04130005" w:tentative="1">
      <w:start w:val="1"/>
      <w:numFmt w:val="bullet"/>
      <w:lvlText w:val=""/>
      <w:lvlJc w:val="left"/>
      <w:pPr>
        <w:ind w:left="5466" w:hanging="360"/>
      </w:pPr>
      <w:rPr>
        <w:rFonts w:ascii="Wingdings" w:hAnsi="Wingdings" w:hint="default"/>
      </w:rPr>
    </w:lvl>
    <w:lvl w:ilvl="6" w:tplc="04130001" w:tentative="1">
      <w:start w:val="1"/>
      <w:numFmt w:val="bullet"/>
      <w:lvlText w:val=""/>
      <w:lvlJc w:val="left"/>
      <w:pPr>
        <w:ind w:left="6186" w:hanging="360"/>
      </w:pPr>
      <w:rPr>
        <w:rFonts w:ascii="Symbol" w:hAnsi="Symbol" w:hint="default"/>
      </w:rPr>
    </w:lvl>
    <w:lvl w:ilvl="7" w:tplc="04130003" w:tentative="1">
      <w:start w:val="1"/>
      <w:numFmt w:val="bullet"/>
      <w:lvlText w:val="o"/>
      <w:lvlJc w:val="left"/>
      <w:pPr>
        <w:ind w:left="6906" w:hanging="360"/>
      </w:pPr>
      <w:rPr>
        <w:rFonts w:ascii="Courier New" w:hAnsi="Courier New" w:hint="default"/>
      </w:rPr>
    </w:lvl>
    <w:lvl w:ilvl="8" w:tplc="04130005" w:tentative="1">
      <w:start w:val="1"/>
      <w:numFmt w:val="bullet"/>
      <w:lvlText w:val=""/>
      <w:lvlJc w:val="left"/>
      <w:pPr>
        <w:ind w:left="7626" w:hanging="360"/>
      </w:pPr>
      <w:rPr>
        <w:rFonts w:ascii="Wingdings" w:hAnsi="Wingdings" w:hint="default"/>
      </w:rPr>
    </w:lvl>
  </w:abstractNum>
  <w:abstractNum w:abstractNumId="15">
    <w:nsid w:val="44BF243A"/>
    <w:multiLevelType w:val="hybridMultilevel"/>
    <w:tmpl w:val="108AD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5310F85"/>
    <w:multiLevelType w:val="hybridMultilevel"/>
    <w:tmpl w:val="11E4B1D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nsid w:val="5AE72C2C"/>
    <w:multiLevelType w:val="hybridMultilevel"/>
    <w:tmpl w:val="B4F6D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E505DD6"/>
    <w:multiLevelType w:val="hybridMultilevel"/>
    <w:tmpl w:val="32D0B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1664815"/>
    <w:multiLevelType w:val="hybridMultilevel"/>
    <w:tmpl w:val="1D50EFC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0">
    <w:nsid w:val="6DCB4D5E"/>
    <w:multiLevelType w:val="hybridMultilevel"/>
    <w:tmpl w:val="D482F740"/>
    <w:lvl w:ilvl="0" w:tplc="A044C994">
      <w:start w:val="1"/>
      <w:numFmt w:val="decimal"/>
      <w:lvlText w:val="%1."/>
      <w:lvlJc w:val="left"/>
      <w:pPr>
        <w:ind w:left="786" w:hanging="360"/>
      </w:pPr>
      <w:rPr>
        <w:rFonts w:hint="default"/>
        <w:u w:val="single"/>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1">
    <w:nsid w:val="737E05EC"/>
    <w:multiLevelType w:val="hybridMultilevel"/>
    <w:tmpl w:val="BFE64DF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2">
    <w:nsid w:val="77281DB8"/>
    <w:multiLevelType w:val="hybridMultilevel"/>
    <w:tmpl w:val="CE8A1C1A"/>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23">
    <w:nsid w:val="79FB578D"/>
    <w:multiLevelType w:val="hybridMultilevel"/>
    <w:tmpl w:val="193C96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22"/>
  </w:num>
  <w:num w:numId="3">
    <w:abstractNumId w:val="0"/>
  </w:num>
  <w:num w:numId="4">
    <w:abstractNumId w:val="11"/>
  </w:num>
  <w:num w:numId="5">
    <w:abstractNumId w:val="15"/>
  </w:num>
  <w:num w:numId="6">
    <w:abstractNumId w:val="10"/>
  </w:num>
  <w:num w:numId="7">
    <w:abstractNumId w:val="6"/>
  </w:num>
  <w:num w:numId="8">
    <w:abstractNumId w:val="13"/>
  </w:num>
  <w:num w:numId="9">
    <w:abstractNumId w:val="17"/>
  </w:num>
  <w:num w:numId="10">
    <w:abstractNumId w:val="9"/>
  </w:num>
  <w:num w:numId="11">
    <w:abstractNumId w:val="4"/>
  </w:num>
  <w:num w:numId="12">
    <w:abstractNumId w:val="23"/>
  </w:num>
  <w:num w:numId="13">
    <w:abstractNumId w:val="3"/>
  </w:num>
  <w:num w:numId="14">
    <w:abstractNumId w:val="19"/>
  </w:num>
  <w:num w:numId="15">
    <w:abstractNumId w:val="16"/>
  </w:num>
  <w:num w:numId="16">
    <w:abstractNumId w:val="14"/>
  </w:num>
  <w:num w:numId="17">
    <w:abstractNumId w:val="1"/>
  </w:num>
  <w:num w:numId="18">
    <w:abstractNumId w:val="21"/>
  </w:num>
  <w:num w:numId="19">
    <w:abstractNumId w:val="7"/>
  </w:num>
  <w:num w:numId="20">
    <w:abstractNumId w:val="5"/>
  </w:num>
  <w:num w:numId="21">
    <w:abstractNumId w:val="8"/>
  </w:num>
  <w:num w:numId="22">
    <w:abstractNumId w:val="2"/>
  </w:num>
  <w:num w:numId="23">
    <w:abstractNumId w:val="18"/>
  </w:num>
  <w:num w:numId="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6E"/>
    <w:rsid w:val="000044F7"/>
    <w:rsid w:val="00017FEB"/>
    <w:rsid w:val="00020900"/>
    <w:rsid w:val="0004224B"/>
    <w:rsid w:val="00044FB7"/>
    <w:rsid w:val="0005542E"/>
    <w:rsid w:val="00062850"/>
    <w:rsid w:val="0006314E"/>
    <w:rsid w:val="0007421E"/>
    <w:rsid w:val="00092DB0"/>
    <w:rsid w:val="000953FC"/>
    <w:rsid w:val="000A30DE"/>
    <w:rsid w:val="000A3770"/>
    <w:rsid w:val="000A6D6C"/>
    <w:rsid w:val="000A7AED"/>
    <w:rsid w:val="000B5569"/>
    <w:rsid w:val="000C422D"/>
    <w:rsid w:val="000E332F"/>
    <w:rsid w:val="000E5906"/>
    <w:rsid w:val="000E61FB"/>
    <w:rsid w:val="000F795A"/>
    <w:rsid w:val="00107B64"/>
    <w:rsid w:val="001102DE"/>
    <w:rsid w:val="001155FD"/>
    <w:rsid w:val="00121DE3"/>
    <w:rsid w:val="00126E62"/>
    <w:rsid w:val="0013307F"/>
    <w:rsid w:val="00144B10"/>
    <w:rsid w:val="0014647C"/>
    <w:rsid w:val="00154562"/>
    <w:rsid w:val="00160A35"/>
    <w:rsid w:val="00161849"/>
    <w:rsid w:val="00162D14"/>
    <w:rsid w:val="001729DF"/>
    <w:rsid w:val="00180581"/>
    <w:rsid w:val="00193C73"/>
    <w:rsid w:val="001A22E5"/>
    <w:rsid w:val="001B64BF"/>
    <w:rsid w:val="001C29B7"/>
    <w:rsid w:val="001D22F7"/>
    <w:rsid w:val="001D521B"/>
    <w:rsid w:val="001F54C4"/>
    <w:rsid w:val="001F6E45"/>
    <w:rsid w:val="002209EB"/>
    <w:rsid w:val="00247D90"/>
    <w:rsid w:val="00250696"/>
    <w:rsid w:val="00253825"/>
    <w:rsid w:val="00254AB0"/>
    <w:rsid w:val="00254BC9"/>
    <w:rsid w:val="0025628A"/>
    <w:rsid w:val="00265A4B"/>
    <w:rsid w:val="00265E95"/>
    <w:rsid w:val="00271236"/>
    <w:rsid w:val="00280B9A"/>
    <w:rsid w:val="00286AE1"/>
    <w:rsid w:val="0028721A"/>
    <w:rsid w:val="002907A4"/>
    <w:rsid w:val="002907F5"/>
    <w:rsid w:val="00295FBF"/>
    <w:rsid w:val="002A22C3"/>
    <w:rsid w:val="002A5231"/>
    <w:rsid w:val="002B0AC8"/>
    <w:rsid w:val="002B208C"/>
    <w:rsid w:val="002C0546"/>
    <w:rsid w:val="002D1850"/>
    <w:rsid w:val="002E208E"/>
    <w:rsid w:val="002E52DA"/>
    <w:rsid w:val="002E772E"/>
    <w:rsid w:val="002F1FCE"/>
    <w:rsid w:val="002F4C31"/>
    <w:rsid w:val="00307DA9"/>
    <w:rsid w:val="0033296D"/>
    <w:rsid w:val="003361E6"/>
    <w:rsid w:val="003460D2"/>
    <w:rsid w:val="0034693E"/>
    <w:rsid w:val="003505BE"/>
    <w:rsid w:val="003604E4"/>
    <w:rsid w:val="00367A03"/>
    <w:rsid w:val="00372849"/>
    <w:rsid w:val="0037570C"/>
    <w:rsid w:val="00377730"/>
    <w:rsid w:val="003956DE"/>
    <w:rsid w:val="00397B01"/>
    <w:rsid w:val="003A3500"/>
    <w:rsid w:val="003A38F1"/>
    <w:rsid w:val="003B2C92"/>
    <w:rsid w:val="003C035E"/>
    <w:rsid w:val="003E1369"/>
    <w:rsid w:val="003F205B"/>
    <w:rsid w:val="00406D4B"/>
    <w:rsid w:val="004260AE"/>
    <w:rsid w:val="004277CC"/>
    <w:rsid w:val="00430410"/>
    <w:rsid w:val="00435874"/>
    <w:rsid w:val="00445C89"/>
    <w:rsid w:val="00474BD7"/>
    <w:rsid w:val="00486FC7"/>
    <w:rsid w:val="004918E5"/>
    <w:rsid w:val="00494BB1"/>
    <w:rsid w:val="004A268F"/>
    <w:rsid w:val="004D12B8"/>
    <w:rsid w:val="004D5DE1"/>
    <w:rsid w:val="004F08AD"/>
    <w:rsid w:val="004F1E42"/>
    <w:rsid w:val="004F321E"/>
    <w:rsid w:val="005106B4"/>
    <w:rsid w:val="00530A74"/>
    <w:rsid w:val="00531111"/>
    <w:rsid w:val="005313CD"/>
    <w:rsid w:val="00535DCD"/>
    <w:rsid w:val="005377A7"/>
    <w:rsid w:val="00542852"/>
    <w:rsid w:val="00553293"/>
    <w:rsid w:val="005722A4"/>
    <w:rsid w:val="00582FFD"/>
    <w:rsid w:val="005865EB"/>
    <w:rsid w:val="005871A9"/>
    <w:rsid w:val="0059335A"/>
    <w:rsid w:val="005B036E"/>
    <w:rsid w:val="005B0630"/>
    <w:rsid w:val="005B1AE4"/>
    <w:rsid w:val="005B6178"/>
    <w:rsid w:val="005C5918"/>
    <w:rsid w:val="005C77A0"/>
    <w:rsid w:val="005D6EE4"/>
    <w:rsid w:val="005D7E1C"/>
    <w:rsid w:val="005E0F02"/>
    <w:rsid w:val="005E358E"/>
    <w:rsid w:val="005E4E76"/>
    <w:rsid w:val="005E62C4"/>
    <w:rsid w:val="00602F30"/>
    <w:rsid w:val="006068A0"/>
    <w:rsid w:val="00614FCA"/>
    <w:rsid w:val="006214B6"/>
    <w:rsid w:val="00626C2D"/>
    <w:rsid w:val="006561DB"/>
    <w:rsid w:val="00665081"/>
    <w:rsid w:val="00665A01"/>
    <w:rsid w:val="006722EC"/>
    <w:rsid w:val="006875EE"/>
    <w:rsid w:val="006A1EEC"/>
    <w:rsid w:val="006B0506"/>
    <w:rsid w:val="006B4E98"/>
    <w:rsid w:val="006D6A8A"/>
    <w:rsid w:val="006E08CA"/>
    <w:rsid w:val="006F1C4F"/>
    <w:rsid w:val="006F3B89"/>
    <w:rsid w:val="00706AB4"/>
    <w:rsid w:val="00707A6B"/>
    <w:rsid w:val="00713484"/>
    <w:rsid w:val="00746953"/>
    <w:rsid w:val="00752AFB"/>
    <w:rsid w:val="007546C5"/>
    <w:rsid w:val="00761377"/>
    <w:rsid w:val="00761F5E"/>
    <w:rsid w:val="00762903"/>
    <w:rsid w:val="00771D6E"/>
    <w:rsid w:val="007771F2"/>
    <w:rsid w:val="007A68BD"/>
    <w:rsid w:val="007A7D44"/>
    <w:rsid w:val="007B0A34"/>
    <w:rsid w:val="007B17FF"/>
    <w:rsid w:val="007C4229"/>
    <w:rsid w:val="007C5337"/>
    <w:rsid w:val="007D5206"/>
    <w:rsid w:val="007E2805"/>
    <w:rsid w:val="007E3CC2"/>
    <w:rsid w:val="007F729A"/>
    <w:rsid w:val="0080270D"/>
    <w:rsid w:val="00807D18"/>
    <w:rsid w:val="00812276"/>
    <w:rsid w:val="008123DE"/>
    <w:rsid w:val="00816F24"/>
    <w:rsid w:val="008248F4"/>
    <w:rsid w:val="008471DF"/>
    <w:rsid w:val="00850C5E"/>
    <w:rsid w:val="008515C5"/>
    <w:rsid w:val="00851F64"/>
    <w:rsid w:val="00852CBD"/>
    <w:rsid w:val="00856048"/>
    <w:rsid w:val="00856BCD"/>
    <w:rsid w:val="00861CDA"/>
    <w:rsid w:val="00863FE4"/>
    <w:rsid w:val="00866957"/>
    <w:rsid w:val="008720C2"/>
    <w:rsid w:val="00882924"/>
    <w:rsid w:val="00882955"/>
    <w:rsid w:val="00893236"/>
    <w:rsid w:val="00894A91"/>
    <w:rsid w:val="008A0819"/>
    <w:rsid w:val="008B03CF"/>
    <w:rsid w:val="008B2107"/>
    <w:rsid w:val="008B3B9A"/>
    <w:rsid w:val="008B7ED9"/>
    <w:rsid w:val="008C40AC"/>
    <w:rsid w:val="008C521C"/>
    <w:rsid w:val="008C6288"/>
    <w:rsid w:val="008C6FD8"/>
    <w:rsid w:val="008D1D84"/>
    <w:rsid w:val="008D4218"/>
    <w:rsid w:val="008E14A4"/>
    <w:rsid w:val="00910593"/>
    <w:rsid w:val="0091654D"/>
    <w:rsid w:val="009244FA"/>
    <w:rsid w:val="00930A0F"/>
    <w:rsid w:val="00931E23"/>
    <w:rsid w:val="0093519F"/>
    <w:rsid w:val="009360B0"/>
    <w:rsid w:val="00943A85"/>
    <w:rsid w:val="009525EA"/>
    <w:rsid w:val="009560F9"/>
    <w:rsid w:val="00967D4C"/>
    <w:rsid w:val="00977672"/>
    <w:rsid w:val="009912D3"/>
    <w:rsid w:val="009924A9"/>
    <w:rsid w:val="009A11B7"/>
    <w:rsid w:val="009B0984"/>
    <w:rsid w:val="009B2706"/>
    <w:rsid w:val="009B2F96"/>
    <w:rsid w:val="009B3D7B"/>
    <w:rsid w:val="009C0C44"/>
    <w:rsid w:val="009C0DA1"/>
    <w:rsid w:val="009C350F"/>
    <w:rsid w:val="009C46A9"/>
    <w:rsid w:val="009C550E"/>
    <w:rsid w:val="009C5E2A"/>
    <w:rsid w:val="009D43AB"/>
    <w:rsid w:val="009D5FDE"/>
    <w:rsid w:val="009D7BA5"/>
    <w:rsid w:val="009E677C"/>
    <w:rsid w:val="009E7C6A"/>
    <w:rsid w:val="009F38F1"/>
    <w:rsid w:val="009F3ABE"/>
    <w:rsid w:val="009F5EC4"/>
    <w:rsid w:val="00A01F0F"/>
    <w:rsid w:val="00A104D4"/>
    <w:rsid w:val="00A14401"/>
    <w:rsid w:val="00A226C5"/>
    <w:rsid w:val="00A23E46"/>
    <w:rsid w:val="00A248F3"/>
    <w:rsid w:val="00A26BAE"/>
    <w:rsid w:val="00A30DE9"/>
    <w:rsid w:val="00A33863"/>
    <w:rsid w:val="00A40113"/>
    <w:rsid w:val="00A41300"/>
    <w:rsid w:val="00A43F17"/>
    <w:rsid w:val="00A5338A"/>
    <w:rsid w:val="00A53D7A"/>
    <w:rsid w:val="00A566D1"/>
    <w:rsid w:val="00A6041E"/>
    <w:rsid w:val="00A72850"/>
    <w:rsid w:val="00A77DB2"/>
    <w:rsid w:val="00A8096A"/>
    <w:rsid w:val="00A8282E"/>
    <w:rsid w:val="00A863ED"/>
    <w:rsid w:val="00A866F3"/>
    <w:rsid w:val="00A8765E"/>
    <w:rsid w:val="00A9627D"/>
    <w:rsid w:val="00AA13AA"/>
    <w:rsid w:val="00AA41E1"/>
    <w:rsid w:val="00AA4482"/>
    <w:rsid w:val="00AD4869"/>
    <w:rsid w:val="00AD7D70"/>
    <w:rsid w:val="00AE1DBD"/>
    <w:rsid w:val="00AF2F91"/>
    <w:rsid w:val="00AF78B9"/>
    <w:rsid w:val="00B047CA"/>
    <w:rsid w:val="00B13A6B"/>
    <w:rsid w:val="00B16EF3"/>
    <w:rsid w:val="00B21310"/>
    <w:rsid w:val="00B361B2"/>
    <w:rsid w:val="00B450F3"/>
    <w:rsid w:val="00B75097"/>
    <w:rsid w:val="00B859D6"/>
    <w:rsid w:val="00B85B33"/>
    <w:rsid w:val="00B87E05"/>
    <w:rsid w:val="00B924EE"/>
    <w:rsid w:val="00BB4CAC"/>
    <w:rsid w:val="00BB69C1"/>
    <w:rsid w:val="00BC12E5"/>
    <w:rsid w:val="00BC2CDB"/>
    <w:rsid w:val="00BC6D5C"/>
    <w:rsid w:val="00BD723C"/>
    <w:rsid w:val="00BE64EB"/>
    <w:rsid w:val="00C01F14"/>
    <w:rsid w:val="00C07D5B"/>
    <w:rsid w:val="00C1142A"/>
    <w:rsid w:val="00C25F06"/>
    <w:rsid w:val="00C35F43"/>
    <w:rsid w:val="00C37396"/>
    <w:rsid w:val="00C46A22"/>
    <w:rsid w:val="00C50484"/>
    <w:rsid w:val="00C5148B"/>
    <w:rsid w:val="00C536D6"/>
    <w:rsid w:val="00C74382"/>
    <w:rsid w:val="00C86360"/>
    <w:rsid w:val="00C920ED"/>
    <w:rsid w:val="00C92578"/>
    <w:rsid w:val="00C92B98"/>
    <w:rsid w:val="00CA103A"/>
    <w:rsid w:val="00CA4FD9"/>
    <w:rsid w:val="00CA5999"/>
    <w:rsid w:val="00CC28A7"/>
    <w:rsid w:val="00CC5F67"/>
    <w:rsid w:val="00CD2D71"/>
    <w:rsid w:val="00CD6975"/>
    <w:rsid w:val="00CE00B3"/>
    <w:rsid w:val="00CE0C80"/>
    <w:rsid w:val="00CE151D"/>
    <w:rsid w:val="00CE41A8"/>
    <w:rsid w:val="00D01988"/>
    <w:rsid w:val="00D17707"/>
    <w:rsid w:val="00D22D48"/>
    <w:rsid w:val="00D2480D"/>
    <w:rsid w:val="00D2552B"/>
    <w:rsid w:val="00D309B7"/>
    <w:rsid w:val="00D32023"/>
    <w:rsid w:val="00D36B49"/>
    <w:rsid w:val="00D40A5B"/>
    <w:rsid w:val="00D51DEF"/>
    <w:rsid w:val="00D54B57"/>
    <w:rsid w:val="00D60289"/>
    <w:rsid w:val="00D63171"/>
    <w:rsid w:val="00D63F3B"/>
    <w:rsid w:val="00D63F3D"/>
    <w:rsid w:val="00D671F5"/>
    <w:rsid w:val="00D70949"/>
    <w:rsid w:val="00D70F35"/>
    <w:rsid w:val="00D71162"/>
    <w:rsid w:val="00D873B2"/>
    <w:rsid w:val="00D92990"/>
    <w:rsid w:val="00D96D5A"/>
    <w:rsid w:val="00DB3E2C"/>
    <w:rsid w:val="00DC0EA5"/>
    <w:rsid w:val="00DC42CD"/>
    <w:rsid w:val="00DE697B"/>
    <w:rsid w:val="00DF3CB7"/>
    <w:rsid w:val="00E300AC"/>
    <w:rsid w:val="00E348B4"/>
    <w:rsid w:val="00E454C3"/>
    <w:rsid w:val="00E4553A"/>
    <w:rsid w:val="00E47B17"/>
    <w:rsid w:val="00E47F4E"/>
    <w:rsid w:val="00E535C8"/>
    <w:rsid w:val="00E54E84"/>
    <w:rsid w:val="00E55522"/>
    <w:rsid w:val="00E755DD"/>
    <w:rsid w:val="00E76589"/>
    <w:rsid w:val="00E926D5"/>
    <w:rsid w:val="00E95B24"/>
    <w:rsid w:val="00E97329"/>
    <w:rsid w:val="00EA005F"/>
    <w:rsid w:val="00EA51F1"/>
    <w:rsid w:val="00EC4178"/>
    <w:rsid w:val="00EC5D18"/>
    <w:rsid w:val="00ED3526"/>
    <w:rsid w:val="00EE01A7"/>
    <w:rsid w:val="00EF0C44"/>
    <w:rsid w:val="00EF27F4"/>
    <w:rsid w:val="00EF53B9"/>
    <w:rsid w:val="00F12B63"/>
    <w:rsid w:val="00F148EA"/>
    <w:rsid w:val="00F23746"/>
    <w:rsid w:val="00F346A4"/>
    <w:rsid w:val="00F42A6F"/>
    <w:rsid w:val="00F4418B"/>
    <w:rsid w:val="00F442E1"/>
    <w:rsid w:val="00F529DB"/>
    <w:rsid w:val="00F55119"/>
    <w:rsid w:val="00F62F67"/>
    <w:rsid w:val="00F6534F"/>
    <w:rsid w:val="00F65C34"/>
    <w:rsid w:val="00F75CA3"/>
    <w:rsid w:val="00F77B6F"/>
    <w:rsid w:val="00F85134"/>
    <w:rsid w:val="00F85139"/>
    <w:rsid w:val="00F872D3"/>
    <w:rsid w:val="00F90EB5"/>
    <w:rsid w:val="00F95AE1"/>
    <w:rsid w:val="00FB2729"/>
    <w:rsid w:val="00FB34B4"/>
    <w:rsid w:val="00FC1190"/>
    <w:rsid w:val="00FD6DF1"/>
    <w:rsid w:val="00FE45E4"/>
    <w:rsid w:val="00FE6C26"/>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18"/>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036E"/>
    <w:pPr>
      <w:ind w:left="720"/>
      <w:contextualSpacing/>
    </w:pPr>
  </w:style>
  <w:style w:type="character" w:styleId="CommentReference">
    <w:name w:val="annotation reference"/>
    <w:basedOn w:val="DefaultParagraphFont"/>
    <w:uiPriority w:val="99"/>
    <w:semiHidden/>
    <w:rsid w:val="005B036E"/>
    <w:rPr>
      <w:rFonts w:cs="Times New Roman"/>
      <w:sz w:val="16"/>
      <w:szCs w:val="16"/>
    </w:rPr>
  </w:style>
  <w:style w:type="paragraph" w:styleId="CommentText">
    <w:name w:val="annotation text"/>
    <w:basedOn w:val="Normal"/>
    <w:link w:val="CommentTextChar"/>
    <w:uiPriority w:val="99"/>
    <w:semiHidden/>
    <w:rsid w:val="005B036E"/>
    <w:rPr>
      <w:sz w:val="20"/>
      <w:szCs w:val="20"/>
    </w:rPr>
  </w:style>
  <w:style w:type="character" w:customStyle="1" w:styleId="CommentTextChar">
    <w:name w:val="Comment Text Char"/>
    <w:basedOn w:val="DefaultParagraphFont"/>
    <w:link w:val="CommentText"/>
    <w:uiPriority w:val="99"/>
    <w:semiHidden/>
    <w:locked/>
    <w:rsid w:val="005B036E"/>
    <w:rPr>
      <w:rFonts w:cs="Times New Roman"/>
      <w:sz w:val="20"/>
      <w:szCs w:val="20"/>
    </w:rPr>
  </w:style>
  <w:style w:type="paragraph" w:styleId="BalloonText">
    <w:name w:val="Balloon Text"/>
    <w:basedOn w:val="Normal"/>
    <w:link w:val="BalloonTextChar"/>
    <w:uiPriority w:val="99"/>
    <w:semiHidden/>
    <w:rsid w:val="005B0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36E"/>
    <w:rPr>
      <w:rFonts w:ascii="Tahoma" w:hAnsi="Tahoma" w:cs="Tahoma"/>
      <w:sz w:val="16"/>
      <w:szCs w:val="16"/>
    </w:rPr>
  </w:style>
  <w:style w:type="paragraph" w:styleId="FootnoteText">
    <w:name w:val="footnote text"/>
    <w:basedOn w:val="Normal"/>
    <w:link w:val="FootnoteTextChar"/>
    <w:uiPriority w:val="99"/>
    <w:semiHidden/>
    <w:rsid w:val="00B859D6"/>
    <w:pPr>
      <w:spacing w:after="0"/>
    </w:pPr>
    <w:rPr>
      <w:sz w:val="20"/>
      <w:szCs w:val="20"/>
    </w:rPr>
  </w:style>
  <w:style w:type="character" w:customStyle="1" w:styleId="FootnoteTextChar">
    <w:name w:val="Footnote Text Char"/>
    <w:basedOn w:val="DefaultParagraphFont"/>
    <w:link w:val="FootnoteText"/>
    <w:uiPriority w:val="99"/>
    <w:semiHidden/>
    <w:locked/>
    <w:rsid w:val="00B859D6"/>
    <w:rPr>
      <w:rFonts w:cs="Times New Roman"/>
      <w:sz w:val="20"/>
      <w:szCs w:val="20"/>
    </w:rPr>
  </w:style>
  <w:style w:type="character" w:styleId="FootnoteReference">
    <w:name w:val="footnote reference"/>
    <w:basedOn w:val="DefaultParagraphFont"/>
    <w:uiPriority w:val="99"/>
    <w:semiHidden/>
    <w:rsid w:val="00B859D6"/>
    <w:rPr>
      <w:rFonts w:cs="Times New Roman"/>
      <w:vertAlign w:val="superscript"/>
    </w:rPr>
  </w:style>
  <w:style w:type="paragraph" w:styleId="NoSpacing">
    <w:name w:val="No Spacing"/>
    <w:uiPriority w:val="99"/>
    <w:qFormat/>
    <w:rsid w:val="00A77DB2"/>
    <w:rPr>
      <w:sz w:val="18"/>
    </w:rPr>
  </w:style>
  <w:style w:type="paragraph" w:styleId="CommentSubject">
    <w:name w:val="annotation subject"/>
    <w:basedOn w:val="CommentText"/>
    <w:next w:val="CommentText"/>
    <w:link w:val="CommentSubjectChar"/>
    <w:uiPriority w:val="99"/>
    <w:semiHidden/>
    <w:rsid w:val="0059335A"/>
    <w:rPr>
      <w:b/>
      <w:bCs/>
    </w:rPr>
  </w:style>
  <w:style w:type="character" w:customStyle="1" w:styleId="CommentSubjectChar">
    <w:name w:val="Comment Subject Char"/>
    <w:basedOn w:val="CommentTextChar"/>
    <w:link w:val="CommentSubject"/>
    <w:uiPriority w:val="99"/>
    <w:semiHidden/>
    <w:locked/>
    <w:rsid w:val="0059335A"/>
    <w:rPr>
      <w:rFonts w:cs="Times New Roman"/>
      <w:b/>
      <w:bCs/>
      <w:sz w:val="20"/>
      <w:szCs w:val="20"/>
    </w:rPr>
  </w:style>
  <w:style w:type="paragraph" w:styleId="Header">
    <w:name w:val="header"/>
    <w:basedOn w:val="Normal"/>
    <w:link w:val="HeaderChar"/>
    <w:uiPriority w:val="99"/>
    <w:rsid w:val="00816F24"/>
    <w:pPr>
      <w:tabs>
        <w:tab w:val="center" w:pos="4513"/>
        <w:tab w:val="right" w:pos="9026"/>
      </w:tabs>
      <w:spacing w:after="0"/>
    </w:pPr>
  </w:style>
  <w:style w:type="character" w:customStyle="1" w:styleId="HeaderChar">
    <w:name w:val="Header Char"/>
    <w:basedOn w:val="DefaultParagraphFont"/>
    <w:link w:val="Header"/>
    <w:uiPriority w:val="99"/>
    <w:locked/>
    <w:rsid w:val="00816F24"/>
    <w:rPr>
      <w:rFonts w:cs="Times New Roman"/>
    </w:rPr>
  </w:style>
  <w:style w:type="paragraph" w:styleId="Footer">
    <w:name w:val="footer"/>
    <w:basedOn w:val="Normal"/>
    <w:link w:val="FooterChar"/>
    <w:uiPriority w:val="99"/>
    <w:rsid w:val="00816F24"/>
    <w:pPr>
      <w:tabs>
        <w:tab w:val="center" w:pos="4513"/>
        <w:tab w:val="right" w:pos="9026"/>
      </w:tabs>
      <w:spacing w:after="0"/>
    </w:pPr>
  </w:style>
  <w:style w:type="character" w:customStyle="1" w:styleId="FooterChar">
    <w:name w:val="Footer Char"/>
    <w:basedOn w:val="DefaultParagraphFont"/>
    <w:link w:val="Footer"/>
    <w:uiPriority w:val="99"/>
    <w:locked/>
    <w:rsid w:val="00816F24"/>
    <w:rPr>
      <w:rFonts w:cs="Times New Roman"/>
    </w:rPr>
  </w:style>
  <w:style w:type="table" w:styleId="TableGrid">
    <w:name w:val="Table Grid"/>
    <w:basedOn w:val="TableNormal"/>
    <w:uiPriority w:val="99"/>
    <w:rsid w:val="00BD72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uiPriority w:val="99"/>
    <w:rsid w:val="001F54C4"/>
    <w:rPr>
      <w:rFonts w:cs="Times New Roman"/>
    </w:rPr>
  </w:style>
  <w:style w:type="paragraph" w:styleId="Revision">
    <w:name w:val="Revision"/>
    <w:hidden/>
    <w:uiPriority w:val="99"/>
    <w:semiHidden/>
    <w:rsid w:val="003C035E"/>
    <w:rPr>
      <w:sz w:val="18"/>
    </w:rPr>
  </w:style>
  <w:style w:type="paragraph" w:styleId="DocumentMap">
    <w:name w:val="Document Map"/>
    <w:basedOn w:val="Normal"/>
    <w:link w:val="DocumentMapChar"/>
    <w:uiPriority w:val="99"/>
    <w:semiHidden/>
    <w:rsid w:val="00A226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775A4"/>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18"/>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036E"/>
    <w:pPr>
      <w:ind w:left="720"/>
      <w:contextualSpacing/>
    </w:pPr>
  </w:style>
  <w:style w:type="character" w:styleId="CommentReference">
    <w:name w:val="annotation reference"/>
    <w:basedOn w:val="DefaultParagraphFont"/>
    <w:uiPriority w:val="99"/>
    <w:semiHidden/>
    <w:rsid w:val="005B036E"/>
    <w:rPr>
      <w:rFonts w:cs="Times New Roman"/>
      <w:sz w:val="16"/>
      <w:szCs w:val="16"/>
    </w:rPr>
  </w:style>
  <w:style w:type="paragraph" w:styleId="CommentText">
    <w:name w:val="annotation text"/>
    <w:basedOn w:val="Normal"/>
    <w:link w:val="CommentTextChar"/>
    <w:uiPriority w:val="99"/>
    <w:semiHidden/>
    <w:rsid w:val="005B036E"/>
    <w:rPr>
      <w:sz w:val="20"/>
      <w:szCs w:val="20"/>
    </w:rPr>
  </w:style>
  <w:style w:type="character" w:customStyle="1" w:styleId="CommentTextChar">
    <w:name w:val="Comment Text Char"/>
    <w:basedOn w:val="DefaultParagraphFont"/>
    <w:link w:val="CommentText"/>
    <w:uiPriority w:val="99"/>
    <w:semiHidden/>
    <w:locked/>
    <w:rsid w:val="005B036E"/>
    <w:rPr>
      <w:rFonts w:cs="Times New Roman"/>
      <w:sz w:val="20"/>
      <w:szCs w:val="20"/>
    </w:rPr>
  </w:style>
  <w:style w:type="paragraph" w:styleId="BalloonText">
    <w:name w:val="Balloon Text"/>
    <w:basedOn w:val="Normal"/>
    <w:link w:val="BalloonTextChar"/>
    <w:uiPriority w:val="99"/>
    <w:semiHidden/>
    <w:rsid w:val="005B0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36E"/>
    <w:rPr>
      <w:rFonts w:ascii="Tahoma" w:hAnsi="Tahoma" w:cs="Tahoma"/>
      <w:sz w:val="16"/>
      <w:szCs w:val="16"/>
    </w:rPr>
  </w:style>
  <w:style w:type="paragraph" w:styleId="FootnoteText">
    <w:name w:val="footnote text"/>
    <w:basedOn w:val="Normal"/>
    <w:link w:val="FootnoteTextChar"/>
    <w:uiPriority w:val="99"/>
    <w:semiHidden/>
    <w:rsid w:val="00B859D6"/>
    <w:pPr>
      <w:spacing w:after="0"/>
    </w:pPr>
    <w:rPr>
      <w:sz w:val="20"/>
      <w:szCs w:val="20"/>
    </w:rPr>
  </w:style>
  <w:style w:type="character" w:customStyle="1" w:styleId="FootnoteTextChar">
    <w:name w:val="Footnote Text Char"/>
    <w:basedOn w:val="DefaultParagraphFont"/>
    <w:link w:val="FootnoteText"/>
    <w:uiPriority w:val="99"/>
    <w:semiHidden/>
    <w:locked/>
    <w:rsid w:val="00B859D6"/>
    <w:rPr>
      <w:rFonts w:cs="Times New Roman"/>
      <w:sz w:val="20"/>
      <w:szCs w:val="20"/>
    </w:rPr>
  </w:style>
  <w:style w:type="character" w:styleId="FootnoteReference">
    <w:name w:val="footnote reference"/>
    <w:basedOn w:val="DefaultParagraphFont"/>
    <w:uiPriority w:val="99"/>
    <w:semiHidden/>
    <w:rsid w:val="00B859D6"/>
    <w:rPr>
      <w:rFonts w:cs="Times New Roman"/>
      <w:vertAlign w:val="superscript"/>
    </w:rPr>
  </w:style>
  <w:style w:type="paragraph" w:styleId="NoSpacing">
    <w:name w:val="No Spacing"/>
    <w:uiPriority w:val="99"/>
    <w:qFormat/>
    <w:rsid w:val="00A77DB2"/>
    <w:rPr>
      <w:sz w:val="18"/>
    </w:rPr>
  </w:style>
  <w:style w:type="paragraph" w:styleId="CommentSubject">
    <w:name w:val="annotation subject"/>
    <w:basedOn w:val="CommentText"/>
    <w:next w:val="CommentText"/>
    <w:link w:val="CommentSubjectChar"/>
    <w:uiPriority w:val="99"/>
    <w:semiHidden/>
    <w:rsid w:val="0059335A"/>
    <w:rPr>
      <w:b/>
      <w:bCs/>
    </w:rPr>
  </w:style>
  <w:style w:type="character" w:customStyle="1" w:styleId="CommentSubjectChar">
    <w:name w:val="Comment Subject Char"/>
    <w:basedOn w:val="CommentTextChar"/>
    <w:link w:val="CommentSubject"/>
    <w:uiPriority w:val="99"/>
    <w:semiHidden/>
    <w:locked/>
    <w:rsid w:val="0059335A"/>
    <w:rPr>
      <w:rFonts w:cs="Times New Roman"/>
      <w:b/>
      <w:bCs/>
      <w:sz w:val="20"/>
      <w:szCs w:val="20"/>
    </w:rPr>
  </w:style>
  <w:style w:type="paragraph" w:styleId="Header">
    <w:name w:val="header"/>
    <w:basedOn w:val="Normal"/>
    <w:link w:val="HeaderChar"/>
    <w:uiPriority w:val="99"/>
    <w:rsid w:val="00816F24"/>
    <w:pPr>
      <w:tabs>
        <w:tab w:val="center" w:pos="4513"/>
        <w:tab w:val="right" w:pos="9026"/>
      </w:tabs>
      <w:spacing w:after="0"/>
    </w:pPr>
  </w:style>
  <w:style w:type="character" w:customStyle="1" w:styleId="HeaderChar">
    <w:name w:val="Header Char"/>
    <w:basedOn w:val="DefaultParagraphFont"/>
    <w:link w:val="Header"/>
    <w:uiPriority w:val="99"/>
    <w:locked/>
    <w:rsid w:val="00816F24"/>
    <w:rPr>
      <w:rFonts w:cs="Times New Roman"/>
    </w:rPr>
  </w:style>
  <w:style w:type="paragraph" w:styleId="Footer">
    <w:name w:val="footer"/>
    <w:basedOn w:val="Normal"/>
    <w:link w:val="FooterChar"/>
    <w:uiPriority w:val="99"/>
    <w:rsid w:val="00816F24"/>
    <w:pPr>
      <w:tabs>
        <w:tab w:val="center" w:pos="4513"/>
        <w:tab w:val="right" w:pos="9026"/>
      </w:tabs>
      <w:spacing w:after="0"/>
    </w:pPr>
  </w:style>
  <w:style w:type="character" w:customStyle="1" w:styleId="FooterChar">
    <w:name w:val="Footer Char"/>
    <w:basedOn w:val="DefaultParagraphFont"/>
    <w:link w:val="Footer"/>
    <w:uiPriority w:val="99"/>
    <w:locked/>
    <w:rsid w:val="00816F24"/>
    <w:rPr>
      <w:rFonts w:cs="Times New Roman"/>
    </w:rPr>
  </w:style>
  <w:style w:type="table" w:styleId="TableGrid">
    <w:name w:val="Table Grid"/>
    <w:basedOn w:val="TableNormal"/>
    <w:uiPriority w:val="99"/>
    <w:rsid w:val="00BD72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uiPriority w:val="99"/>
    <w:rsid w:val="001F54C4"/>
    <w:rPr>
      <w:rFonts w:cs="Times New Roman"/>
    </w:rPr>
  </w:style>
  <w:style w:type="paragraph" w:styleId="Revision">
    <w:name w:val="Revision"/>
    <w:hidden/>
    <w:uiPriority w:val="99"/>
    <w:semiHidden/>
    <w:rsid w:val="003C035E"/>
    <w:rPr>
      <w:sz w:val="18"/>
    </w:rPr>
  </w:style>
  <w:style w:type="paragraph" w:styleId="DocumentMap">
    <w:name w:val="Document Map"/>
    <w:basedOn w:val="Normal"/>
    <w:link w:val="DocumentMapChar"/>
    <w:uiPriority w:val="99"/>
    <w:semiHidden/>
    <w:rsid w:val="00A226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775A4"/>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39520">
      <w:bodyDiv w:val="1"/>
      <w:marLeft w:val="0"/>
      <w:marRight w:val="0"/>
      <w:marTop w:val="0"/>
      <w:marBottom w:val="0"/>
      <w:divBdr>
        <w:top w:val="none" w:sz="0" w:space="0" w:color="auto"/>
        <w:left w:val="none" w:sz="0" w:space="0" w:color="auto"/>
        <w:bottom w:val="none" w:sz="0" w:space="0" w:color="auto"/>
        <w:right w:val="none" w:sz="0" w:space="0" w:color="auto"/>
      </w:divBdr>
    </w:div>
    <w:div w:id="1987664197">
      <w:marLeft w:val="0"/>
      <w:marRight w:val="0"/>
      <w:marTop w:val="0"/>
      <w:marBottom w:val="0"/>
      <w:divBdr>
        <w:top w:val="none" w:sz="0" w:space="0" w:color="auto"/>
        <w:left w:val="none" w:sz="0" w:space="0" w:color="auto"/>
        <w:bottom w:val="none" w:sz="0" w:space="0" w:color="auto"/>
        <w:right w:val="none" w:sz="0" w:space="0" w:color="auto"/>
      </w:divBdr>
    </w:div>
    <w:div w:id="1987664198">
      <w:marLeft w:val="0"/>
      <w:marRight w:val="0"/>
      <w:marTop w:val="0"/>
      <w:marBottom w:val="0"/>
      <w:divBdr>
        <w:top w:val="none" w:sz="0" w:space="0" w:color="auto"/>
        <w:left w:val="none" w:sz="0" w:space="0" w:color="auto"/>
        <w:bottom w:val="none" w:sz="0" w:space="0" w:color="auto"/>
        <w:right w:val="none" w:sz="0" w:space="0" w:color="auto"/>
      </w:divBdr>
    </w:div>
    <w:div w:id="1987664199">
      <w:marLeft w:val="0"/>
      <w:marRight w:val="0"/>
      <w:marTop w:val="0"/>
      <w:marBottom w:val="0"/>
      <w:divBdr>
        <w:top w:val="none" w:sz="0" w:space="0" w:color="auto"/>
        <w:left w:val="none" w:sz="0" w:space="0" w:color="auto"/>
        <w:bottom w:val="none" w:sz="0" w:space="0" w:color="auto"/>
        <w:right w:val="none" w:sz="0" w:space="0" w:color="auto"/>
      </w:divBdr>
    </w:div>
    <w:div w:id="1987664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2416</ap:Words>
  <ap:Characters>15067</ap:Characters>
  <ap:DocSecurity>0</ap:DocSecurity>
  <ap:Lines>231</ap:Lines>
  <ap:Paragraphs>40</ap:Paragraphs>
  <ap:ScaleCrop>false</ap:ScaleCrop>
  <ap:HeadingPairs>
    <vt:vector baseType="variant" size="2">
      <vt:variant>
        <vt:lpstr>Title</vt:lpstr>
      </vt:variant>
      <vt:variant>
        <vt:i4>1</vt:i4>
      </vt:variant>
    </vt:vector>
  </ap:HeadingPairs>
  <ap:TitlesOfParts>
    <vt:vector baseType="lpstr" size="1">
      <vt:lpstr>Naar aanleiding van de toezegging van de minister van Buitenlandse Zaken in het algemeen overleg over de eindevaluatie van de Nederlandse inzet in Uruzgan op 16 februari jl</vt:lpstr>
    </vt:vector>
  </ap:TitlesOfParts>
  <ap:LinksUpToDate>false</ap:LinksUpToDate>
  <ap:CharactersWithSpaces>17456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0x0101000097A395C1705E489F6BB7F2668BD3CA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