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FDB" w:rsidRDefault="000C7FDB">
      <w:r>
        <w:rPr>
          <w:noProof/>
        </w:rPr>
        <w:pict>
          <v:shapetype id="_x0000_t202" coordsize="21600,21600" o:spt="202" path="m,l,21600r21600,l21600,xe">
            <v:stroke joinstyle="miter"/>
            <v:path gradientshapeok="t" o:connecttype="rect"/>
          </v:shapetype>
          <v:shape id="_x0000_s1031" style="position:absolute;margin-left:99.25pt;margin-top:802.3pt;width:165.5pt;height:27pt;z-index:251658752;mso-wrap-style:none;mso-position-horizontal-relative:page;mso-position-vertical-relative:page" stroked="f" type="#_x0000_t202">
            <v:textbox>
              <w:txbxContent>
                <w:p w:rsidRPr="00B71C66" w:rsidR="00832558" w:rsidP="000C7FDB" w:rsidRDefault="00832558">
                  <w:pPr>
                    <w:shd w:val="solid" w:color="FFFFFF" w:fill="FFFFFF"/>
                    <w:rPr>
                      <w:rFonts w:ascii="Bembo" w:hAnsi="Bembo"/>
                      <w:sz w:val="32"/>
                      <w:szCs w:val="32"/>
                    </w:rPr>
                  </w:pPr>
                  <w:r w:rsidRPr="00DF2258">
                    <w:rPr>
                      <w:rStyle w:val="LogoKoninginnepapier"/>
                    </w:rPr>
                    <w:t>AAN DE KONINGIN</w:t>
                  </w:r>
                </w:p>
              </w:txbxContent>
            </v:textbox>
            <w10:wrap type="square" anchorx="page" anchory="page"/>
          </v:shape>
        </w:pict>
      </w:r>
      <w:r>
        <w:rPr>
          <w:noProof/>
        </w:rPr>
        <w:pict>
          <v:shape id="_x0000_s1030" style="position:absolute;margin-left:311.85pt;margin-top:19.85pt;width:270pt;height:16.4pt;z-index:251657728;mso-position-horizontal-relative:page;mso-position-vertical-relative:page" stroked="f" type="#_x0000_t202">
            <v:textbox style="mso-fit-shape-to-text:t">
              <w:txbxContent>
                <w:p w:rsidRPr="00A4487D" w:rsidR="00832558" w:rsidP="000C7FDB" w:rsidRDefault="00832558">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46572F">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19050" t="0" r="6350" b="0"/>
            <wp:wrapTight wrapText="bothSides">
              <wp:wrapPolygon edited="0">
                <wp:start x="-350" y="0"/>
                <wp:lineTo x="-350" y="20886"/>
                <wp:lineTo x="21717" y="20886"/>
                <wp:lineTo x="21717" y="0"/>
                <wp:lineTo x="-35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8" cstate="print"/>
                    <a:srcRect/>
                    <a:stretch>
                      <a:fillRect/>
                    </a:stretch>
                  </pic:blipFill>
                  <pic:spPr bwMode="auto">
                    <a:xfrm>
                      <a:off x="0" y="0"/>
                      <a:ext cx="1174750" cy="768350"/>
                    </a:xfrm>
                    <a:prstGeom prst="rect">
                      <a:avLst/>
                    </a:prstGeom>
                    <a:noFill/>
                    <a:ln w="9525">
                      <a:noFill/>
                      <a:miter lim="800000"/>
                      <a:headEnd/>
                      <a:tailEnd/>
                    </a:ln>
                  </pic:spPr>
                </pic:pic>
              </a:graphicData>
            </a:graphic>
          </wp:anchor>
        </w:drawing>
      </w:r>
    </w:p>
    <w:p w:rsidR="000C7FDB" w:rsidP="000C7FDB" w:rsidRDefault="000C7FDB">
      <w:pPr>
        <w:tabs>
          <w:tab w:val="left" w:pos="3685"/>
        </w:tabs>
      </w:pPr>
      <w:r>
        <w:t>No.W06.12.0146/III</w:t>
      </w:r>
      <w:r>
        <w:tab/>
        <w:t>'s-Gravenhage, 10 mei 2012</w:t>
      </w:r>
    </w:p>
    <w:p w:rsidR="000C7FDB" w:rsidP="000C7FDB" w:rsidRDefault="000C7FDB">
      <w:pPr>
        <w:tabs>
          <w:tab w:val="left" w:pos="3685"/>
        </w:tabs>
      </w:pPr>
    </w:p>
    <w:p w:rsidRPr="00F236B0" w:rsidR="00753DEB" w:rsidP="000C7FDB" w:rsidRDefault="00753DEB">
      <w:pPr>
        <w:tabs>
          <w:tab w:val="left" w:pos="3685"/>
        </w:tabs>
      </w:pPr>
    </w:p>
    <w:p w:rsidR="00E674D7" w:rsidP="00D95E9B" w:rsidRDefault="00753DEB">
      <w:bookmarkStart w:name="starttekst" w:id="0"/>
      <w:bookmarkEnd w:id="0"/>
      <w:r>
        <w:t>Bij Kabinetsmissive van</w:t>
      </w:r>
      <w:r w:rsidR="00184461">
        <w:t xml:space="preserve"> 2 mei 2012</w:t>
      </w:r>
      <w:r>
        <w:t>, no.</w:t>
      </w:r>
      <w:r w:rsidRPr="00184461" w:rsidR="00184461">
        <w:t>12.001058</w:t>
      </w:r>
      <w:r>
        <w:t xml:space="preserve">, heeft Uwe Majesteit, op voordracht van de Staatssecretaris van Financiën, bij de Afdeling advisering van de Raad van State ter overweging aanhangig gemaakt </w:t>
      </w:r>
      <w:r w:rsidR="00D95E9B">
        <w:t>het v</w:t>
      </w:r>
      <w:r>
        <w:t>oorstel van wet tot wijziging van enkele belastingwetten in verband met wijziging van de tarieven van de omzetbelasting, de inkomstenbelasting en de loonbelasting, met memorie van toelichting.</w:t>
      </w:r>
    </w:p>
    <w:p w:rsidR="00E674D7" w:rsidP="00E674D7" w:rsidRDefault="00E674D7"/>
    <w:p w:rsidR="00BF4FEC" w:rsidP="00F103CA" w:rsidRDefault="00F103CA">
      <w:r>
        <w:t xml:space="preserve">Het voorstel strekt ertoe het algemene BTW-tarief per 1 oktober 2012 te verhogen van 19% naar 21% (met in 2013 een terugsluis via de loon- en inkomstenbelasting van een gedeelte van de opbrengst </w:t>
      </w:r>
      <w:r w:rsidR="00E148B6">
        <w:t xml:space="preserve">van het jaar </w:t>
      </w:r>
      <w:r>
        <w:t xml:space="preserve">2013), de inflatiecorrectie in de loon- en inkomstenbelasting voor één jaar achterwege te laten en de podiumkunsten per 1 juli 2012 weer onder het verlaagde BTW-tarief te laten vallen. </w:t>
      </w:r>
      <w:r w:rsidR="00E674D7">
        <w:t>De Afdeling advisering van de Raad van State onderschrijft de strekking van het wetsvoorstel, maar maakt daarbij de volgende kanttekeningen.</w:t>
      </w:r>
    </w:p>
    <w:p w:rsidR="00EF013F" w:rsidP="00F103CA" w:rsidRDefault="00EF013F"/>
    <w:p w:rsidRPr="00EF013F" w:rsidR="00EF013F" w:rsidP="007546F2" w:rsidRDefault="00EF013F">
      <w:r>
        <w:t>1.</w:t>
      </w:r>
      <w:r>
        <w:tab/>
      </w:r>
      <w:r w:rsidR="007546F2">
        <w:rPr>
          <w:u w:val="single"/>
        </w:rPr>
        <w:t>Samenhang pakket maatregelen</w:t>
      </w:r>
    </w:p>
    <w:p w:rsidR="00643AE9" w:rsidP="007546F2" w:rsidRDefault="00643AE9"/>
    <w:p w:rsidR="007546F2" w:rsidP="007546F2" w:rsidRDefault="00D419AB">
      <w:r>
        <w:t xml:space="preserve">Het onderhavige </w:t>
      </w:r>
      <w:r w:rsidRPr="00EF013F" w:rsidR="00EF013F">
        <w:t xml:space="preserve">voorstel en het eveneens </w:t>
      </w:r>
      <w:r w:rsidR="000E14CF">
        <w:t>bij</w:t>
      </w:r>
      <w:r w:rsidRPr="00EF013F" w:rsidR="00EF013F">
        <w:t xml:space="preserve"> de Afdelin</w:t>
      </w:r>
      <w:r>
        <w:t xml:space="preserve">g </w:t>
      </w:r>
      <w:r w:rsidR="000E14CF">
        <w:t>aanhangig gemaakte</w:t>
      </w:r>
      <w:r>
        <w:t xml:space="preserve"> </w:t>
      </w:r>
      <w:r w:rsidRPr="00EF013F" w:rsidR="00EF013F">
        <w:t xml:space="preserve">voorstel </w:t>
      </w:r>
      <w:r w:rsidR="000E14CF">
        <w:t xml:space="preserve">van wet </w:t>
      </w:r>
      <w:r w:rsidR="007546F2">
        <w:t xml:space="preserve">tot wijziging van enkele belastingwetten </w:t>
      </w:r>
      <w:r w:rsidRPr="00EF013F" w:rsidR="00EF013F">
        <w:t>in verband met het structureel verlagen van de overdrachtsbelasting en de herziening van het fiscale regime voor kosten van vervoer</w:t>
      </w:r>
      <w:r>
        <w:rPr>
          <w:rStyle w:val="Voetnootmarkering"/>
        </w:rPr>
        <w:footnoteReference w:id="1"/>
      </w:r>
      <w:r>
        <w:t xml:space="preserve">, maken </w:t>
      </w:r>
      <w:r w:rsidRPr="00EF013F" w:rsidR="00EF013F">
        <w:t>deel uit van ee</w:t>
      </w:r>
      <w:r>
        <w:t>n pakket van maatregelen dat er</w:t>
      </w:r>
      <w:r w:rsidRPr="00EF013F" w:rsidR="00EF013F">
        <w:t xml:space="preserve">op is gericht de overheidsfinanciën structureel te verbeteren, het vertrouwen van de financiële markten te verstevigen en </w:t>
      </w:r>
      <w:r>
        <w:t xml:space="preserve">de </w:t>
      </w:r>
      <w:r w:rsidRPr="00EF013F">
        <w:t>Nederlandse economie</w:t>
      </w:r>
      <w:r w:rsidRPr="00EF013F" w:rsidR="00EF013F">
        <w:t xml:space="preserve"> verder toekomstbestendig</w:t>
      </w:r>
      <w:r>
        <w:t xml:space="preserve"> te maken</w:t>
      </w:r>
      <w:r w:rsidRPr="00EF013F" w:rsidR="00EF013F">
        <w:t xml:space="preserve">. De Afdeling </w:t>
      </w:r>
      <w:r>
        <w:t>is zich bewust van</w:t>
      </w:r>
      <w:r w:rsidRPr="00EF013F" w:rsidR="00EF013F">
        <w:t xml:space="preserve"> de bijzondere politieke situatie waar</w:t>
      </w:r>
      <w:r>
        <w:t xml:space="preserve">in het pakket maatregelen </w:t>
      </w:r>
      <w:r w:rsidRPr="00EF013F" w:rsidR="00EF013F">
        <w:t xml:space="preserve">tot stand </w:t>
      </w:r>
      <w:r>
        <w:t xml:space="preserve">is </w:t>
      </w:r>
      <w:r w:rsidRPr="00EF013F" w:rsidR="00EF013F">
        <w:t xml:space="preserve">gekomen en </w:t>
      </w:r>
      <w:r w:rsidR="007546F2">
        <w:t>onderschrijft de noodzaak om op</w:t>
      </w:r>
      <w:r w:rsidRPr="00EF013F" w:rsidR="00EF013F">
        <w:t xml:space="preserve"> korte termijn ingrijpende maatregelen </w:t>
      </w:r>
      <w:r w:rsidR="007546F2">
        <w:t>te treffen</w:t>
      </w:r>
      <w:r w:rsidRPr="00EF013F" w:rsidR="00EF013F">
        <w:t>.</w:t>
      </w:r>
    </w:p>
    <w:p w:rsidRPr="00EF013F" w:rsidR="00EF013F" w:rsidP="007546F2" w:rsidRDefault="00EF013F">
      <w:r w:rsidRPr="00EF013F">
        <w:t xml:space="preserve"> </w:t>
      </w:r>
    </w:p>
    <w:p w:rsidR="001D3718" w:rsidP="00337777" w:rsidRDefault="00EF013F">
      <w:r w:rsidRPr="00EF013F">
        <w:t xml:space="preserve">De Afdeling </w:t>
      </w:r>
      <w:r w:rsidR="001D3718">
        <w:t xml:space="preserve">merkt op dat, nu de </w:t>
      </w:r>
      <w:r w:rsidR="00337777">
        <w:t xml:space="preserve">voorgestelde </w:t>
      </w:r>
      <w:r w:rsidR="001D3718">
        <w:t>maatregelen deel uitmaken van een groter samenhangend geheel, de gevolgen ervan voor b</w:t>
      </w:r>
      <w:r w:rsidR="00337777">
        <w:t>urgers en bed</w:t>
      </w:r>
      <w:r w:rsidR="001D3718">
        <w:t xml:space="preserve">rijfsleven in samenhang moeten worden beoordeeld. Het </w:t>
      </w:r>
      <w:r w:rsidR="00337777">
        <w:t>geïsoleerd bezien van het onder</w:t>
      </w:r>
      <w:r w:rsidR="001D3718">
        <w:t xml:space="preserve">havige voorstel, los van de andere te nemen maatregelen, heeft als belangrijk nadeel dat geen inzicht bestaat </w:t>
      </w:r>
      <w:r w:rsidR="00337777">
        <w:t xml:space="preserve">in het </w:t>
      </w:r>
      <w:r w:rsidR="001D3718">
        <w:t>totaa</w:t>
      </w:r>
      <w:r w:rsidR="00337777">
        <w:t>leffect van de maatregelen. De A</w:t>
      </w:r>
      <w:r w:rsidR="001D3718">
        <w:t>fdeling acht het om die reden van belang dat zo spoedig mogelijk inzicht wordt verkregen in het totaaleffect van de te nemen maatregelen</w:t>
      </w:r>
      <w:r w:rsidR="00337777">
        <w:t xml:space="preserve"> v</w:t>
      </w:r>
      <w:r w:rsidR="001D3718">
        <w:t>oor zowel burgers als bedrijfsleven.</w:t>
      </w:r>
    </w:p>
    <w:p w:rsidR="00EF013F" w:rsidP="007546F2" w:rsidRDefault="001D3718">
      <w:r>
        <w:t>De Afdeling adviseert zo spoedig mogelijk inzicht te verschaffen in de gevolgen van het pakket van maatregelen als geheel.</w:t>
      </w:r>
    </w:p>
    <w:p w:rsidR="00EF013F" w:rsidP="00EF013F" w:rsidRDefault="00EF013F"/>
    <w:p w:rsidRPr="00EF013F" w:rsidR="00EF013F" w:rsidP="00EF013F" w:rsidRDefault="00EF013F">
      <w:r>
        <w:t>2.</w:t>
      </w:r>
      <w:r>
        <w:tab/>
      </w:r>
      <w:r w:rsidRPr="00EF013F">
        <w:rPr>
          <w:u w:val="single"/>
        </w:rPr>
        <w:t>Verhogen algeme</w:t>
      </w:r>
      <w:r>
        <w:rPr>
          <w:u w:val="single"/>
        </w:rPr>
        <w:t>ne</w:t>
      </w:r>
      <w:r w:rsidRPr="00EF013F">
        <w:rPr>
          <w:u w:val="single"/>
        </w:rPr>
        <w:t xml:space="preserve"> BTW-tarief</w:t>
      </w:r>
    </w:p>
    <w:p w:rsidR="00643AE9" w:rsidP="007546F2" w:rsidRDefault="00643AE9"/>
    <w:p w:rsidR="00733A90" w:rsidP="00832558" w:rsidRDefault="00EF013F">
      <w:r w:rsidRPr="00EF013F">
        <w:t>Zoals verwoord in het Nationaal Hervormingsprogramma 2012 dienen zowel op Europees niveau als door nationale overheden groeiversterkende structurele hervormingen te worden geïmplementeerd die het functioneren van arbeids-, diensten- en productmarkten verbeteren en het concurrentievermogen vergroten.</w:t>
      </w:r>
      <w:r w:rsidR="00FC3B90">
        <w:rPr>
          <w:rStyle w:val="Voetnootmarkering"/>
        </w:rPr>
        <w:footnoteReference w:id="2"/>
      </w:r>
      <w:r w:rsidRPr="00EF013F">
        <w:t xml:space="preserve"> De </w:t>
      </w:r>
      <w:r w:rsidR="007546F2">
        <w:t xml:space="preserve">Afdeling is van mening dat de </w:t>
      </w:r>
      <w:r w:rsidRPr="00EF013F">
        <w:t xml:space="preserve">fiscale wetgeving hier een belangrijke bijdrage aan </w:t>
      </w:r>
      <w:r w:rsidR="007546F2">
        <w:t xml:space="preserve">kan </w:t>
      </w:r>
      <w:r w:rsidRPr="00EF013F">
        <w:t xml:space="preserve">leveren. De </w:t>
      </w:r>
      <w:r w:rsidRPr="00EF013F">
        <w:lastRenderedPageBreak/>
        <w:t>Afdeling heeft in haar advies over het Belastingplan 2012</w:t>
      </w:r>
      <w:r w:rsidR="007546F2">
        <w:t xml:space="preserve"> dan ook</w:t>
      </w:r>
      <w:r w:rsidRPr="00EF013F">
        <w:t xml:space="preserve"> opgemerkt dat het huidige belastingstelsel meer fundamenteel moet worden aangepast en dat de urgentie daartoe de laatste tijd alleen maar is toegenomen.</w:t>
      </w:r>
      <w:r w:rsidR="00FC3B90">
        <w:rPr>
          <w:rStyle w:val="Voetnootmarkering"/>
        </w:rPr>
        <w:footnoteReference w:id="3"/>
      </w:r>
      <w:r w:rsidRPr="00EF013F">
        <w:t xml:space="preserve"> In de Fiscale Agenda wordt de noodzaak van een fundamentele belastingherziening weliswa</w:t>
      </w:r>
      <w:r w:rsidR="00FC3B90">
        <w:t xml:space="preserve">ar niet onderschreven, maar </w:t>
      </w:r>
      <w:r w:rsidRPr="00EF013F">
        <w:t xml:space="preserve">wordt </w:t>
      </w:r>
      <w:r w:rsidR="00FC3B90">
        <w:t xml:space="preserve">wel </w:t>
      </w:r>
      <w:r w:rsidRPr="00EF013F">
        <w:t>geconcludeerd dat verschillende belangrijke aanpassingen noodzakelijk zijn om het stelsel eenvoudig, solide en fraudebestendig te maken. Eén van de mogelijkheden die daarbij word</w:t>
      </w:r>
      <w:r w:rsidR="00643AE9">
        <w:t>en</w:t>
      </w:r>
      <w:r w:rsidRPr="00EF013F">
        <w:t xml:space="preserve"> genoemd, betreft de wijziging van de belastingmix en dan met name een verschuiving van de belasting op arbeid naar een belasting op consumptie.</w:t>
      </w:r>
      <w:r w:rsidR="00FC3B90">
        <w:rPr>
          <w:rStyle w:val="Voetnootmarkering"/>
        </w:rPr>
        <w:footnoteReference w:id="4"/>
      </w:r>
      <w:r w:rsidRPr="00EF013F">
        <w:t xml:space="preserve"> De memorie van toel</w:t>
      </w:r>
      <w:r w:rsidR="00FC3B90">
        <w:t xml:space="preserve">ichting bij het </w:t>
      </w:r>
      <w:r w:rsidRPr="00EF013F">
        <w:t>voorstel stelt een verschuiving in die richting in het vooruit</w:t>
      </w:r>
      <w:r w:rsidR="00FC3B90">
        <w:t xml:space="preserve">zicht door </w:t>
      </w:r>
      <w:r w:rsidR="00622779">
        <w:t xml:space="preserve">te stellen dat </w:t>
      </w:r>
      <w:r w:rsidR="00FC3B90">
        <w:t>na 2013 de hogere BTW-</w:t>
      </w:r>
      <w:r w:rsidRPr="00EF013F">
        <w:t xml:space="preserve">ontvangsten in toenemende mate </w:t>
      </w:r>
      <w:r w:rsidR="00622779">
        <w:t>worden</w:t>
      </w:r>
      <w:r w:rsidRPr="00EF013F">
        <w:t xml:space="preserve"> </w:t>
      </w:r>
      <w:r w:rsidR="00622779">
        <w:t>ge</w:t>
      </w:r>
      <w:r w:rsidRPr="00EF013F">
        <w:t>compense</w:t>
      </w:r>
      <w:r w:rsidR="00622779">
        <w:t>erd</w:t>
      </w:r>
      <w:r w:rsidRPr="00EF013F">
        <w:t xml:space="preserve"> via de tarieven in de inkomsten- en loonbelasting.</w:t>
      </w:r>
      <w:r w:rsidR="00622779">
        <w:rPr>
          <w:rStyle w:val="Voetnootmarkering"/>
        </w:rPr>
        <w:footnoteReference w:id="5"/>
      </w:r>
      <w:r w:rsidR="00832558">
        <w:t xml:space="preserve"> </w:t>
      </w:r>
      <w:r w:rsidR="00733A90">
        <w:t xml:space="preserve">De Afdeling acht </w:t>
      </w:r>
      <w:r w:rsidR="00832558">
        <w:t xml:space="preserve">in dat kader </w:t>
      </w:r>
      <w:r w:rsidR="00733A90">
        <w:t xml:space="preserve">een BTW-verhoging </w:t>
      </w:r>
      <w:r w:rsidR="00832558">
        <w:t xml:space="preserve">een mogelijke optie </w:t>
      </w:r>
      <w:r w:rsidR="00733A90">
        <w:t>als onderdeel van een verschuiving van de belasting op arbeid naar een belasting op consumptie</w:t>
      </w:r>
      <w:r w:rsidR="00832558">
        <w:t>. M</w:t>
      </w:r>
      <w:r w:rsidR="00733A90">
        <w:t xml:space="preserve">aar die verschuiving is </w:t>
      </w:r>
      <w:r w:rsidR="008C09D6">
        <w:t xml:space="preserve">voor de jaren na 2013 </w:t>
      </w:r>
      <w:r w:rsidR="00733A90">
        <w:t>niet in het voorstel opgenomen. Voorts blijkt uit de memorie van toelichting niet of en zo ja in welke mate en in welk tempo die verschuiving zal plaatsvinden.</w:t>
      </w:r>
    </w:p>
    <w:p w:rsidR="00EF013F" w:rsidP="00622779" w:rsidRDefault="00733A90">
      <w:r>
        <w:t>De Afdeling adviseert in de memorie van toelichting aandacht aan het vorenstaande te besteden.</w:t>
      </w:r>
    </w:p>
    <w:p w:rsidR="00EF013F" w:rsidP="00EF013F" w:rsidRDefault="00EF013F"/>
    <w:p w:rsidRPr="00EF013F" w:rsidR="00EF013F" w:rsidP="00EF013F" w:rsidRDefault="00337777">
      <w:r>
        <w:t>3</w:t>
      </w:r>
      <w:r w:rsidR="00EF013F">
        <w:t>.</w:t>
      </w:r>
      <w:r w:rsidR="00EF013F">
        <w:tab/>
      </w:r>
      <w:r w:rsidRPr="00EF013F" w:rsidR="00EF013F">
        <w:rPr>
          <w:u w:val="single"/>
        </w:rPr>
        <w:t>Podiumkunsten</w:t>
      </w:r>
    </w:p>
    <w:p w:rsidR="00622779" w:rsidP="00622779" w:rsidRDefault="00622779"/>
    <w:p w:rsidR="00622779" w:rsidP="009A30DF" w:rsidRDefault="00EF013F">
      <w:r w:rsidRPr="00EF013F">
        <w:t xml:space="preserve">Op 1 juli 2011 zijn de podiumkunsten feitelijk </w:t>
      </w:r>
      <w:r w:rsidR="00622779">
        <w:t>van het verlaagde BTW-tarief naar</w:t>
      </w:r>
      <w:r w:rsidRPr="00EF013F">
        <w:t xml:space="preserve"> het algemene </w:t>
      </w:r>
      <w:r w:rsidR="00622779">
        <w:t>BTW-</w:t>
      </w:r>
      <w:r w:rsidRPr="00EF013F">
        <w:t>tarief gebracht.</w:t>
      </w:r>
      <w:r w:rsidR="00622779">
        <w:rPr>
          <w:rStyle w:val="Voetnootmarkering"/>
        </w:rPr>
        <w:footnoteReference w:id="6"/>
      </w:r>
      <w:r w:rsidRPr="00EF013F">
        <w:t xml:space="preserve"> </w:t>
      </w:r>
      <w:r w:rsidR="00D52583">
        <w:t>Het voorstel voorziet erin dat</w:t>
      </w:r>
      <w:r w:rsidRPr="00EF013F">
        <w:t xml:space="preserve"> podiumkunsten per 1 juli 2</w:t>
      </w:r>
      <w:r w:rsidR="00622779">
        <w:t>012 weer onder het verlaagde BTW</w:t>
      </w:r>
      <w:r w:rsidRPr="00EF013F">
        <w:t>-tarief vallen.</w:t>
      </w:r>
      <w:r w:rsidR="00622779">
        <w:rPr>
          <w:rStyle w:val="Voetnootmarkering"/>
        </w:rPr>
        <w:footnoteReference w:id="7"/>
      </w:r>
      <w:r w:rsidRPr="00EF013F">
        <w:t xml:space="preserve"> </w:t>
      </w:r>
      <w:r w:rsidR="00622779">
        <w:t xml:space="preserve">De Afdeling plaatst </w:t>
      </w:r>
      <w:r w:rsidR="00D52583">
        <w:t>hier</w:t>
      </w:r>
      <w:r w:rsidR="00622779">
        <w:t xml:space="preserve"> </w:t>
      </w:r>
      <w:r w:rsidR="009A30DF">
        <w:t xml:space="preserve">de volgende </w:t>
      </w:r>
      <w:r w:rsidR="00622779">
        <w:t>kanttekening bij.</w:t>
      </w:r>
    </w:p>
    <w:p w:rsidR="00D52583" w:rsidP="009A30DF" w:rsidRDefault="009A30DF">
      <w:r>
        <w:t>De Afdeling wijst erop dat</w:t>
      </w:r>
      <w:r w:rsidR="0027368B">
        <w:t xml:space="preserve"> elkaar snel opvolgende wetswijzigingen, zoals </w:t>
      </w:r>
      <w:r>
        <w:t>in casu</w:t>
      </w:r>
      <w:r w:rsidR="0027368B">
        <w:t xml:space="preserve">, </w:t>
      </w:r>
      <w:r>
        <w:t xml:space="preserve">gepaard gaan met hoge maatschappelijke kosten, zeker indien daarbij overgangsrecht aan de orde is. </w:t>
      </w:r>
      <w:r w:rsidR="00D52583">
        <w:t xml:space="preserve">Het </w:t>
      </w:r>
      <w:r w:rsidR="00B174C9">
        <w:t xml:space="preserve">in 2011 </w:t>
      </w:r>
      <w:r w:rsidR="00D52583">
        <w:t>naar het algemene BTW-tarief overbrengen van podiumkunsten ging gepaard met overgangsrecht, dat erin voorzag dat op vóór 1 januari 2011 ontvangen vooruitbetalingen voor podiumkunsten die plaatsvonden na het tijdstip van de BTW-verhoging (</w:t>
      </w:r>
      <w:r w:rsidR="00DC3243">
        <w:t xml:space="preserve">feitelijk </w:t>
      </w:r>
      <w:r w:rsidR="00D52583">
        <w:t>dus na 1 juli 2011), nog het verlaagde BTW-tarief toepassing vond.</w:t>
      </w:r>
      <w:r w:rsidR="00D52583">
        <w:rPr>
          <w:rStyle w:val="Voetnootmarkering"/>
        </w:rPr>
        <w:footnoteReference w:id="8"/>
      </w:r>
      <w:r w:rsidR="00D52583">
        <w:t xml:space="preserve"> Met het voorstel </w:t>
      </w:r>
      <w:r w:rsidR="00643AE9">
        <w:t xml:space="preserve">wordt </w:t>
      </w:r>
      <w:r w:rsidR="00D52583">
        <w:t>de omgekeerde situatie voor</w:t>
      </w:r>
      <w:r w:rsidR="00643AE9">
        <w:t>gesteld</w:t>
      </w:r>
      <w:r w:rsidR="00D52583">
        <w:t>. Daarbij komt de vraag op hoe wordt omgegaan met vóór 1 juli 2012 ontvangen vooruitbetalingen waarbij nog het algemene BTW-tarief is toegepast, terwijl de podiumkunst plaatsvindt na 1 juli 2012. De memorie van toelichting biedt hier geen duidelijkheid over.</w:t>
      </w:r>
    </w:p>
    <w:p w:rsidR="00BF4FEC" w:rsidP="008F3525" w:rsidRDefault="00D52583">
      <w:r>
        <w:t xml:space="preserve">De Afdeling adviseert in de memorie van toelichting </w:t>
      </w:r>
      <w:r w:rsidR="009A30DF">
        <w:t xml:space="preserve">op het vorenstaande </w:t>
      </w:r>
      <w:r>
        <w:t>in te gaan en zo nodig het voorstel aan te passen.</w:t>
      </w:r>
      <w:bookmarkStart w:name="_GoBack" w:id="1"/>
      <w:bookmarkEnd w:id="1"/>
    </w:p>
    <w:p w:rsidR="008F3525" w:rsidP="00BF4FEC" w:rsidRDefault="008F3525"/>
    <w:p w:rsidRPr="009F3E7A" w:rsidR="009F3E7A" w:rsidP="00BF4FEC" w:rsidRDefault="00337777">
      <w:pPr>
        <w:rPr>
          <w:u w:val="single"/>
        </w:rPr>
      </w:pPr>
      <w:r>
        <w:t>4</w:t>
      </w:r>
      <w:r w:rsidR="009F3E7A">
        <w:t>.</w:t>
      </w:r>
      <w:r w:rsidR="009F3E7A">
        <w:tab/>
      </w:r>
      <w:r w:rsidR="009F3E7A">
        <w:rPr>
          <w:u w:val="single"/>
        </w:rPr>
        <w:t>Aanpassing kantineregeling</w:t>
      </w:r>
    </w:p>
    <w:p w:rsidR="009A30DF" w:rsidP="00D52583" w:rsidRDefault="009A30DF"/>
    <w:p w:rsidR="00D52583" w:rsidP="00D52583" w:rsidRDefault="00D52583">
      <w:r>
        <w:t>In de toelichting op artikel VII wo</w:t>
      </w:r>
      <w:r w:rsidR="001C47F9">
        <w:t>rdt aangegeven dat de BTW-</w:t>
      </w:r>
      <w:r>
        <w:t>verhoging kan leiden tot een aanpassing van het in het Besluit aftrek omzetbelasting 1968 (hierna: BUA) opgenomen percentage voor de kantineregeling</w:t>
      </w:r>
      <w:r>
        <w:rPr>
          <w:rStyle w:val="Voetnootmarkering"/>
        </w:rPr>
        <w:footnoteReference w:id="9"/>
      </w:r>
      <w:r>
        <w:t xml:space="preserve"> en dat daarvoor een herberekening </w:t>
      </w:r>
      <w:r>
        <w:lastRenderedPageBreak/>
        <w:t>moet plaatsvinden. Zou die herberekening ertoe leiden dat bedoeld percentage – en dus het BUA – moet worden aangepast, dan voorziet artikel VII van het voorstel erin dat de noodzakelijke wettelijke goedkeuring</w:t>
      </w:r>
      <w:r>
        <w:rPr>
          <w:rStyle w:val="Voetnootmarkering"/>
        </w:rPr>
        <w:footnoteReference w:id="10"/>
      </w:r>
      <w:r>
        <w:t xml:space="preserve"> van de wijziging van het BUA niet achteraf plaatsvindt maar al bij gelegenheid van onderhavig voorstel.</w:t>
      </w:r>
    </w:p>
    <w:p w:rsidR="009F3E7A" w:rsidP="00D52583" w:rsidRDefault="00D52583">
      <w:r>
        <w:t xml:space="preserve">De Afdeling merkt op dat de elementen voor de herberekening bekend zijn en dat herberekening thans al moet kunnen plaatsvinden. </w:t>
      </w:r>
      <w:r w:rsidR="00643AE9">
        <w:t>Zij</w:t>
      </w:r>
      <w:r>
        <w:t xml:space="preserve"> adviseert de uitkomst van de herberekening te vermelden in de memorie van toelichting dan</w:t>
      </w:r>
      <w:r w:rsidR="008F3525">
        <w:t xml:space="preserve"> </w:t>
      </w:r>
      <w:r>
        <w:t xml:space="preserve">wel, indien een wijziging van het percentage niet nodig blijkt, artikel VII van het voorstel te </w:t>
      </w:r>
      <w:r w:rsidR="001C47F9">
        <w:t xml:space="preserve">schrappen. </w:t>
      </w:r>
    </w:p>
    <w:p w:rsidR="00D52583" w:rsidP="00BF4FEC" w:rsidRDefault="00D52583"/>
    <w:p w:rsidR="00BF4FEC" w:rsidP="00BF4FEC" w:rsidRDefault="00337777">
      <w:r>
        <w:t>5</w:t>
      </w:r>
      <w:r w:rsidR="00BF4FEC">
        <w:t>.</w:t>
      </w:r>
      <w:r w:rsidR="00BF4FEC">
        <w:tab/>
        <w:t>Voor redactionele kanttekeningen verwijst de Afdeling naar de bij het advies behorende bijlage.</w:t>
      </w:r>
    </w:p>
    <w:p w:rsidR="00BF4FEC" w:rsidRDefault="00BF4FEC"/>
    <w:p w:rsidRPr="00D52583" w:rsidR="00BF4FEC" w:rsidP="007546F2" w:rsidRDefault="00BF4FEC">
      <w:pPr>
        <w:rPr>
          <w:b/>
          <w:bCs/>
          <w:i/>
          <w:iCs/>
          <w:u w:val="single"/>
        </w:rPr>
      </w:pPr>
      <w:r>
        <w:t>De Afdeling advisering van de Raad van State geeft U in overweging het voorstel van wet te zenden aan de Tweede Kamer der Staten-Generaal, nadat aan het vorenstaande aandacht zal zijn geschonken.</w:t>
      </w:r>
    </w:p>
    <w:p w:rsidR="00BF4FEC" w:rsidRDefault="00BF4FEC"/>
    <w:p w:rsidR="00BF4FEC" w:rsidRDefault="00BF4FEC"/>
    <w:p w:rsidR="00BF4FEC" w:rsidRDefault="00BF4FEC">
      <w:r>
        <w:t xml:space="preserve">De </w:t>
      </w:r>
      <w:bookmarkStart w:name="bldSlotWaarneming" w:id="2"/>
      <w:bookmarkEnd w:id="2"/>
      <w:r>
        <w:t>vice-president van de Raad van State,</w:t>
      </w:r>
    </w:p>
    <w:p w:rsidR="00753DEB" w:rsidP="00753DEB" w:rsidRDefault="00753DEB"/>
    <w:p w:rsidR="00BF4FEC" w:rsidRDefault="00BF4FEC">
      <w:pPr>
        <w:sectPr w:rsidR="00BF4FEC" w:rsidSect="000C7FDB">
          <w:headerReference w:type="even" r:id="rId9"/>
          <w:headerReference w:type="default" r:id="rId10"/>
          <w:pgSz w:w="11906" w:h="16838"/>
          <w:pgMar w:top="2523" w:right="1417" w:bottom="1417" w:left="1984" w:header="1417" w:footer="567" w:gutter="0"/>
          <w:cols w:space="708"/>
          <w:titlePg/>
          <w:docGrid w:linePitch="360"/>
        </w:sectPr>
      </w:pPr>
    </w:p>
    <w:p w:rsidR="00BF4FEC" w:rsidRDefault="00BF4FEC">
      <w:r>
        <w:lastRenderedPageBreak/>
        <w:t>Bijlage bij het advies van de Afdeling advisering van de Raad van State betreffende no.W06.12.0146/III met redactionele kanttekeningen die de Afdeling in overweging geeft.</w:t>
      </w:r>
    </w:p>
    <w:p w:rsidR="00BF4FEC" w:rsidRDefault="00BF4FEC"/>
    <w:p w:rsidR="00BF4FEC" w:rsidRDefault="00BF4FEC"/>
    <w:p w:rsidR="00C50D4F" w:rsidP="00BF4FEC" w:rsidRDefault="00E674D7">
      <w:pPr>
        <w:numPr>
          <w:ilvl w:val="0"/>
          <w:numId w:val="1"/>
        </w:numPr>
      </w:pPr>
      <w:r>
        <w:t>In artikel V, tweede lid,</w:t>
      </w:r>
      <w:r w:rsidR="00470BD5">
        <w:t xml:space="preserve"> van het voorstel</w:t>
      </w:r>
      <w:r>
        <w:t xml:space="preserve"> tot uitdrukking brengen dat bij het begin van het kalenderjaar 2013 de toepassing van artikel 10.1 van de Wet IB 2001 wordt geacht te hebben plaatsgevonden op basis van een tabelcorrectiefactor "van 1", in overeenstemming met de toelichting op dit tweede lid.</w:t>
      </w:r>
    </w:p>
    <w:p w:rsidR="00E148B6" w:rsidP="00E148B6" w:rsidRDefault="00E148B6">
      <w:pPr>
        <w:numPr>
          <w:ilvl w:val="0"/>
          <w:numId w:val="1"/>
        </w:numPr>
      </w:pPr>
      <w:r>
        <w:t xml:space="preserve">Artikel VI, eerste en tweede lid, </w:t>
      </w:r>
      <w:r w:rsidR="00470BD5">
        <w:t xml:space="preserve">van het voorstel </w:t>
      </w:r>
      <w:r>
        <w:t>wijkt met de verwijzing naar artikel III, onderdelen A en B, af van de wettekst die gebruikelijk is voor overgangsrecht bij een verhoging van het BTW-tarief. In de artikelsgewijze toelichting ingaan op de achtergrond van deze afwijking.</w:t>
      </w:r>
    </w:p>
    <w:sectPr w:rsidR="00E148B6" w:rsidSect="000C7FDB">
      <w:headerReference w:type="default" r:id="rId11"/>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558" w:rsidRDefault="00832558">
      <w:r>
        <w:separator/>
      </w:r>
    </w:p>
  </w:endnote>
  <w:endnote w:type="continuationSeparator" w:id="0">
    <w:p w:rsidR="00832558" w:rsidRDefault="008325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558" w:rsidRDefault="00832558">
      <w:r>
        <w:separator/>
      </w:r>
    </w:p>
  </w:footnote>
  <w:footnote w:type="continuationSeparator" w:id="0">
    <w:p w:rsidR="00832558" w:rsidRDefault="00832558">
      <w:r>
        <w:continuationSeparator/>
      </w:r>
    </w:p>
  </w:footnote>
  <w:footnote w:id="1">
    <w:p w:rsidR="00832558" w:rsidRDefault="00832558">
      <w:pPr>
        <w:pStyle w:val="Voetnoottekst"/>
      </w:pPr>
      <w:r>
        <w:rPr>
          <w:rStyle w:val="Voetnootmarkering"/>
        </w:rPr>
        <w:footnoteRef/>
      </w:r>
      <w:r>
        <w:t xml:space="preserve"> </w:t>
      </w:r>
      <w:r>
        <w:tab/>
        <w:t>Zaak nr. W06.12.0148/III.</w:t>
      </w:r>
    </w:p>
  </w:footnote>
  <w:footnote w:id="2">
    <w:p w:rsidR="00832558" w:rsidRPr="00FC3B90" w:rsidRDefault="00832558" w:rsidP="00F12321">
      <w:pPr>
        <w:pStyle w:val="Voetnoottekst"/>
      </w:pPr>
      <w:r>
        <w:rPr>
          <w:rStyle w:val="Voetnootmarkering"/>
        </w:rPr>
        <w:footnoteRef/>
      </w:r>
      <w:r>
        <w:t xml:space="preserve"> </w:t>
      </w:r>
      <w:r>
        <w:tab/>
        <w:t>Bijlage bij de brief van 27 april 2012 van de Minister van Economische zaken, Landbouw &amp; Innovatie aan de Voorzitter van de Tweede Kamer der Staten-Generaal, Kamerstukken II 2011/12, 21 501-20, nr. 630, blz. 3.</w:t>
      </w:r>
    </w:p>
  </w:footnote>
  <w:footnote w:id="3">
    <w:p w:rsidR="00832558" w:rsidRPr="00FC3B90" w:rsidRDefault="00832558">
      <w:pPr>
        <w:pStyle w:val="Voetnoottekst"/>
      </w:pPr>
      <w:r>
        <w:rPr>
          <w:rStyle w:val="Voetnootmarkering"/>
        </w:rPr>
        <w:footnoteRef/>
      </w:r>
      <w:r>
        <w:t xml:space="preserve"> </w:t>
      </w:r>
      <w:r>
        <w:tab/>
        <w:t>Kamerstukken II 2011/12, 33 003, nr. 4, blz. 2, punt 1a.</w:t>
      </w:r>
    </w:p>
  </w:footnote>
  <w:footnote w:id="4">
    <w:p w:rsidR="00832558" w:rsidRPr="00FC3B90" w:rsidRDefault="00832558">
      <w:pPr>
        <w:pStyle w:val="Voetnoottekst"/>
        <w:rPr>
          <w:b/>
          <w:bCs/>
          <w:i/>
          <w:iCs/>
          <w:u w:val="single"/>
        </w:rPr>
      </w:pPr>
      <w:r>
        <w:rPr>
          <w:rStyle w:val="Voetnootmarkering"/>
        </w:rPr>
        <w:footnoteRef/>
      </w:r>
      <w:r>
        <w:t xml:space="preserve"> </w:t>
      </w:r>
      <w:r>
        <w:tab/>
        <w:t>Kamerstukken II 2011/12, 32 740, nr. 1 herdruk, blz. 2, 10-11 en 15-19.</w:t>
      </w:r>
    </w:p>
  </w:footnote>
  <w:footnote w:id="5">
    <w:p w:rsidR="00832558" w:rsidRDefault="00832558" w:rsidP="00622779">
      <w:pPr>
        <w:pStyle w:val="Voetnoottekst"/>
      </w:pPr>
      <w:r>
        <w:rPr>
          <w:rStyle w:val="Voetnootmarkering"/>
        </w:rPr>
        <w:footnoteRef/>
      </w:r>
      <w:r>
        <w:t xml:space="preserve"> </w:t>
      </w:r>
      <w:r>
        <w:tab/>
        <w:t>Memorie van toelichting onder "I. Algemeen", eerste tekstblok, zesde volzin.</w:t>
      </w:r>
    </w:p>
  </w:footnote>
  <w:footnote w:id="6">
    <w:p w:rsidR="00832558" w:rsidRDefault="00832558" w:rsidP="00622779">
      <w:pPr>
        <w:pStyle w:val="Voetnoottekst"/>
      </w:pPr>
      <w:r>
        <w:rPr>
          <w:rStyle w:val="Voetnootmarkering"/>
        </w:rPr>
        <w:footnoteRef/>
      </w:r>
      <w:r>
        <w:t xml:space="preserve"> </w:t>
      </w:r>
      <w:r>
        <w:tab/>
        <w:t xml:space="preserve">Ingevolge artikel XXXI van het Belastingplan 2011 wettelijk per </w:t>
      </w:r>
      <w:smartTag w:uri="urn:schemas-microsoft-com:office:smarttags" w:element="date">
        <w:smartTagPr>
          <w:attr w:name="ls" w:val="trans"/>
          <w:attr w:name="Month" w:val="1"/>
          <w:attr w:name="Day" w:val="1"/>
          <w:attr w:name="Year" w:val="2011"/>
        </w:smartTagPr>
        <w:r>
          <w:t>1 januari 2011</w:t>
        </w:r>
      </w:smartTag>
      <w:r>
        <w:t xml:space="preserve">. Via het goedkeurende beleidsbesluit van </w:t>
      </w:r>
      <w:smartTag w:uri="urn:schemas-microsoft-com:office:smarttags" w:element="date">
        <w:smartTagPr>
          <w:attr w:name="ls" w:val="trans"/>
          <w:attr w:name="Month" w:val="12"/>
          <w:attr w:name="Day" w:val="21"/>
          <w:attr w:name="Year" w:val="2010"/>
        </w:smartTagPr>
        <w:r>
          <w:t>21 december 2010</w:t>
        </w:r>
      </w:smartTag>
      <w:r>
        <w:t xml:space="preserve">, nr. DV2010-537M, Stcrt. 2010, 21338, feitelijk per </w:t>
      </w:r>
      <w:smartTag w:uri="urn:schemas-microsoft-com:office:smarttags" w:element="date">
        <w:smartTagPr>
          <w:attr w:name="ls" w:val="trans"/>
          <w:attr w:name="Month" w:val="7"/>
          <w:attr w:name="Day" w:val="1"/>
          <w:attr w:name="Year" w:val="2011"/>
        </w:smartTagPr>
        <w:r>
          <w:t>1 juli 2011</w:t>
        </w:r>
      </w:smartTag>
      <w:r>
        <w:t>.</w:t>
      </w:r>
    </w:p>
  </w:footnote>
  <w:footnote w:id="7">
    <w:p w:rsidR="00832558" w:rsidRDefault="00832558">
      <w:pPr>
        <w:pStyle w:val="Voetnoottekst"/>
      </w:pPr>
      <w:r>
        <w:rPr>
          <w:rStyle w:val="Voetnootmarkering"/>
        </w:rPr>
        <w:footnoteRef/>
      </w:r>
      <w:r>
        <w:t xml:space="preserve"> </w:t>
      </w:r>
      <w:r>
        <w:tab/>
        <w:t>Artikelen III, onderdeel E, en VIII van het voorstel.</w:t>
      </w:r>
    </w:p>
  </w:footnote>
  <w:footnote w:id="8">
    <w:p w:rsidR="00832558" w:rsidRPr="00D52583" w:rsidRDefault="00832558" w:rsidP="007546F2">
      <w:pPr>
        <w:pStyle w:val="Voetnoottekst"/>
        <w:rPr>
          <w:b/>
          <w:bCs/>
        </w:rPr>
      </w:pPr>
      <w:r>
        <w:rPr>
          <w:rStyle w:val="Voetnootmarkering"/>
        </w:rPr>
        <w:footnoteRef/>
      </w:r>
      <w:r>
        <w:t xml:space="preserve"> </w:t>
      </w:r>
      <w:r>
        <w:tab/>
        <w:t>Artikel XXIXA van het Belastingplan 2011.</w:t>
      </w:r>
    </w:p>
  </w:footnote>
  <w:footnote w:id="9">
    <w:p w:rsidR="00832558" w:rsidRDefault="00832558">
      <w:pPr>
        <w:pStyle w:val="Voetnoottekst"/>
      </w:pPr>
      <w:r>
        <w:rPr>
          <w:rStyle w:val="Voetnootmarkering"/>
        </w:rPr>
        <w:footnoteRef/>
      </w:r>
      <w:r>
        <w:t xml:space="preserve"> </w:t>
      </w:r>
      <w:r>
        <w:tab/>
        <w:t>Het in artikel 3, eerste lid, van het BUA opgenomen percentage luidt thans 6%.</w:t>
      </w:r>
    </w:p>
  </w:footnote>
  <w:footnote w:id="10">
    <w:p w:rsidR="00832558" w:rsidRDefault="00832558">
      <w:pPr>
        <w:pStyle w:val="Voetnoottekst"/>
      </w:pPr>
      <w:r>
        <w:rPr>
          <w:rStyle w:val="Voetnootmarkering"/>
        </w:rPr>
        <w:footnoteRef/>
      </w:r>
      <w:r>
        <w:t xml:space="preserve"> </w:t>
      </w:r>
      <w:r>
        <w:tab/>
        <w:t>Ingevolge artikel 16, tweede lid, van de Wet op de omzetbelasting 1968.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558" w:rsidRDefault="00832558" w:rsidP="00BF4FEC">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32558" w:rsidRDefault="00832558">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558" w:rsidRDefault="00832558">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6572F">
      <w:rPr>
        <w:rStyle w:val="Paginanummer"/>
        <w:noProof/>
      </w:rPr>
      <w:t>2</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558" w:rsidRDefault="00832558" w:rsidP="00BF4FEC">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6572F">
      <w:rPr>
        <w:rStyle w:val="Paginanummer"/>
        <w:noProof/>
      </w:rPr>
      <w:t>I</w:t>
    </w:r>
    <w:r>
      <w:rPr>
        <w:rStyle w:val="Paginanummer"/>
      </w:rPr>
      <w:fldChar w:fldCharType="end"/>
    </w:r>
  </w:p>
  <w:p w:rsidR="00832558" w:rsidRPr="00BF4FEC" w:rsidRDefault="00832558" w:rsidP="00BF4FEC">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94777"/>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stylePaneFormatFilter w:val="3F01"/>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docVars>
    <w:docVar w:name="XML1" w:val="&lt;?xml version=&quot;1.0&quot;?&gt;_x000D__x000A_&lt;Advies&gt;&lt;Afdeling&gt;III&lt;/Afdeling&gt;&lt;Afdoening&gt;W&lt;/Afdoening&gt;&lt;Betreft&gt;Voorstel van wet tot wijziging van enkele belastingwetten in verband met wijziging van de tarieven van de omzetbelasting, de inkomstenbelasting en de loonbelasting.&lt;/Betreft&gt;&lt;Datum&gt;3 mei 2012&lt;/Datum&gt;&lt;Inzake&gt;Wetsvoorstel&lt;/Inzake&gt;&lt;Kabinetmissivebetreft&gt;Voorstel van wet tot wijziging van enkele belastingwetten in verband met wijziging van de tarieven van de omzetbelasting, de inkomstenbelasting en de loonbelasting&lt;/Kabinetmissivebetreft&gt;&lt;Naamlaatstopgeslagendoor&gt;e-Dossier&lt;/Naamlaatstopgeslagendoor&gt;&lt;Naamopsteller&gt;e-Dossier&lt;/Naamopsteller&gt;&lt;Stadium&gt;advies&lt;/Stadium&gt;&lt;Typedocumentcode&gt;WGDCADVIES&lt;/Typedocumentcode&gt;&lt;Typedocumentomschrijving&gt;advies&lt;/Typedocumentomschrijving&gt;&lt;Naambestand&gt;advies minuut gewijzigd W06.12.0146&lt;/Naambestand&gt;&lt;Waarneminguitgevraagd&gt;Waar&lt;/Waarneminguitgevraagd&gt;&lt;Zaaknummer&gt;W06.12.0146&lt;/Zaaknummer&gt;&lt;Auteurs&gt;&lt;Auteur&gt;&lt;id&gt;jur020&lt;/id&gt;&lt;/Auteur&gt;&lt;/Auteurs&gt;&lt;Meelezers/&gt;&lt;Rapporteurs&gt;&lt;Rapporteur&gt;&lt;id&gt;str29&lt;/id&gt;&lt;woordvoerder&gt;&lt;/woordvoerder&gt;&lt;/Rapporteur&gt;&lt;/Rapporteurs&gt;&lt;Ministerie&gt;&lt;id&gt;06&lt;/id&gt;&lt;Afdeling&gt;III&lt;/Afdeling&gt;&lt;Afkorting&gt;Fin&lt;/Afkorting&gt;&lt;Naam&gt;Financiën&lt;/Naam&gt;&lt;Plaats&gt;2500 EE  DEN HAAG&lt;/Plaats&gt;&lt;Postadres&gt;Postbus 20201&lt;/Postadres&gt;&lt;/Ministerie&gt;&lt;Personen&gt;&lt;Persoon&gt;&lt;id&gt;jur020&lt;/id&gt;&lt;Achternaam&gt;Reith&lt;/Achternaam&gt;&lt;/Persoon&gt;&lt;Persoon&gt;&lt;id&gt;str29&lt;/id&gt;&lt;Achternaam&gt;Jansen&lt;/Achternaam&gt;&lt;/Persoon&gt;&lt;/Personen&gt;&lt;/Advies&gt;_x000D__x000A_"/>
  </w:docVars>
  <w:rsids>
    <w:rsidRoot w:val="00C50D4F"/>
    <w:rsid w:val="00022B97"/>
    <w:rsid w:val="00086FEB"/>
    <w:rsid w:val="000C7FDB"/>
    <w:rsid w:val="000E14CF"/>
    <w:rsid w:val="00116156"/>
    <w:rsid w:val="00156F0B"/>
    <w:rsid w:val="00184461"/>
    <w:rsid w:val="001B08D8"/>
    <w:rsid w:val="001C47F9"/>
    <w:rsid w:val="001D3718"/>
    <w:rsid w:val="0027368B"/>
    <w:rsid w:val="00337777"/>
    <w:rsid w:val="003A476D"/>
    <w:rsid w:val="004355E9"/>
    <w:rsid w:val="0046572F"/>
    <w:rsid w:val="00470BD5"/>
    <w:rsid w:val="0047170C"/>
    <w:rsid w:val="00551337"/>
    <w:rsid w:val="005816B9"/>
    <w:rsid w:val="005C427E"/>
    <w:rsid w:val="00622779"/>
    <w:rsid w:val="00643AE9"/>
    <w:rsid w:val="00645D20"/>
    <w:rsid w:val="00733A90"/>
    <w:rsid w:val="0075259B"/>
    <w:rsid w:val="00753DEB"/>
    <w:rsid w:val="007546F2"/>
    <w:rsid w:val="007B78D3"/>
    <w:rsid w:val="00830F29"/>
    <w:rsid w:val="00832558"/>
    <w:rsid w:val="0084529F"/>
    <w:rsid w:val="00873D1B"/>
    <w:rsid w:val="008C09D6"/>
    <w:rsid w:val="008D2BDA"/>
    <w:rsid w:val="008F3525"/>
    <w:rsid w:val="008F750A"/>
    <w:rsid w:val="009377CA"/>
    <w:rsid w:val="009A30DF"/>
    <w:rsid w:val="009E72D2"/>
    <w:rsid w:val="009F3E7A"/>
    <w:rsid w:val="009F42C5"/>
    <w:rsid w:val="00A64583"/>
    <w:rsid w:val="00A81680"/>
    <w:rsid w:val="00B174C9"/>
    <w:rsid w:val="00B23F77"/>
    <w:rsid w:val="00B54D01"/>
    <w:rsid w:val="00B96C15"/>
    <w:rsid w:val="00BF4FEC"/>
    <w:rsid w:val="00C06E78"/>
    <w:rsid w:val="00C31064"/>
    <w:rsid w:val="00C5066A"/>
    <w:rsid w:val="00C50D4F"/>
    <w:rsid w:val="00C94D31"/>
    <w:rsid w:val="00C962FC"/>
    <w:rsid w:val="00D419AB"/>
    <w:rsid w:val="00D52583"/>
    <w:rsid w:val="00D95E9B"/>
    <w:rsid w:val="00DC3243"/>
    <w:rsid w:val="00DF01FA"/>
    <w:rsid w:val="00E148B6"/>
    <w:rsid w:val="00E14CE1"/>
    <w:rsid w:val="00E60A8A"/>
    <w:rsid w:val="00E674D7"/>
    <w:rsid w:val="00EF013F"/>
    <w:rsid w:val="00F103CA"/>
    <w:rsid w:val="00F12321"/>
    <w:rsid w:val="00F236B0"/>
    <w:rsid w:val="00FC3B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styleId="Regelnummer">
    <w:name w:val="line number"/>
    <w:basedOn w:val="Standaardalinea-lettertype"/>
    <w:rsid w:val="00753DEB"/>
  </w:style>
  <w:style w:type="paragraph" w:styleId="Voetnoottekst">
    <w:name w:val="footnote text"/>
    <w:basedOn w:val="Standaard"/>
    <w:semiHidden/>
    <w:rsid w:val="00753DEB"/>
    <w:pPr>
      <w:tabs>
        <w:tab w:val="left" w:pos="227"/>
      </w:tabs>
      <w:ind w:left="227" w:hanging="227"/>
    </w:pPr>
    <w:rPr>
      <w:sz w:val="16"/>
      <w:szCs w:val="20"/>
    </w:rPr>
  </w:style>
  <w:style w:type="paragraph" w:styleId="Koptekst">
    <w:name w:val="header"/>
    <w:basedOn w:val="Standaard"/>
    <w:rsid w:val="00753DEB"/>
    <w:pPr>
      <w:tabs>
        <w:tab w:val="center" w:pos="4536"/>
        <w:tab w:val="right" w:pos="9072"/>
      </w:tabs>
      <w:overflowPunct w:val="0"/>
      <w:autoSpaceDE w:val="0"/>
      <w:autoSpaceDN w:val="0"/>
      <w:adjustRightInd w:val="0"/>
      <w:textAlignment w:val="baseline"/>
    </w:pPr>
    <w:rPr>
      <w:szCs w:val="20"/>
      <w:lang w:val="nl" w:eastAsia="en-US"/>
    </w:rPr>
  </w:style>
  <w:style w:type="character" w:styleId="Paginanummer">
    <w:name w:val="page number"/>
    <w:basedOn w:val="Standaardalinea-lettertype"/>
    <w:rsid w:val="00753DEB"/>
    <w:rPr>
      <w:rFonts w:ascii="Univers" w:hAnsi="Univers"/>
      <w:sz w:val="22"/>
    </w:rPr>
  </w:style>
  <w:style w:type="paragraph" w:styleId="Voettekst">
    <w:name w:val="footer"/>
    <w:basedOn w:val="Standaard"/>
    <w:rsid w:val="00753DEB"/>
    <w:pPr>
      <w:tabs>
        <w:tab w:val="center" w:pos="4536"/>
        <w:tab w:val="right" w:pos="9072"/>
      </w:tabs>
      <w:overflowPunct w:val="0"/>
      <w:autoSpaceDE w:val="0"/>
      <w:autoSpaceDN w:val="0"/>
      <w:adjustRightInd w:val="0"/>
      <w:textAlignment w:val="baseline"/>
    </w:pPr>
    <w:rPr>
      <w:szCs w:val="20"/>
      <w:lang w:val="nl" w:eastAsia="en-US"/>
    </w:rPr>
  </w:style>
  <w:style w:type="character" w:styleId="Voetnootmarkering">
    <w:name w:val="footnote reference"/>
    <w:basedOn w:val="Standaardalinea-lettertype"/>
    <w:semiHidden/>
    <w:rsid w:val="00D419AB"/>
    <w:rPr>
      <w:vertAlign w:val="superscript"/>
    </w:rPr>
  </w:style>
  <w:style w:type="paragraph" w:styleId="Ballontekst">
    <w:name w:val="Balloon Text"/>
    <w:basedOn w:val="Standaard"/>
    <w:semiHidden/>
    <w:rsid w:val="001B08D8"/>
    <w:rPr>
      <w:rFonts w:ascii="Tahoma" w:hAnsi="Tahoma" w:cs="Tahoma"/>
      <w:sz w:val="16"/>
      <w:szCs w:val="16"/>
    </w:rPr>
  </w:style>
  <w:style w:type="character" w:customStyle="1" w:styleId="LogoKoninginnepapier">
    <w:name w:val="Logo Koninginnepapier"/>
    <w:basedOn w:val="Standaardalinea-lettertype"/>
    <w:rsid w:val="000C7FDB"/>
    <w:rPr>
      <w:rFonts w:ascii="Bembo" w:hAnsi="Bembo"/>
      <w:spacing w:val="0"/>
      <w:sz w:val="32"/>
      <w:szCs w:val="32"/>
    </w:rPr>
  </w:style>
</w:styles>
</file>

<file path=word/webSettings.xml><?xml version="1.0" encoding="utf-8"?>
<w:webSettings xmlns:r="http://schemas.openxmlformats.org/officeDocument/2006/relationships" xmlns:w="http://schemas.openxmlformats.org/wordprocessingml/2006/main">
  <w:divs>
    <w:div w:id="463932899">
      <w:bodyDiv w:val="1"/>
      <w:marLeft w:val="0"/>
      <w:marRight w:val="0"/>
      <w:marTop w:val="0"/>
      <w:marBottom w:val="0"/>
      <w:divBdr>
        <w:top w:val="none" w:sz="0" w:space="0" w:color="auto"/>
        <w:left w:val="none" w:sz="0" w:space="0" w:color="auto"/>
        <w:bottom w:val="none" w:sz="0" w:space="0" w:color="auto"/>
        <w:right w:val="none" w:sz="0" w:space="0" w:color="auto"/>
      </w:divBdr>
    </w:div>
    <w:div w:id="672807026">
      <w:bodyDiv w:val="1"/>
      <w:marLeft w:val="0"/>
      <w:marRight w:val="0"/>
      <w:marTop w:val="0"/>
      <w:marBottom w:val="0"/>
      <w:divBdr>
        <w:top w:val="none" w:sz="0" w:space="0" w:color="auto"/>
        <w:left w:val="none" w:sz="0" w:space="0" w:color="auto"/>
        <w:bottom w:val="none" w:sz="0" w:space="0" w:color="auto"/>
        <w:right w:val="none" w:sz="0" w:space="0" w:color="auto"/>
      </w:divBdr>
    </w:div>
    <w:div w:id="980042052">
      <w:bodyDiv w:val="1"/>
      <w:marLeft w:val="0"/>
      <w:marRight w:val="0"/>
      <w:marTop w:val="0"/>
      <w:marBottom w:val="0"/>
      <w:divBdr>
        <w:top w:val="none" w:sz="0" w:space="0" w:color="auto"/>
        <w:left w:val="none" w:sz="0" w:space="0" w:color="auto"/>
        <w:bottom w:val="none" w:sz="0" w:space="0" w:color="auto"/>
        <w:right w:val="none" w:sz="0" w:space="0" w:color="auto"/>
      </w:divBdr>
    </w:div>
    <w:div w:id="106013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1154</ap:Words>
  <ap:Characters>6351</ap:Characters>
  <ap:DocSecurity>4</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2012-05-10T07:09:00.0000000Z</lastPrinted>
  <dcterms:created xsi:type="dcterms:W3CDTF">2012-06-04T08:58:00.0000000Z</dcterms:created>
  <dcterms:modified xsi:type="dcterms:W3CDTF">2012-06-04T08:58:00.0000000Z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pgestartInEdossier">
    <vt:lpwstr>23-1-2008 13:14:00</vt:lpwstr>
  </property>
  <property fmtid="{D5CDD505-2E9C-101B-9397-08002B2CF9AE}" pid="3" name="ContentTypeId">
    <vt:lpwstr>0x010100E0C69D3A20F5BE4DAFFF6361B2303595</vt:lpwstr>
  </property>
  <property fmtid="{D5CDD505-2E9C-101B-9397-08002B2CF9AE}" pid="4" name="Gereserveerd">
    <vt:lpwstr>true</vt:lpwstr>
  </property>
  <property fmtid="{D5CDD505-2E9C-101B-9397-08002B2CF9AE}" pid="5" name="GereserveerdDoor">
    <vt:lpwstr>bouh0211</vt:lpwstr>
  </property>
  <property fmtid="{D5CDD505-2E9C-101B-9397-08002B2CF9AE}" pid="6" name="Door">
    <vt:lpwstr>Bouwmeester H.</vt:lpwstr>
  </property>
</Properties>
</file>