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footnotes.xml" ContentType="application/vnd.openxmlformats-officedocument.wordprocessingml.footnotes+xml"/>
  <Override PartName="/word/theme/themeOverride1.xml" ContentType="application/vnd.openxmlformats-officedocument.themeOverride+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2.xml" ContentType="application/vnd.openxmlformats-officedocument.drawingml.chart+xml"/>
  <Override PartName="/docProps/core.xml" ContentType="application/vnd.openxmlformats-package.core-properties+xml"/>
  <Override PartName="/word/webSettings.xml" ContentType="application/vnd.openxmlformats-officedocument.wordprocessingml.webSettings+xml"/>
  <Override PartName="/word/charts/chart1.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E259A" w:rsidR="009E259A" w:rsidP="009E259A" w:rsidRDefault="009E259A">
      <w:pPr>
        <w:spacing w:after="0"/>
        <w:rPr>
          <w:rFonts w:eastAsia="Times New Roman" w:cs="Times New Roman"/>
          <w:b/>
          <w:szCs w:val="18"/>
          <w:lang w:val="nl-NL" w:eastAsia="zh-CN"/>
        </w:rPr>
      </w:pPr>
      <w:bookmarkStart w:name="_GoBack" w:id="0"/>
      <w:bookmarkEnd w:id="0"/>
      <w:r w:rsidRPr="009E259A">
        <w:rPr>
          <w:rFonts w:eastAsia="Times New Roman" w:cs="Times New Roman"/>
          <w:b/>
          <w:szCs w:val="18"/>
          <w:lang w:val="nl-NL" w:eastAsia="zh-CN"/>
        </w:rPr>
        <w:t>Belei</w:t>
      </w:r>
      <w:r w:rsidR="001D1E8F">
        <w:rPr>
          <w:rFonts w:eastAsia="Times New Roman" w:cs="Times New Roman"/>
          <w:b/>
          <w:szCs w:val="18"/>
          <w:lang w:val="nl-NL" w:eastAsia="zh-CN"/>
        </w:rPr>
        <w:t xml:space="preserve">dsartikel 6: Duurzaam </w:t>
      </w:r>
      <w:r w:rsidRPr="009E259A">
        <w:rPr>
          <w:rFonts w:eastAsia="Times New Roman" w:cs="Times New Roman"/>
          <w:b/>
          <w:szCs w:val="18"/>
          <w:lang w:val="nl-NL" w:eastAsia="zh-CN"/>
        </w:rPr>
        <w:t>milieu</w:t>
      </w:r>
      <w:r w:rsidR="001D1E8F">
        <w:rPr>
          <w:rFonts w:eastAsia="Times New Roman" w:cs="Times New Roman"/>
          <w:b/>
          <w:szCs w:val="18"/>
          <w:lang w:val="nl-NL" w:eastAsia="zh-CN"/>
        </w:rPr>
        <w:t>- en water</w:t>
      </w:r>
      <w:r w:rsidRPr="009E259A">
        <w:rPr>
          <w:rFonts w:eastAsia="Times New Roman" w:cs="Times New Roman"/>
          <w:b/>
          <w:szCs w:val="18"/>
          <w:lang w:val="nl-NL" w:eastAsia="zh-CN"/>
        </w:rPr>
        <w:t>beheer</w:t>
      </w:r>
    </w:p>
    <w:p w:rsidRPr="009E259A" w:rsidR="009E259A" w:rsidP="009E259A" w:rsidRDefault="009E259A">
      <w:pPr>
        <w:spacing w:after="0"/>
        <w:rPr>
          <w:rFonts w:eastAsia="Times New Roman" w:cs="Times New Roman"/>
          <w:b/>
          <w:szCs w:val="18"/>
          <w:lang w:val="nl-NL" w:eastAsia="zh-CN"/>
        </w:rPr>
      </w:pPr>
    </w:p>
    <w:p w:rsidRPr="009E259A" w:rsidR="009E259A" w:rsidP="009E259A" w:rsidRDefault="009E259A">
      <w:pPr>
        <w:spacing w:after="0"/>
        <w:rPr>
          <w:rFonts w:eastAsia="Times New Roman" w:cs="Times New Roman"/>
          <w:b/>
          <w:szCs w:val="18"/>
          <w:lang w:val="nl-NL" w:eastAsia="zh-CN"/>
        </w:rPr>
      </w:pPr>
      <w:r w:rsidRPr="009E259A">
        <w:rPr>
          <w:rFonts w:ascii="Times New Roman" w:hAnsi="Times New Roman" w:eastAsia="Times New Roman" w:cs="Times New Roman"/>
          <w:noProof/>
          <w:sz w:val="24"/>
          <w:szCs w:val="24"/>
          <w:lang w:val="nl-NL" w:eastAsia="nl-NL"/>
        </w:rPr>
        <w:drawing>
          <wp:inline distT="0" distB="0" distL="0" distR="0" wp14:anchorId="2E68E84E" wp14:editId="09A4B1F6">
            <wp:extent cx="5582992" cy="1506828"/>
            <wp:effectExtent l="0" t="0" r="1778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9E259A" w:rsidR="009E259A" w:rsidP="009E259A" w:rsidRDefault="009E259A">
      <w:pPr>
        <w:spacing w:after="0"/>
        <w:rPr>
          <w:rFonts w:eastAsia="Times New Roman" w:cs="Times New Roman"/>
          <w:b/>
          <w:szCs w:val="18"/>
          <w:lang w:val="nl-NL" w:eastAsia="zh-CN"/>
        </w:rPr>
      </w:pPr>
    </w:p>
    <w:p w:rsidRPr="009E259A" w:rsidR="009E259A" w:rsidP="009E259A" w:rsidRDefault="009E259A">
      <w:pPr>
        <w:spacing w:after="0"/>
        <w:rPr>
          <w:rFonts w:eastAsia="Times New Roman" w:cs="Times New Roman"/>
          <w:b/>
          <w:szCs w:val="18"/>
          <w:lang w:val="nl-NL" w:eastAsia="zh-CN"/>
        </w:rPr>
      </w:pPr>
      <w:r w:rsidRPr="009E259A">
        <w:rPr>
          <w:rFonts w:eastAsia="Times New Roman" w:cs="Times New Roman"/>
          <w:b/>
          <w:szCs w:val="18"/>
          <w:lang w:val="nl-NL" w:eastAsia="zh-CN"/>
        </w:rPr>
        <w:t>A. Algemene Doelstelling</w:t>
      </w:r>
    </w:p>
    <w:p w:rsidRPr="009E259A" w:rsidR="009E259A" w:rsidP="009E259A" w:rsidRDefault="009E259A">
      <w:pPr>
        <w:spacing w:after="0"/>
        <w:rPr>
          <w:rFonts w:eastAsia="Times New Roman" w:cs="Times New Roman"/>
          <w:b/>
          <w:szCs w:val="18"/>
          <w:lang w:val="nl-NL" w:eastAsia="zh-CN"/>
        </w:rPr>
      </w:pPr>
    </w:p>
    <w:p w:rsidRPr="009E259A" w:rsidR="009E259A" w:rsidP="009E259A" w:rsidRDefault="009E259A">
      <w:pPr>
        <w:spacing w:after="0"/>
        <w:rPr>
          <w:rFonts w:eastAsia="Times New Roman" w:cs="Times New Roman"/>
          <w:szCs w:val="18"/>
          <w:lang w:val="nl-NL" w:eastAsia="zh-CN"/>
        </w:rPr>
      </w:pPr>
      <w:r w:rsidRPr="009E259A">
        <w:rPr>
          <w:rFonts w:eastAsia="Times New Roman" w:cs="Times New Roman"/>
          <w:szCs w:val="18"/>
          <w:lang w:val="nl-NL" w:eastAsia="zh-CN"/>
        </w:rPr>
        <w:t xml:space="preserve">Het </w:t>
      </w:r>
      <w:r w:rsidR="00AF3211">
        <w:rPr>
          <w:rFonts w:eastAsia="Times New Roman" w:cs="Times New Roman"/>
          <w:szCs w:val="18"/>
          <w:lang w:val="nl-NL" w:eastAsia="zh-CN"/>
        </w:rPr>
        <w:t xml:space="preserve">bestrijden van structurele armoede en het </w:t>
      </w:r>
      <w:r w:rsidRPr="009E259A">
        <w:rPr>
          <w:rFonts w:eastAsia="Times New Roman" w:cs="Times New Roman"/>
          <w:szCs w:val="18"/>
          <w:lang w:val="nl-NL" w:eastAsia="zh-CN"/>
        </w:rPr>
        <w:t xml:space="preserve">bevorderen van </w:t>
      </w:r>
      <w:r w:rsidR="00AF3211">
        <w:rPr>
          <w:rFonts w:eastAsia="Times New Roman" w:cs="Times New Roman"/>
          <w:szCs w:val="18"/>
          <w:lang w:val="nl-NL" w:eastAsia="zh-CN"/>
        </w:rPr>
        <w:t>duurzame economische groei</w:t>
      </w:r>
      <w:r w:rsidRPr="009E259A">
        <w:rPr>
          <w:rFonts w:eastAsia="Times New Roman" w:cs="Times New Roman"/>
          <w:szCs w:val="18"/>
          <w:lang w:val="nl-NL" w:eastAsia="zh-CN"/>
        </w:rPr>
        <w:t xml:space="preserve"> door verantwoord milieu- en waterbeheer.</w:t>
      </w:r>
      <w:r w:rsidR="0082497E">
        <w:rPr>
          <w:rFonts w:eastAsia="Times New Roman" w:cs="Times New Roman"/>
          <w:szCs w:val="18"/>
          <w:lang w:val="nl-NL" w:eastAsia="zh-CN"/>
        </w:rPr>
        <w:t xml:space="preserve"> </w:t>
      </w:r>
    </w:p>
    <w:p w:rsidRPr="009E259A" w:rsidR="009E259A" w:rsidP="009E259A" w:rsidRDefault="009E259A">
      <w:pPr>
        <w:spacing w:after="0"/>
        <w:rPr>
          <w:rFonts w:eastAsia="Times New Roman" w:cs="Times New Roman"/>
          <w:b/>
          <w:szCs w:val="18"/>
          <w:lang w:val="nl-NL" w:eastAsia="zh-CN"/>
        </w:rPr>
      </w:pPr>
    </w:p>
    <w:p w:rsidRPr="009E259A" w:rsidR="009E259A" w:rsidP="009E259A" w:rsidRDefault="009E259A">
      <w:pPr>
        <w:spacing w:after="0"/>
        <w:rPr>
          <w:rFonts w:eastAsia="Times New Roman" w:cs="Times New Roman"/>
          <w:b/>
          <w:szCs w:val="18"/>
          <w:lang w:val="nl-NL" w:eastAsia="zh-CN"/>
        </w:rPr>
      </w:pPr>
      <w:r w:rsidRPr="009E259A">
        <w:rPr>
          <w:rFonts w:eastAsia="Times New Roman" w:cs="Times New Roman"/>
          <w:b/>
          <w:szCs w:val="18"/>
          <w:lang w:val="nl-NL" w:eastAsia="zh-CN"/>
        </w:rPr>
        <w:t>B. Rol en verantwoordelijkheid</w:t>
      </w:r>
    </w:p>
    <w:p w:rsidR="009E259A" w:rsidP="009E259A" w:rsidRDefault="009E259A">
      <w:pPr>
        <w:spacing w:after="0"/>
        <w:rPr>
          <w:rFonts w:eastAsia="Times New Roman" w:cs="Times New Roman"/>
          <w:szCs w:val="18"/>
          <w:lang w:val="nl-NL" w:eastAsia="zh-CN"/>
        </w:rPr>
      </w:pPr>
    </w:p>
    <w:p w:rsidR="00B71557" w:rsidP="009E259A" w:rsidRDefault="00F63225">
      <w:pPr>
        <w:spacing w:after="0"/>
        <w:rPr>
          <w:rFonts w:eastAsia="Times New Roman" w:cs="Times New Roman"/>
          <w:szCs w:val="18"/>
          <w:lang w:val="nl-NL" w:eastAsia="zh-CN"/>
        </w:rPr>
      </w:pPr>
      <w:r>
        <w:rPr>
          <w:rFonts w:eastAsia="Times New Roman" w:cs="Times New Roman"/>
          <w:szCs w:val="18"/>
          <w:lang w:val="nl-NL" w:eastAsia="zh-CN"/>
        </w:rPr>
        <w:t xml:space="preserve">Inzetten op water voor ontwikkeling is een voor de hand liggende keuze. Grote delen van de wereld kampen met waterschaarste, andere met overlast. Kwetsbare gebieden in Afrika en Azië strijden tegen droogte. Overstromingen kosten mensenlevens en ontwrichten de economie. Nog steeds sterven dagelijks meer mensen dan vijfduizend mensen door gebrek aan schoon drinkwater en sanitaire voorzieningen, het merendeel kinderen. </w:t>
      </w:r>
    </w:p>
    <w:p w:rsidR="00B71557" w:rsidP="009E259A" w:rsidRDefault="00B71557">
      <w:pPr>
        <w:spacing w:after="0"/>
        <w:rPr>
          <w:rFonts w:eastAsia="Times New Roman" w:cs="Times New Roman"/>
          <w:szCs w:val="18"/>
          <w:lang w:val="nl-NL" w:eastAsia="zh-CN"/>
        </w:rPr>
      </w:pPr>
    </w:p>
    <w:p w:rsidR="00B035DF" w:rsidP="009E259A" w:rsidRDefault="00B71557">
      <w:pPr>
        <w:spacing w:after="0"/>
        <w:rPr>
          <w:rFonts w:eastAsia="Times New Roman" w:cs="Times New Roman"/>
          <w:szCs w:val="18"/>
          <w:lang w:val="nl-NL" w:eastAsia="zh-CN"/>
        </w:rPr>
      </w:pPr>
      <w:r>
        <w:rPr>
          <w:rFonts w:eastAsia="Times New Roman" w:cs="Times New Roman"/>
          <w:szCs w:val="18"/>
          <w:lang w:val="nl-NL" w:eastAsia="zh-CN"/>
        </w:rPr>
        <w:t xml:space="preserve">De toekomst van de wereldeconomie staat op het spel met de toenemende strijd over stroomgebieden, de waterbehoefte van snel groeiende miljoenensteden, de toenemende verontreiniging van oppervlakte- en grondwater, de uitputting van grondwater in belangrijke voedselproducerende regio’s en de degradatie van land. De toename van de wereldbevolking en klimaatverandering zetten </w:t>
      </w:r>
      <w:r w:rsidR="00B035DF">
        <w:rPr>
          <w:rFonts w:eastAsia="Times New Roman" w:cs="Times New Roman"/>
          <w:szCs w:val="18"/>
          <w:lang w:val="nl-NL" w:eastAsia="zh-CN"/>
        </w:rPr>
        <w:t xml:space="preserve">het probleem van </w:t>
      </w:r>
      <w:r>
        <w:rPr>
          <w:rFonts w:eastAsia="Times New Roman" w:cs="Times New Roman"/>
          <w:szCs w:val="18"/>
          <w:lang w:val="nl-NL" w:eastAsia="zh-CN"/>
        </w:rPr>
        <w:t xml:space="preserve">waterschaarste </w:t>
      </w:r>
      <w:r w:rsidR="00B035DF">
        <w:rPr>
          <w:rFonts w:eastAsia="Times New Roman" w:cs="Times New Roman"/>
          <w:szCs w:val="18"/>
          <w:lang w:val="nl-NL" w:eastAsia="zh-CN"/>
        </w:rPr>
        <w:t>op scherp en maken de urgentie van verantwoord milieu- en waterbeheer duidelijk.</w:t>
      </w:r>
    </w:p>
    <w:p w:rsidR="00E53D22" w:rsidP="009E259A" w:rsidRDefault="00E53D22">
      <w:pPr>
        <w:spacing w:after="0"/>
        <w:rPr>
          <w:rFonts w:eastAsia="Times New Roman" w:cs="Times New Roman"/>
          <w:szCs w:val="18"/>
          <w:lang w:val="nl-NL" w:eastAsia="zh-CN"/>
        </w:rPr>
      </w:pPr>
    </w:p>
    <w:p w:rsidRPr="0003554E" w:rsidR="009E259A" w:rsidP="009E259A" w:rsidRDefault="00170013">
      <w:pPr>
        <w:spacing w:after="0"/>
        <w:rPr>
          <w:rFonts w:eastAsia="Times New Roman" w:cs="Times New Roman"/>
          <w:szCs w:val="18"/>
          <w:lang w:val="nl-NL" w:eastAsia="zh-CN"/>
        </w:rPr>
      </w:pPr>
      <w:r w:rsidRPr="00170013">
        <w:rPr>
          <w:rFonts w:eastAsia="Times New Roman" w:cs="Times New Roman"/>
          <w:szCs w:val="18"/>
          <w:lang w:val="nl-NL" w:eastAsia="zh-CN"/>
        </w:rPr>
        <w:t>De rol van de minister bij verantwoord milieu- en wat</w:t>
      </w:r>
      <w:r w:rsidR="001D1E8F">
        <w:rPr>
          <w:rFonts w:eastAsia="Times New Roman" w:cs="Times New Roman"/>
          <w:szCs w:val="18"/>
          <w:lang w:val="nl-NL" w:eastAsia="zh-CN"/>
        </w:rPr>
        <w:t>erbeheer bestaat uit regisseren en</w:t>
      </w:r>
      <w:r w:rsidRPr="00170013">
        <w:rPr>
          <w:rFonts w:eastAsia="Times New Roman" w:cs="Times New Roman"/>
          <w:szCs w:val="18"/>
          <w:lang w:val="nl-NL" w:eastAsia="zh-CN"/>
        </w:rPr>
        <w:t xml:space="preserve"> stimuleren.</w:t>
      </w:r>
      <w:r w:rsidR="001D1E8F">
        <w:rPr>
          <w:rFonts w:eastAsia="Times New Roman" w:cs="Times New Roman"/>
          <w:szCs w:val="18"/>
          <w:lang w:val="nl-NL" w:eastAsia="zh-CN"/>
        </w:rPr>
        <w:t xml:space="preserve"> </w:t>
      </w:r>
      <w:r w:rsidRPr="00170013">
        <w:rPr>
          <w:rFonts w:eastAsia="Times New Roman" w:cs="Times New Roman"/>
          <w:szCs w:val="18"/>
          <w:lang w:val="nl-NL" w:eastAsia="zh-CN"/>
        </w:rPr>
        <w:t xml:space="preserve">Dit wordt nader toegelicht aan de hand van </w:t>
      </w:r>
      <w:r w:rsidR="00B43C85">
        <w:rPr>
          <w:rFonts w:eastAsia="Times New Roman" w:cs="Times New Roman"/>
          <w:szCs w:val="18"/>
          <w:lang w:val="nl-NL" w:eastAsia="zh-CN"/>
        </w:rPr>
        <w:t xml:space="preserve">de </w:t>
      </w:r>
      <w:r w:rsidRPr="00170013">
        <w:rPr>
          <w:rFonts w:eastAsia="Times New Roman" w:cs="Times New Roman"/>
          <w:szCs w:val="18"/>
          <w:lang w:val="nl-NL" w:eastAsia="zh-CN"/>
        </w:rPr>
        <w:t xml:space="preserve">specifieke beleidsdoelstellingen voor </w:t>
      </w:r>
      <w:r>
        <w:rPr>
          <w:rFonts w:eastAsia="Times New Roman" w:cs="Times New Roman"/>
          <w:szCs w:val="18"/>
          <w:lang w:val="nl-NL" w:eastAsia="zh-CN"/>
        </w:rPr>
        <w:t>milieu- en waterbeheer waarbij de n</w:t>
      </w:r>
      <w:r w:rsidR="004B121A">
        <w:rPr>
          <w:rFonts w:eastAsia="Times New Roman" w:cs="Times New Roman"/>
          <w:szCs w:val="18"/>
          <w:lang w:val="nl-NL" w:eastAsia="zh-CN"/>
        </w:rPr>
        <w:t>adruk ligt op</w:t>
      </w:r>
      <w:r>
        <w:rPr>
          <w:rFonts w:eastAsia="Times New Roman" w:cs="Times New Roman"/>
          <w:szCs w:val="18"/>
          <w:lang w:val="nl-NL" w:eastAsia="zh-CN"/>
        </w:rPr>
        <w:t>:</w:t>
      </w:r>
    </w:p>
    <w:p w:rsidRPr="00170013" w:rsidR="009E259A" w:rsidP="009E259A" w:rsidRDefault="009E259A">
      <w:pPr>
        <w:numPr>
          <w:ilvl w:val="0"/>
          <w:numId w:val="1"/>
        </w:numPr>
        <w:spacing w:after="0" w:line="276" w:lineRule="auto"/>
        <w:contextualSpacing/>
        <w:rPr>
          <w:rFonts w:eastAsia="SimSun" w:cs="Times New Roman"/>
          <w:szCs w:val="18"/>
          <w:lang w:val="nl-NL" w:eastAsia="nl-NL"/>
        </w:rPr>
      </w:pPr>
      <w:r w:rsidRPr="00170013">
        <w:rPr>
          <w:rFonts w:eastAsia="SimSun" w:cs="Times New Roman"/>
          <w:szCs w:val="18"/>
          <w:lang w:val="nl-NL" w:eastAsia="nl-NL"/>
        </w:rPr>
        <w:t xml:space="preserve">Efficiënt </w:t>
      </w:r>
      <w:r w:rsidRPr="00170013" w:rsidR="001708F5">
        <w:rPr>
          <w:rFonts w:eastAsia="SimSun" w:cs="Times New Roman"/>
          <w:szCs w:val="18"/>
          <w:lang w:val="nl-NL" w:eastAsia="nl-NL"/>
        </w:rPr>
        <w:t xml:space="preserve">watergebruik, </w:t>
      </w:r>
      <w:r w:rsidRPr="00170013" w:rsidR="00DD1322">
        <w:rPr>
          <w:rFonts w:eastAsia="SimSun" w:cs="Times New Roman"/>
          <w:szCs w:val="18"/>
          <w:lang w:val="nl-NL" w:eastAsia="nl-NL"/>
        </w:rPr>
        <w:t>vooral in de landbouw, v</w:t>
      </w:r>
      <w:r w:rsidRPr="00170013" w:rsidR="001708F5">
        <w:rPr>
          <w:rFonts w:eastAsia="SimSun" w:cs="Times New Roman"/>
          <w:szCs w:val="18"/>
          <w:lang w:val="nl-NL" w:eastAsia="nl-NL"/>
        </w:rPr>
        <w:t xml:space="preserve">erbeterd </w:t>
      </w:r>
      <w:r w:rsidRPr="00170013" w:rsidR="00DD1322">
        <w:rPr>
          <w:rFonts w:eastAsia="SimSun" w:cs="Times New Roman"/>
          <w:szCs w:val="18"/>
          <w:lang w:val="nl-NL" w:eastAsia="nl-NL"/>
        </w:rPr>
        <w:t xml:space="preserve">beheer van </w:t>
      </w:r>
      <w:r w:rsidRPr="00170013" w:rsidR="001708F5">
        <w:rPr>
          <w:rFonts w:eastAsia="SimSun" w:cs="Times New Roman"/>
          <w:szCs w:val="18"/>
          <w:lang w:val="nl-NL" w:eastAsia="nl-NL"/>
        </w:rPr>
        <w:t>stroomgebied</w:t>
      </w:r>
      <w:r w:rsidRPr="00170013" w:rsidR="00DD1322">
        <w:rPr>
          <w:rFonts w:eastAsia="SimSun" w:cs="Times New Roman"/>
          <w:szCs w:val="18"/>
          <w:lang w:val="nl-NL" w:eastAsia="nl-NL"/>
        </w:rPr>
        <w:t>en</w:t>
      </w:r>
      <w:r w:rsidRPr="00170013" w:rsidR="001708F5">
        <w:rPr>
          <w:rFonts w:eastAsia="SimSun" w:cs="Times New Roman"/>
          <w:szCs w:val="18"/>
          <w:lang w:val="nl-NL" w:eastAsia="nl-NL"/>
        </w:rPr>
        <w:t xml:space="preserve"> en v</w:t>
      </w:r>
      <w:r w:rsidRPr="00170013">
        <w:rPr>
          <w:rFonts w:eastAsia="SimSun" w:cs="Times New Roman"/>
          <w:szCs w:val="18"/>
          <w:lang w:val="nl-NL" w:eastAsia="nl-NL"/>
        </w:rPr>
        <w:t>eilige</w:t>
      </w:r>
      <w:r w:rsidRPr="00170013" w:rsidR="001708F5">
        <w:rPr>
          <w:rFonts w:eastAsia="SimSun" w:cs="Times New Roman"/>
          <w:szCs w:val="18"/>
          <w:lang w:val="nl-NL" w:eastAsia="nl-NL"/>
        </w:rPr>
        <w:t>r</w:t>
      </w:r>
      <w:r w:rsidRPr="00170013">
        <w:rPr>
          <w:rFonts w:eastAsia="SimSun" w:cs="Times New Roman"/>
          <w:szCs w:val="18"/>
          <w:lang w:val="nl-NL" w:eastAsia="nl-NL"/>
        </w:rPr>
        <w:t xml:space="preserve"> delta's;</w:t>
      </w:r>
    </w:p>
    <w:p w:rsidRPr="00170013" w:rsidR="004B121A" w:rsidP="009E259A" w:rsidRDefault="001708F5">
      <w:pPr>
        <w:numPr>
          <w:ilvl w:val="0"/>
          <w:numId w:val="1"/>
        </w:numPr>
        <w:spacing w:after="0" w:line="276" w:lineRule="auto"/>
        <w:contextualSpacing/>
        <w:rPr>
          <w:rFonts w:eastAsia="SimSun" w:cs="Times New Roman"/>
          <w:szCs w:val="18"/>
          <w:lang w:val="nl-NL" w:eastAsia="nl-NL"/>
        </w:rPr>
      </w:pPr>
      <w:r w:rsidRPr="00170013">
        <w:rPr>
          <w:rFonts w:eastAsia="SimSun" w:cs="Times New Roman"/>
          <w:szCs w:val="18"/>
          <w:lang w:val="nl-NL" w:eastAsia="nl-NL"/>
        </w:rPr>
        <w:t>Verbeterde toegang tot schoon</w:t>
      </w:r>
      <w:r w:rsidRPr="00170013" w:rsidR="00016E2A">
        <w:rPr>
          <w:rFonts w:eastAsia="SimSun" w:cs="Times New Roman"/>
          <w:szCs w:val="18"/>
          <w:lang w:val="nl-NL" w:eastAsia="nl-NL"/>
        </w:rPr>
        <w:t>/veilig</w:t>
      </w:r>
      <w:r w:rsidRPr="00170013">
        <w:rPr>
          <w:rFonts w:eastAsia="SimSun" w:cs="Times New Roman"/>
          <w:szCs w:val="18"/>
          <w:lang w:val="nl-NL" w:eastAsia="nl-NL"/>
        </w:rPr>
        <w:t xml:space="preserve"> drinkwater en sanitaire voorzieningen</w:t>
      </w:r>
      <w:r w:rsidRPr="00170013" w:rsidR="004B121A">
        <w:rPr>
          <w:rFonts w:eastAsia="SimSun" w:cs="Times New Roman"/>
          <w:szCs w:val="18"/>
          <w:lang w:val="nl-NL" w:eastAsia="nl-NL"/>
        </w:rPr>
        <w:t xml:space="preserve">; en </w:t>
      </w:r>
    </w:p>
    <w:p w:rsidRPr="001B5CC3" w:rsidR="009E259A" w:rsidP="009E259A" w:rsidRDefault="004B121A">
      <w:pPr>
        <w:numPr>
          <w:ilvl w:val="0"/>
          <w:numId w:val="1"/>
        </w:numPr>
        <w:spacing w:after="0" w:line="276" w:lineRule="auto"/>
        <w:contextualSpacing/>
        <w:rPr>
          <w:rFonts w:eastAsia="SimSun" w:cs="Times New Roman"/>
          <w:szCs w:val="18"/>
          <w:lang w:val="nl-NL" w:eastAsia="nl-NL"/>
        </w:rPr>
      </w:pPr>
      <w:r w:rsidRPr="00170013">
        <w:rPr>
          <w:rFonts w:eastAsia="SimSun" w:cs="Times New Roman"/>
          <w:szCs w:val="18"/>
          <w:lang w:val="nl-NL" w:eastAsia="nl-NL"/>
        </w:rPr>
        <w:t>Milieu</w:t>
      </w:r>
      <w:r w:rsidRPr="00170013" w:rsidR="00170013">
        <w:rPr>
          <w:rFonts w:eastAsia="SimSun" w:cs="Times New Roman"/>
          <w:szCs w:val="18"/>
          <w:lang w:val="nl-NL" w:eastAsia="nl-NL"/>
        </w:rPr>
        <w:t xml:space="preserve">, </w:t>
      </w:r>
      <w:r w:rsidRPr="00170013">
        <w:rPr>
          <w:rFonts w:eastAsia="SimSun" w:cs="Times New Roman"/>
          <w:szCs w:val="18"/>
          <w:lang w:val="nl-NL" w:eastAsia="nl-NL"/>
        </w:rPr>
        <w:t>in het kader van beleidsprioriteiten, zoals</w:t>
      </w:r>
      <w:r w:rsidRPr="00170013">
        <w:rPr>
          <w:rFonts w:eastAsia="Times New Roman" w:cs="Times New Roman"/>
          <w:szCs w:val="18"/>
          <w:lang w:val="nl-NL" w:eastAsia="zh-CN"/>
        </w:rPr>
        <w:t xml:space="preserve"> voedselzekerheid.</w:t>
      </w:r>
    </w:p>
    <w:p w:rsidRPr="00170013" w:rsidR="001B5CC3" w:rsidP="009E259A" w:rsidRDefault="001B5CC3">
      <w:pPr>
        <w:numPr>
          <w:ilvl w:val="0"/>
          <w:numId w:val="1"/>
        </w:numPr>
        <w:spacing w:after="0" w:line="276" w:lineRule="auto"/>
        <w:contextualSpacing/>
        <w:rPr>
          <w:rFonts w:eastAsia="SimSun" w:cs="Times New Roman"/>
          <w:szCs w:val="18"/>
          <w:lang w:val="nl-NL" w:eastAsia="nl-NL"/>
        </w:rPr>
      </w:pPr>
      <w:r w:rsidRPr="00E30181">
        <w:rPr>
          <w:rFonts w:eastAsia="Times New Roman" w:cs="Times New Roman"/>
          <w:szCs w:val="18"/>
          <w:lang w:val="nl-NL" w:eastAsia="zh-CN"/>
        </w:rPr>
        <w:t>Er liggen ook mogelijkheden om de Nederlandse reputatie als waterland te benutten en onze kennis en ervaring toe te passen. Water is een integraal onderdeel van de Nederlandse diplomatie.</w:t>
      </w:r>
    </w:p>
    <w:p w:rsidRPr="001708F5" w:rsidR="004B121A" w:rsidP="004B121A" w:rsidRDefault="004B121A">
      <w:pPr>
        <w:spacing w:after="0" w:line="276" w:lineRule="auto"/>
        <w:ind w:left="360"/>
        <w:contextualSpacing/>
        <w:rPr>
          <w:rFonts w:eastAsia="SimSun" w:cs="Times New Roman"/>
          <w:szCs w:val="18"/>
          <w:highlight w:val="yellow"/>
          <w:lang w:val="nl-NL" w:eastAsia="nl-NL"/>
        </w:rPr>
      </w:pPr>
    </w:p>
    <w:p w:rsidRPr="009E259A" w:rsidR="009E259A" w:rsidP="009E259A" w:rsidRDefault="009E259A">
      <w:pPr>
        <w:spacing w:after="0"/>
        <w:rPr>
          <w:rFonts w:eastAsia="Times New Roman" w:cs="Times New Roman"/>
          <w:b/>
          <w:szCs w:val="18"/>
          <w:lang w:val="nl-NL" w:eastAsia="zh-CN"/>
        </w:rPr>
      </w:pPr>
      <w:r w:rsidRPr="009E259A">
        <w:rPr>
          <w:rFonts w:eastAsia="Times New Roman" w:cs="Times New Roman"/>
          <w:b/>
          <w:szCs w:val="18"/>
          <w:lang w:val="nl-NL" w:eastAsia="zh-CN"/>
        </w:rPr>
        <w:t>C. Beleidswijzigingen</w:t>
      </w:r>
      <w:r w:rsidRPr="009E259A">
        <w:rPr>
          <w:rFonts w:eastAsia="Times New Roman" w:cs="Times New Roman"/>
          <w:b/>
          <w:szCs w:val="18"/>
          <w:lang w:val="nl-NL" w:eastAsia="zh-CN"/>
        </w:rPr>
        <w:br/>
      </w:r>
    </w:p>
    <w:p w:rsidR="00670D1E" w:rsidP="00E53D22" w:rsidRDefault="00E53D22">
      <w:pPr>
        <w:numPr>
          <w:ilvl w:val="0"/>
          <w:numId w:val="1"/>
        </w:numPr>
        <w:spacing w:after="60"/>
        <w:contextualSpacing/>
        <w:rPr>
          <w:rFonts w:eastAsia="SimSun" w:cs="Times New Roman"/>
          <w:szCs w:val="18"/>
          <w:lang w:val="nl-NL" w:eastAsia="nl-NL"/>
        </w:rPr>
      </w:pPr>
      <w:r>
        <w:rPr>
          <w:rFonts w:eastAsia="SimSun" w:cs="Times New Roman"/>
          <w:szCs w:val="18"/>
          <w:lang w:val="nl-NL" w:eastAsia="nl-NL"/>
        </w:rPr>
        <w:t>Belei</w:t>
      </w:r>
      <w:r w:rsidR="00AB7EB6">
        <w:rPr>
          <w:rFonts w:eastAsia="SimSun" w:cs="Times New Roman"/>
          <w:szCs w:val="18"/>
          <w:lang w:val="nl-NL" w:eastAsia="nl-NL"/>
        </w:rPr>
        <w:t>dsambities</w:t>
      </w:r>
      <w:r>
        <w:rPr>
          <w:rFonts w:eastAsia="SimSun" w:cs="Times New Roman"/>
          <w:szCs w:val="18"/>
          <w:lang w:val="nl-NL" w:eastAsia="nl-NL"/>
        </w:rPr>
        <w:t xml:space="preserve"> zijn gespecificeerd in een</w:t>
      </w:r>
      <w:r w:rsidRPr="00E53D22">
        <w:rPr>
          <w:lang w:val="nl-NL"/>
        </w:rPr>
        <w:t xml:space="preserve"> </w:t>
      </w:r>
      <w:r w:rsidRPr="00E53D22">
        <w:rPr>
          <w:rFonts w:eastAsia="SimSun" w:cs="Times New Roman"/>
          <w:szCs w:val="18"/>
          <w:lang w:val="nl-NL" w:eastAsia="nl-NL"/>
        </w:rPr>
        <w:t>Kamerbrief Water voor Ontwikkeling</w:t>
      </w:r>
      <w:r>
        <w:rPr>
          <w:rFonts w:eastAsia="SimSun" w:cs="Times New Roman"/>
          <w:szCs w:val="18"/>
          <w:lang w:val="nl-NL" w:eastAsia="nl-NL"/>
        </w:rPr>
        <w:t xml:space="preserve"> beleidsbrief</w:t>
      </w:r>
      <w:r>
        <w:rPr>
          <w:rStyle w:val="FootnoteReference"/>
          <w:rFonts w:eastAsia="SimSun" w:cs="Times New Roman"/>
          <w:szCs w:val="18"/>
          <w:lang w:val="nl-NL" w:eastAsia="nl-NL"/>
        </w:rPr>
        <w:footnoteReference w:id="1"/>
      </w:r>
      <w:r>
        <w:rPr>
          <w:rFonts w:eastAsia="SimSun" w:cs="Times New Roman"/>
          <w:szCs w:val="18"/>
          <w:lang w:val="nl-NL" w:eastAsia="nl-NL"/>
        </w:rPr>
        <w:t xml:space="preserve"> </w:t>
      </w:r>
    </w:p>
    <w:p w:rsidR="00AB7EB6" w:rsidP="00E53D22" w:rsidRDefault="00AB7EB6">
      <w:pPr>
        <w:numPr>
          <w:ilvl w:val="0"/>
          <w:numId w:val="1"/>
        </w:numPr>
        <w:spacing w:after="60"/>
        <w:contextualSpacing/>
        <w:rPr>
          <w:rFonts w:eastAsia="SimSun" w:cs="Times New Roman"/>
          <w:szCs w:val="18"/>
          <w:lang w:val="nl-NL" w:eastAsia="nl-NL"/>
        </w:rPr>
      </w:pPr>
      <w:r>
        <w:rPr>
          <w:rFonts w:eastAsia="SimSun" w:cs="Times New Roman"/>
          <w:szCs w:val="18"/>
          <w:lang w:val="nl-NL" w:eastAsia="nl-NL"/>
        </w:rPr>
        <w:t>N.a.v. verzoek TK is een beleidsagenda ter versterking van de ontwikkelingsdimensie van een aantal prioritaire publieke goederen opgesteld</w:t>
      </w:r>
      <w:r>
        <w:rPr>
          <w:rStyle w:val="FootnoteReference"/>
          <w:rFonts w:eastAsia="SimSun" w:cs="Times New Roman"/>
          <w:szCs w:val="18"/>
          <w:lang w:val="nl-NL" w:eastAsia="nl-NL"/>
        </w:rPr>
        <w:footnoteReference w:id="2"/>
      </w:r>
    </w:p>
    <w:p w:rsidRPr="00A23CEA" w:rsidR="009E259A" w:rsidP="009E259A" w:rsidRDefault="0082093B">
      <w:pPr>
        <w:numPr>
          <w:ilvl w:val="0"/>
          <w:numId w:val="1"/>
        </w:numPr>
        <w:spacing w:after="60"/>
        <w:contextualSpacing/>
        <w:rPr>
          <w:rFonts w:eastAsia="SimSun" w:cs="Times New Roman"/>
          <w:i/>
          <w:szCs w:val="18"/>
          <w:lang w:val="nl-NL" w:eastAsia="nl-NL"/>
        </w:rPr>
      </w:pPr>
      <w:r>
        <w:rPr>
          <w:rFonts w:eastAsia="SimSun" w:cs="Times New Roman"/>
          <w:i/>
          <w:szCs w:val="18"/>
          <w:lang w:val="nl-NL" w:eastAsia="nl-NL"/>
        </w:rPr>
        <w:t>Bondige t</w:t>
      </w:r>
      <w:r w:rsidRPr="00A23CEA" w:rsidR="00A23CEA">
        <w:rPr>
          <w:rFonts w:eastAsia="SimSun" w:cs="Times New Roman"/>
          <w:i/>
          <w:szCs w:val="18"/>
          <w:lang w:val="nl-NL" w:eastAsia="nl-NL"/>
        </w:rPr>
        <w:t>ekst ogv</w:t>
      </w:r>
      <w:r w:rsidR="00A23CEA">
        <w:rPr>
          <w:rFonts w:eastAsia="SimSun" w:cs="Times New Roman"/>
          <w:i/>
          <w:szCs w:val="18"/>
          <w:lang w:val="nl-NL" w:eastAsia="nl-NL"/>
        </w:rPr>
        <w:t xml:space="preserve"> conclusies</w:t>
      </w:r>
      <w:r w:rsidRPr="00A23CEA" w:rsidR="00A23CEA">
        <w:rPr>
          <w:rFonts w:eastAsia="SimSun" w:cs="Times New Roman"/>
          <w:i/>
          <w:szCs w:val="18"/>
          <w:lang w:val="nl-NL" w:eastAsia="nl-NL"/>
        </w:rPr>
        <w:t xml:space="preserve"> IOB beleidsdoorlichting drinkwater en sanitatie</w:t>
      </w:r>
      <w:r w:rsidR="00A23CEA">
        <w:rPr>
          <w:rFonts w:eastAsia="SimSun" w:cs="Times New Roman"/>
          <w:i/>
          <w:szCs w:val="18"/>
          <w:lang w:val="nl-NL" w:eastAsia="nl-NL"/>
        </w:rPr>
        <w:t xml:space="preserve"> (2012)</w:t>
      </w:r>
    </w:p>
    <w:p w:rsidRPr="00A23CEA" w:rsidR="00A23CEA" w:rsidP="009E259A" w:rsidRDefault="006B0F9A">
      <w:pPr>
        <w:numPr>
          <w:ilvl w:val="0"/>
          <w:numId w:val="1"/>
        </w:numPr>
        <w:spacing w:after="60"/>
        <w:contextualSpacing/>
        <w:rPr>
          <w:rFonts w:eastAsia="SimSun" w:cs="Times New Roman"/>
          <w:i/>
          <w:szCs w:val="18"/>
          <w:lang w:val="nl-NL" w:eastAsia="nl-NL"/>
        </w:rPr>
      </w:pPr>
      <w:r>
        <w:rPr>
          <w:rFonts w:eastAsia="SimSun" w:cs="Times New Roman"/>
          <w:i/>
          <w:szCs w:val="18"/>
          <w:lang w:val="nl-NL" w:eastAsia="nl-NL"/>
        </w:rPr>
        <w:t>Afhankelijk van voortgang evaluatieonderzoek: b</w:t>
      </w:r>
      <w:r w:rsidR="0082093B">
        <w:rPr>
          <w:rFonts w:eastAsia="SimSun" w:cs="Times New Roman"/>
          <w:i/>
          <w:szCs w:val="18"/>
          <w:lang w:val="nl-NL" w:eastAsia="nl-NL"/>
        </w:rPr>
        <w:t>ondige t</w:t>
      </w:r>
      <w:r w:rsidRPr="00A23CEA" w:rsidR="00A23CEA">
        <w:rPr>
          <w:rFonts w:eastAsia="SimSun" w:cs="Times New Roman"/>
          <w:i/>
          <w:szCs w:val="18"/>
          <w:lang w:val="nl-NL" w:eastAsia="nl-NL"/>
        </w:rPr>
        <w:t xml:space="preserve">ekst ogv </w:t>
      </w:r>
      <w:r w:rsidR="00A23CEA">
        <w:rPr>
          <w:rFonts w:eastAsia="SimSun" w:cs="Times New Roman"/>
          <w:i/>
          <w:szCs w:val="18"/>
          <w:lang w:val="nl-NL" w:eastAsia="nl-NL"/>
        </w:rPr>
        <w:t xml:space="preserve">conclusies </w:t>
      </w:r>
      <w:r w:rsidRPr="00A23CEA" w:rsidR="00A23CEA">
        <w:rPr>
          <w:rFonts w:eastAsia="SimSun" w:cs="Times New Roman"/>
          <w:i/>
          <w:szCs w:val="18"/>
          <w:lang w:val="nl-NL" w:eastAsia="nl-NL"/>
        </w:rPr>
        <w:t>IOB effectenstudies hernieuwbare energie</w:t>
      </w:r>
      <w:r w:rsidR="00A23CEA">
        <w:rPr>
          <w:rFonts w:eastAsia="SimSun" w:cs="Times New Roman"/>
          <w:i/>
          <w:szCs w:val="18"/>
          <w:lang w:val="nl-NL" w:eastAsia="nl-NL"/>
        </w:rPr>
        <w:t xml:space="preserve"> (2012/2013)</w:t>
      </w:r>
    </w:p>
    <w:p w:rsidRPr="009E259A" w:rsidR="009E259A" w:rsidP="009E259A" w:rsidRDefault="009E259A">
      <w:pPr>
        <w:spacing w:after="0"/>
        <w:rPr>
          <w:rFonts w:ascii="Times New Roman" w:hAnsi="Times New Roman" w:eastAsia="Times New Roman" w:cs="Times New Roman"/>
          <w:sz w:val="24"/>
          <w:szCs w:val="24"/>
          <w:lang w:val="nl-NL" w:eastAsia="zh-CN"/>
        </w:rPr>
      </w:pPr>
    </w:p>
    <w:p w:rsidRPr="009E259A" w:rsidR="009E259A" w:rsidP="009E259A" w:rsidRDefault="009E259A">
      <w:pPr>
        <w:spacing w:after="0"/>
        <w:rPr>
          <w:rFonts w:eastAsia="Times New Roman" w:cs="Times New Roman"/>
          <w:b/>
          <w:szCs w:val="18"/>
          <w:lang w:val="nl-NL" w:eastAsia="zh-CN"/>
        </w:rPr>
      </w:pPr>
      <w:r w:rsidRPr="009E259A">
        <w:rPr>
          <w:rFonts w:eastAsia="Times New Roman" w:cs="Times New Roman"/>
          <w:b/>
          <w:szCs w:val="18"/>
          <w:lang w:val="nl-NL" w:eastAsia="zh-CN"/>
        </w:rPr>
        <w:t xml:space="preserve">D. </w:t>
      </w:r>
      <w:r w:rsidR="001B5CC3">
        <w:rPr>
          <w:rFonts w:eastAsia="Times New Roman" w:cs="Times New Roman"/>
          <w:b/>
          <w:szCs w:val="18"/>
          <w:lang w:val="nl-NL" w:eastAsia="zh-CN"/>
        </w:rPr>
        <w:t>Beleidsdoelstellingen</w:t>
      </w:r>
    </w:p>
    <w:p w:rsidRPr="009E259A" w:rsidR="009E259A" w:rsidP="009E259A" w:rsidRDefault="009E259A">
      <w:pPr>
        <w:spacing w:after="0"/>
        <w:rPr>
          <w:rFonts w:eastAsia="Times New Roman" w:cs="Times New Roman"/>
          <w:b/>
          <w:szCs w:val="18"/>
          <w:lang w:val="nl-NL" w:eastAsia="zh-CN"/>
        </w:rPr>
      </w:pPr>
      <w:r w:rsidRPr="009E259A">
        <w:rPr>
          <w:rFonts w:eastAsia="Times New Roman" w:cs="Times New Roman"/>
          <w:b/>
          <w:szCs w:val="18"/>
          <w:lang w:val="nl-NL" w:eastAsia="zh-CN"/>
        </w:rPr>
        <w:lastRenderedPageBreak/>
        <w:t>Duurzaam milieugebruik wereldwijd</w:t>
      </w:r>
      <w:r w:rsidR="006E16D6">
        <w:rPr>
          <w:rFonts w:eastAsia="Times New Roman" w:cs="Times New Roman"/>
          <w:b/>
          <w:szCs w:val="18"/>
          <w:lang w:val="nl-NL" w:eastAsia="zh-CN"/>
        </w:rPr>
        <w:t xml:space="preserve"> (artikel 6.1)</w:t>
      </w:r>
    </w:p>
    <w:p w:rsidR="009E259A" w:rsidP="009E259A" w:rsidRDefault="009E259A">
      <w:pPr>
        <w:spacing w:after="0"/>
        <w:rPr>
          <w:rFonts w:eastAsia="Times New Roman" w:cs="Times New Roman"/>
          <w:szCs w:val="18"/>
          <w:lang w:val="nl-NL" w:eastAsia="zh-CN"/>
        </w:rPr>
      </w:pPr>
    </w:p>
    <w:p w:rsidR="00EF4799" w:rsidP="002A1B2C" w:rsidRDefault="002A1B2C">
      <w:pPr>
        <w:rPr>
          <w:rFonts w:eastAsia="Times New Roman" w:cs="Times New Roman"/>
          <w:szCs w:val="18"/>
          <w:lang w:val="nl-NL" w:eastAsia="zh-CN"/>
        </w:rPr>
      </w:pPr>
      <w:r>
        <w:rPr>
          <w:rFonts w:eastAsia="Times New Roman" w:cs="Times New Roman"/>
          <w:szCs w:val="18"/>
          <w:lang w:val="nl-NL" w:eastAsia="zh-CN"/>
        </w:rPr>
        <w:t>E</w:t>
      </w:r>
      <w:r w:rsidRPr="00F20DBD">
        <w:rPr>
          <w:rFonts w:eastAsia="Times New Roman" w:cs="Times New Roman"/>
          <w:szCs w:val="18"/>
          <w:lang w:val="nl-NL" w:eastAsia="zh-CN"/>
        </w:rPr>
        <w:t>en hoog niveau van bescherming en verbetering van de kwaliteit van he</w:t>
      </w:r>
      <w:r>
        <w:rPr>
          <w:rFonts w:eastAsia="Times New Roman" w:cs="Times New Roman"/>
          <w:szCs w:val="18"/>
          <w:lang w:val="nl-NL" w:eastAsia="zh-CN"/>
        </w:rPr>
        <w:t>t milieu</w:t>
      </w:r>
      <w:r w:rsidRPr="00F20DBD">
        <w:rPr>
          <w:rFonts w:eastAsia="Times New Roman" w:cs="Times New Roman"/>
          <w:szCs w:val="18"/>
          <w:lang w:val="nl-NL" w:eastAsia="zh-CN"/>
        </w:rPr>
        <w:t xml:space="preserve"> is </w:t>
      </w:r>
      <w:r>
        <w:rPr>
          <w:rFonts w:eastAsia="Times New Roman" w:cs="Times New Roman"/>
          <w:szCs w:val="18"/>
          <w:lang w:val="nl-NL" w:eastAsia="zh-CN"/>
        </w:rPr>
        <w:t>de</w:t>
      </w:r>
      <w:r w:rsidRPr="00F20DBD">
        <w:rPr>
          <w:rFonts w:eastAsia="Times New Roman" w:cs="Times New Roman"/>
          <w:szCs w:val="18"/>
          <w:lang w:val="nl-NL" w:eastAsia="zh-CN"/>
        </w:rPr>
        <w:t xml:space="preserve"> basis voor de duurzame ontwikkeling </w:t>
      </w:r>
      <w:r>
        <w:rPr>
          <w:rFonts w:eastAsia="Times New Roman" w:cs="Times New Roman"/>
          <w:szCs w:val="18"/>
          <w:lang w:val="nl-NL" w:eastAsia="zh-CN"/>
        </w:rPr>
        <w:t>wereldwijd. K</w:t>
      </w:r>
      <w:r w:rsidR="00EF4799">
        <w:rPr>
          <w:rFonts w:eastAsia="Times New Roman" w:cs="Times New Roman"/>
          <w:szCs w:val="18"/>
          <w:lang w:val="nl-NL" w:eastAsia="zh-CN"/>
        </w:rPr>
        <w:t>limaatverandering is bij uitstek een probleem dat alleen door internationale samenwerking effectief kan worden aangepakt.</w:t>
      </w:r>
      <w:r w:rsidR="00F20DBD">
        <w:rPr>
          <w:rFonts w:eastAsia="Times New Roman" w:cs="Times New Roman"/>
          <w:szCs w:val="18"/>
          <w:lang w:val="nl-NL" w:eastAsia="zh-CN"/>
        </w:rPr>
        <w:t xml:space="preserve"> De uitstoot van broeikasgassen zal omlaag moeten door minder gebruik van fossiele brandstoffen in economische sectoren (industrie, transport, landbouw, etc.) en het tegengaan van ontbossing. De energievoorziening zal meer gebruik moeten gaan maken van hernieuwbare bronnen.</w:t>
      </w:r>
      <w:r>
        <w:rPr>
          <w:rFonts w:eastAsia="Times New Roman" w:cs="Times New Roman"/>
          <w:szCs w:val="18"/>
          <w:lang w:val="nl-NL" w:eastAsia="zh-CN"/>
        </w:rPr>
        <w:t xml:space="preserve"> </w:t>
      </w:r>
      <w:r w:rsidR="00B43C85">
        <w:rPr>
          <w:rFonts w:eastAsia="Times New Roman" w:cs="Times New Roman"/>
          <w:szCs w:val="18"/>
          <w:lang w:val="nl-NL" w:eastAsia="zh-CN"/>
        </w:rPr>
        <w:t>D</w:t>
      </w:r>
      <w:r w:rsidR="00C7022B">
        <w:rPr>
          <w:rFonts w:eastAsia="Times New Roman" w:cs="Times New Roman"/>
          <w:szCs w:val="18"/>
          <w:lang w:val="nl-NL" w:eastAsia="zh-CN"/>
        </w:rPr>
        <w:t xml:space="preserve">e verankering </w:t>
      </w:r>
      <w:r>
        <w:rPr>
          <w:rFonts w:eastAsia="Times New Roman" w:cs="Times New Roman"/>
          <w:szCs w:val="18"/>
          <w:lang w:val="nl-NL" w:eastAsia="zh-CN"/>
        </w:rPr>
        <w:t xml:space="preserve">van klimaat en milieu in </w:t>
      </w:r>
      <w:r w:rsidR="00C7022B">
        <w:rPr>
          <w:rFonts w:eastAsia="Times New Roman" w:cs="Times New Roman"/>
          <w:szCs w:val="18"/>
          <w:lang w:val="nl-NL" w:eastAsia="zh-CN"/>
        </w:rPr>
        <w:t xml:space="preserve">water en voedselzekerheid (en overige </w:t>
      </w:r>
      <w:r>
        <w:rPr>
          <w:rFonts w:eastAsia="Times New Roman" w:cs="Times New Roman"/>
          <w:szCs w:val="18"/>
          <w:lang w:val="nl-NL" w:eastAsia="zh-CN"/>
        </w:rPr>
        <w:t>OS-speerpunten</w:t>
      </w:r>
      <w:r w:rsidR="00C7022B">
        <w:rPr>
          <w:rFonts w:eastAsia="Times New Roman" w:cs="Times New Roman"/>
          <w:szCs w:val="18"/>
          <w:lang w:val="nl-NL" w:eastAsia="zh-CN"/>
        </w:rPr>
        <w:t>)</w:t>
      </w:r>
      <w:r>
        <w:rPr>
          <w:rFonts w:eastAsia="Times New Roman" w:cs="Times New Roman"/>
          <w:szCs w:val="18"/>
          <w:lang w:val="nl-NL" w:eastAsia="zh-CN"/>
        </w:rPr>
        <w:t xml:space="preserve"> ligt daarom voor de hand. </w:t>
      </w:r>
      <w:r w:rsidR="00C7022B">
        <w:rPr>
          <w:rFonts w:eastAsia="Times New Roman" w:cs="Times New Roman"/>
          <w:szCs w:val="18"/>
          <w:lang w:val="nl-NL" w:eastAsia="zh-CN"/>
        </w:rPr>
        <w:t xml:space="preserve">Ecologische duurzaamheid </w:t>
      </w:r>
      <w:r w:rsidR="00163EC0">
        <w:rPr>
          <w:rFonts w:eastAsia="Times New Roman" w:cs="Times New Roman"/>
          <w:szCs w:val="18"/>
          <w:lang w:val="nl-NL" w:eastAsia="zh-CN"/>
        </w:rPr>
        <w:t>kan een punt van zorg zijn bij</w:t>
      </w:r>
      <w:r w:rsidR="00C7022B">
        <w:rPr>
          <w:rFonts w:eastAsia="Times New Roman" w:cs="Times New Roman"/>
          <w:szCs w:val="18"/>
          <w:lang w:val="nl-NL" w:eastAsia="zh-CN"/>
        </w:rPr>
        <w:t xml:space="preserve"> programma’s die voedselzekerheid nastreven wanneer</w:t>
      </w:r>
      <w:r>
        <w:rPr>
          <w:rFonts w:eastAsia="Times New Roman" w:cs="Times New Roman"/>
          <w:szCs w:val="18"/>
          <w:lang w:val="nl-NL" w:eastAsia="zh-CN"/>
        </w:rPr>
        <w:t xml:space="preserve"> door watervervuiling en overexploitatie van grondwater door irrigatie onder druk komen te staan</w:t>
      </w:r>
      <w:r w:rsidR="00163EC0">
        <w:rPr>
          <w:rStyle w:val="FootnoteReference"/>
          <w:rFonts w:eastAsia="Times New Roman" w:cs="Times New Roman"/>
          <w:szCs w:val="18"/>
          <w:lang w:val="nl-NL" w:eastAsia="zh-CN"/>
        </w:rPr>
        <w:footnoteReference w:id="3"/>
      </w:r>
      <w:r>
        <w:rPr>
          <w:rFonts w:eastAsia="Times New Roman" w:cs="Times New Roman"/>
          <w:szCs w:val="18"/>
          <w:lang w:val="nl-NL" w:eastAsia="zh-CN"/>
        </w:rPr>
        <w:t>.</w:t>
      </w:r>
      <w:r w:rsidRPr="00163EC0" w:rsidR="00163EC0">
        <w:rPr>
          <w:rFonts w:eastAsia="Times New Roman" w:cs="Times New Roman"/>
          <w:szCs w:val="18"/>
          <w:lang w:val="nl-NL" w:eastAsia="zh-CN"/>
        </w:rPr>
        <w:t xml:space="preserve"> </w:t>
      </w:r>
      <w:r w:rsidR="00163EC0">
        <w:rPr>
          <w:rFonts w:eastAsia="Times New Roman" w:cs="Times New Roman"/>
          <w:szCs w:val="18"/>
          <w:lang w:val="nl-NL" w:eastAsia="zh-CN"/>
        </w:rPr>
        <w:t>Klimaatverandering zal meer inzet vragen op efficiënt waterbeheer</w:t>
      </w:r>
      <w:r w:rsidR="00163EC0">
        <w:rPr>
          <w:rStyle w:val="FootnoteReference"/>
          <w:rFonts w:eastAsia="Times New Roman" w:cs="Times New Roman"/>
          <w:szCs w:val="18"/>
          <w:lang w:val="nl-NL" w:eastAsia="zh-CN"/>
        </w:rPr>
        <w:footnoteReference w:id="4"/>
      </w:r>
      <w:r w:rsidR="00163EC0">
        <w:rPr>
          <w:rFonts w:eastAsia="Times New Roman" w:cs="Times New Roman"/>
          <w:szCs w:val="18"/>
          <w:lang w:val="nl-NL" w:eastAsia="zh-CN"/>
        </w:rPr>
        <w:t>.</w:t>
      </w:r>
    </w:p>
    <w:p w:rsidR="007610A4" w:rsidP="007610A4" w:rsidRDefault="006C2D6E">
      <w:pPr>
        <w:spacing w:after="0"/>
        <w:contextualSpacing/>
        <w:rPr>
          <w:rFonts w:eastAsia="Times New Roman" w:cs="Times New Roman"/>
          <w:szCs w:val="18"/>
          <w:lang w:val="nl-NL" w:eastAsia="zh-CN"/>
        </w:rPr>
      </w:pPr>
      <w:r w:rsidRPr="006C2D6E">
        <w:rPr>
          <w:rFonts w:eastAsia="Times New Roman" w:cs="Times New Roman"/>
          <w:szCs w:val="18"/>
          <w:lang w:val="nl-NL" w:eastAsia="zh-CN"/>
        </w:rPr>
        <w:t>In 2013 vormen de ambities voor 2015 de situatie waarnaar concreet wordt toegewerkt:</w:t>
      </w:r>
    </w:p>
    <w:p w:rsidRPr="007610A4" w:rsidR="006C2D6E" w:rsidP="007610A4" w:rsidRDefault="00B43C85">
      <w:pPr>
        <w:pStyle w:val="ListParagraph"/>
        <w:numPr>
          <w:ilvl w:val="0"/>
          <w:numId w:val="11"/>
        </w:numPr>
        <w:spacing w:after="0"/>
        <w:rPr>
          <w:rFonts w:eastAsia="Times New Roman" w:cs="Times New Roman"/>
          <w:szCs w:val="18"/>
          <w:lang w:val="nl-NL" w:eastAsia="zh-CN"/>
        </w:rPr>
      </w:pPr>
      <w:r>
        <w:rPr>
          <w:rFonts w:eastAsia="Times New Roman" w:cs="Times New Roman"/>
          <w:szCs w:val="18"/>
          <w:lang w:val="nl-NL" w:eastAsia="zh-CN"/>
        </w:rPr>
        <w:t>Verankering binnen OS-speerpunten</w:t>
      </w:r>
      <w:r w:rsidRPr="007610A4" w:rsidR="006C2D6E">
        <w:rPr>
          <w:rFonts w:eastAsia="Times New Roman" w:cs="Times New Roman"/>
          <w:szCs w:val="18"/>
          <w:lang w:val="nl-NL" w:eastAsia="zh-CN"/>
        </w:rPr>
        <w:t xml:space="preserve"> van klimaat en milieu in partnerlanden;</w:t>
      </w:r>
    </w:p>
    <w:p w:rsidR="006C2D6E" w:rsidP="007610A4" w:rsidRDefault="006C2D6E">
      <w:pPr>
        <w:pStyle w:val="ListParagraph"/>
        <w:numPr>
          <w:ilvl w:val="0"/>
          <w:numId w:val="11"/>
        </w:numPr>
        <w:rPr>
          <w:rFonts w:eastAsia="Times New Roman" w:cs="Times New Roman"/>
          <w:szCs w:val="18"/>
          <w:lang w:val="nl-NL" w:eastAsia="zh-CN"/>
        </w:rPr>
      </w:pPr>
      <w:r>
        <w:rPr>
          <w:rFonts w:eastAsia="Times New Roman" w:cs="Times New Roman"/>
          <w:szCs w:val="18"/>
          <w:lang w:val="nl-NL" w:eastAsia="zh-CN"/>
        </w:rPr>
        <w:t>Doelgerichte samenwerking tussen departementen, ambassades en externe partijen, en actieve klimaat diplomatie van klimaatgezant;</w:t>
      </w:r>
    </w:p>
    <w:p w:rsidR="00FD6125" w:rsidP="007610A4" w:rsidRDefault="00FD6125">
      <w:pPr>
        <w:pStyle w:val="ListParagraph"/>
        <w:numPr>
          <w:ilvl w:val="0"/>
          <w:numId w:val="11"/>
        </w:numPr>
        <w:spacing w:after="0"/>
        <w:rPr>
          <w:rFonts w:eastAsia="Times New Roman" w:cs="Times New Roman"/>
          <w:szCs w:val="18"/>
          <w:lang w:val="nl-NL" w:eastAsia="zh-CN"/>
        </w:rPr>
      </w:pPr>
      <w:r w:rsidRPr="00FD6125">
        <w:rPr>
          <w:rFonts w:eastAsia="Times New Roman" w:cs="Times New Roman"/>
          <w:szCs w:val="18"/>
          <w:lang w:val="nl-NL" w:eastAsia="zh-CN"/>
        </w:rPr>
        <w:t>Verantwoorde uitfasering en transformatie van lop</w:t>
      </w:r>
      <w:r w:rsidR="008724FF">
        <w:rPr>
          <w:rFonts w:eastAsia="Times New Roman" w:cs="Times New Roman"/>
          <w:szCs w:val="18"/>
          <w:lang w:val="nl-NL" w:eastAsia="zh-CN"/>
        </w:rPr>
        <w:t>ende programma’s naar</w:t>
      </w:r>
      <w:r w:rsidRPr="00FD6125">
        <w:rPr>
          <w:rFonts w:eastAsia="Times New Roman" w:cs="Times New Roman"/>
          <w:szCs w:val="18"/>
          <w:lang w:val="nl-NL" w:eastAsia="zh-CN"/>
        </w:rPr>
        <w:t xml:space="preserve"> een serieuze verankering van klimaat en milieu in OS speerpunten. </w:t>
      </w:r>
    </w:p>
    <w:p w:rsidR="00DA3929" w:rsidP="00DA3929" w:rsidRDefault="00BC35F3">
      <w:pPr>
        <w:spacing w:after="0"/>
        <w:rPr>
          <w:rFonts w:eastAsia="Times New Roman" w:cs="Times New Roman"/>
          <w:szCs w:val="18"/>
          <w:lang w:val="nl-NL" w:eastAsia="zh-CN"/>
        </w:rPr>
      </w:pPr>
      <w:r>
        <w:rPr>
          <w:rFonts w:eastAsia="Times New Roman" w:cs="Times New Roman"/>
          <w:szCs w:val="18"/>
          <w:lang w:val="nl-NL" w:eastAsia="zh-CN"/>
        </w:rPr>
        <w:t xml:space="preserve">Uiteraard moeten </w:t>
      </w:r>
      <w:r w:rsidR="00E02D2A">
        <w:rPr>
          <w:rFonts w:eastAsia="Times New Roman" w:cs="Times New Roman"/>
          <w:szCs w:val="18"/>
          <w:lang w:val="nl-NL" w:eastAsia="zh-CN"/>
        </w:rPr>
        <w:t xml:space="preserve">resultaten van al onze ontwikkelingsinspanningen duurzaam zijn. Duurzaamheid draagt bij aan verantwoord milieu- en waterbeheer en een toekomstbestendig ontwikkelingsbeleid. </w:t>
      </w:r>
    </w:p>
    <w:p w:rsidR="00E02D2A" w:rsidP="00DA3929" w:rsidRDefault="00E02D2A">
      <w:pPr>
        <w:spacing w:after="0"/>
        <w:rPr>
          <w:rFonts w:eastAsia="Times New Roman" w:cs="Times New Roman"/>
          <w:szCs w:val="18"/>
          <w:lang w:val="nl-NL" w:eastAsia="zh-CN"/>
        </w:rPr>
      </w:pPr>
    </w:p>
    <w:p w:rsidRPr="00FD6125" w:rsidR="00163EC0" w:rsidP="00FD6125" w:rsidRDefault="00163EC0">
      <w:pPr>
        <w:spacing w:after="0"/>
        <w:rPr>
          <w:rFonts w:eastAsia="Times New Roman" w:cs="Times New Roman"/>
          <w:szCs w:val="18"/>
          <w:lang w:val="nl-NL" w:eastAsia="zh-CN"/>
        </w:rPr>
      </w:pPr>
      <w:r w:rsidRPr="0072510F">
        <w:rPr>
          <w:rFonts w:eastAsia="Times New Roman" w:cs="Times New Roman"/>
          <w:i/>
          <w:szCs w:val="18"/>
          <w:lang w:val="nl-NL" w:eastAsia="zh-CN"/>
        </w:rPr>
        <w:t>Regisseren</w:t>
      </w:r>
      <w:r w:rsidRPr="00FD6125">
        <w:rPr>
          <w:rFonts w:eastAsia="Times New Roman" w:cs="Times New Roman"/>
          <w:szCs w:val="18"/>
          <w:lang w:val="nl-NL" w:eastAsia="zh-CN"/>
        </w:rPr>
        <w:t>: Nederland vervult samen met de EU een voorbeeldfunctie en leidende rol in de agendering en aanpak van bedreigingen van het milieu op mondiale schaal. Buitenlandse Zaken coördineert de afstemming met de andere departementen voor de bepaling van de Nederlandse positie in Brussel en internationale fora via de CIM (Coördinatie Internationaal Milieubeleid) voor wat betreft het Europese en internationale milieu- en klimaatbeleid.</w:t>
      </w:r>
    </w:p>
    <w:p w:rsidRPr="00163EC0" w:rsidR="00163EC0" w:rsidP="00163EC0" w:rsidRDefault="00163EC0">
      <w:pPr>
        <w:spacing w:after="0"/>
        <w:rPr>
          <w:rFonts w:eastAsia="Times New Roman" w:cs="Times New Roman"/>
          <w:szCs w:val="18"/>
          <w:lang w:val="nl-NL" w:eastAsia="zh-CN"/>
        </w:rPr>
      </w:pPr>
    </w:p>
    <w:p w:rsidRPr="00163EC0" w:rsidR="00163EC0" w:rsidP="00163EC0" w:rsidRDefault="00163EC0">
      <w:pPr>
        <w:spacing w:after="0"/>
        <w:rPr>
          <w:rFonts w:eastAsia="Times New Roman" w:cs="Times New Roman"/>
          <w:szCs w:val="18"/>
          <w:lang w:val="nl-NL" w:eastAsia="zh-CN"/>
        </w:rPr>
      </w:pPr>
      <w:r w:rsidRPr="0072510F">
        <w:rPr>
          <w:rFonts w:eastAsia="Times New Roman" w:cs="Times New Roman"/>
          <w:i/>
          <w:szCs w:val="18"/>
          <w:lang w:val="nl-NL" w:eastAsia="zh-CN"/>
        </w:rPr>
        <w:t>Stimuleren</w:t>
      </w:r>
      <w:r>
        <w:rPr>
          <w:rFonts w:eastAsia="Times New Roman" w:cs="Times New Roman"/>
          <w:szCs w:val="18"/>
          <w:lang w:val="nl-NL" w:eastAsia="zh-CN"/>
        </w:rPr>
        <w:t>: De totale inzet op milieu</w:t>
      </w:r>
      <w:r w:rsidRPr="00163EC0">
        <w:rPr>
          <w:rFonts w:eastAsia="Times New Roman" w:cs="Times New Roman"/>
          <w:szCs w:val="18"/>
          <w:lang w:val="nl-NL" w:eastAsia="zh-CN"/>
        </w:rPr>
        <w:t xml:space="preserve"> voor ontwikkeling bedraagt in 2013 ongeveer EUR </w:t>
      </w:r>
      <w:r w:rsidR="00B43C85">
        <w:rPr>
          <w:rFonts w:eastAsia="Times New Roman" w:cs="Times New Roman"/>
          <w:szCs w:val="18"/>
          <w:lang w:val="nl-NL" w:eastAsia="zh-CN"/>
        </w:rPr>
        <w:t xml:space="preserve">250 </w:t>
      </w:r>
      <w:r w:rsidRPr="00163EC0">
        <w:rPr>
          <w:rFonts w:eastAsia="Times New Roman" w:cs="Times New Roman"/>
          <w:szCs w:val="18"/>
          <w:lang w:val="nl-NL" w:eastAsia="zh-CN"/>
        </w:rPr>
        <w:t xml:space="preserve">miljoen en </w:t>
      </w:r>
      <w:r>
        <w:rPr>
          <w:rFonts w:eastAsia="Times New Roman" w:cs="Times New Roman"/>
          <w:szCs w:val="18"/>
          <w:lang w:val="nl-NL" w:eastAsia="zh-CN"/>
        </w:rPr>
        <w:t>ondersteunt</w:t>
      </w:r>
      <w:r w:rsidR="00417FB5">
        <w:rPr>
          <w:rFonts w:eastAsia="Times New Roman" w:cs="Times New Roman"/>
          <w:szCs w:val="18"/>
          <w:lang w:val="nl-NL" w:eastAsia="zh-CN"/>
        </w:rPr>
        <w:t xml:space="preserve"> de Nederlandse </w:t>
      </w:r>
      <w:r>
        <w:rPr>
          <w:rFonts w:eastAsia="Times New Roman" w:cs="Times New Roman"/>
          <w:szCs w:val="18"/>
          <w:lang w:val="nl-NL" w:eastAsia="zh-CN"/>
        </w:rPr>
        <w:t xml:space="preserve">OS speerpunten </w:t>
      </w:r>
      <w:r w:rsidRPr="00163EC0">
        <w:rPr>
          <w:rFonts w:eastAsia="Times New Roman" w:cs="Times New Roman"/>
          <w:szCs w:val="18"/>
          <w:lang w:val="nl-NL" w:eastAsia="zh-CN"/>
        </w:rPr>
        <w:t>via een mix van doelgerichte activiteiten en instrumenten (bilateraal, multilateraal en maatschappelijke organisaties, kennisinstellingen en priva</w:t>
      </w:r>
      <w:r w:rsidR="00417FB5">
        <w:rPr>
          <w:rFonts w:eastAsia="Times New Roman" w:cs="Times New Roman"/>
          <w:szCs w:val="18"/>
          <w:lang w:val="nl-NL" w:eastAsia="zh-CN"/>
        </w:rPr>
        <w:t>te sector). N</w:t>
      </w:r>
      <w:r w:rsidRPr="00163EC0">
        <w:rPr>
          <w:rFonts w:eastAsia="Times New Roman" w:cs="Times New Roman"/>
          <w:szCs w:val="18"/>
          <w:lang w:val="nl-NL" w:eastAsia="zh-CN"/>
        </w:rPr>
        <w:t xml:space="preserve">ederlandse </w:t>
      </w:r>
      <w:r>
        <w:rPr>
          <w:rFonts w:eastAsia="Times New Roman" w:cs="Times New Roman"/>
          <w:szCs w:val="18"/>
          <w:lang w:val="nl-NL" w:eastAsia="zh-CN"/>
        </w:rPr>
        <w:t>milieu</w:t>
      </w:r>
      <w:r w:rsidRPr="00163EC0">
        <w:rPr>
          <w:rFonts w:eastAsia="Times New Roman" w:cs="Times New Roman"/>
          <w:szCs w:val="18"/>
          <w:lang w:val="nl-NL" w:eastAsia="zh-CN"/>
        </w:rPr>
        <w:t xml:space="preserve">diplomatie </w:t>
      </w:r>
      <w:r w:rsidR="00417FB5">
        <w:rPr>
          <w:rFonts w:eastAsia="Times New Roman" w:cs="Times New Roman"/>
          <w:szCs w:val="18"/>
          <w:lang w:val="nl-NL" w:eastAsia="zh-CN"/>
        </w:rPr>
        <w:t xml:space="preserve">richt </w:t>
      </w:r>
      <w:r w:rsidRPr="00163EC0">
        <w:rPr>
          <w:rFonts w:eastAsia="Times New Roman" w:cs="Times New Roman"/>
          <w:szCs w:val="18"/>
          <w:lang w:val="nl-NL" w:eastAsia="zh-CN"/>
        </w:rPr>
        <w:t xml:space="preserve">zich op het verbeteren van de nationale en internationale </w:t>
      </w:r>
      <w:r w:rsidR="006C2D6E">
        <w:rPr>
          <w:rFonts w:eastAsia="Times New Roman" w:cs="Times New Roman"/>
          <w:szCs w:val="18"/>
          <w:lang w:val="nl-NL" w:eastAsia="zh-CN"/>
        </w:rPr>
        <w:t>samenhang tussen verschillende beleidsterreinen (economie</w:t>
      </w:r>
      <w:r w:rsidRPr="00163EC0">
        <w:rPr>
          <w:rFonts w:eastAsia="Times New Roman" w:cs="Times New Roman"/>
          <w:szCs w:val="18"/>
          <w:lang w:val="nl-NL" w:eastAsia="zh-CN"/>
        </w:rPr>
        <w:t>, handel, l</w:t>
      </w:r>
      <w:r w:rsidR="006C2D6E">
        <w:rPr>
          <w:rFonts w:eastAsia="Times New Roman" w:cs="Times New Roman"/>
          <w:szCs w:val="18"/>
          <w:lang w:val="nl-NL" w:eastAsia="zh-CN"/>
        </w:rPr>
        <w:t>andbouw- en visserij) op grond van bestaande afspraken over milieudoelen</w:t>
      </w:r>
      <w:r w:rsidR="00417FB5">
        <w:rPr>
          <w:rFonts w:eastAsia="Times New Roman" w:cs="Times New Roman"/>
          <w:szCs w:val="18"/>
          <w:lang w:val="nl-NL" w:eastAsia="zh-CN"/>
        </w:rPr>
        <w:t xml:space="preserve">. </w:t>
      </w:r>
    </w:p>
    <w:p w:rsidRPr="009E259A" w:rsidR="009E259A" w:rsidP="009E259A" w:rsidRDefault="009E259A">
      <w:pPr>
        <w:spacing w:after="0"/>
        <w:rPr>
          <w:rFonts w:eastAsia="Times New Roman" w:cs="Times New Roman"/>
          <w:szCs w:val="18"/>
          <w:lang w:val="nl-NL" w:eastAsia="zh-CN"/>
        </w:rPr>
      </w:pPr>
    </w:p>
    <w:p w:rsidRPr="00DE5170" w:rsidR="009E259A" w:rsidP="009E259A" w:rsidRDefault="009E259A">
      <w:pPr>
        <w:spacing w:after="0"/>
        <w:rPr>
          <w:rFonts w:eastAsia="Times New Roman" w:cs="Times New Roman"/>
          <w:b/>
          <w:szCs w:val="18"/>
          <w:lang w:val="nl-NL" w:eastAsia="zh-CN"/>
        </w:rPr>
      </w:pPr>
      <w:r w:rsidRPr="00DE5170">
        <w:rPr>
          <w:rFonts w:eastAsia="Times New Roman" w:cs="Times New Roman"/>
          <w:b/>
          <w:szCs w:val="18"/>
          <w:lang w:val="nl-NL" w:eastAsia="zh-CN"/>
        </w:rPr>
        <w:t>Efficiënt en duurzaam watergebruik, veiliger delta’s en stroomgebieden en verbeterde toegang tot drinkwater en sanitaire voorzieningen in ontwikkelingslanden</w:t>
      </w:r>
      <w:r w:rsidR="006E16D6">
        <w:rPr>
          <w:rFonts w:eastAsia="Times New Roman" w:cs="Times New Roman"/>
          <w:b/>
          <w:szCs w:val="18"/>
          <w:lang w:val="nl-NL" w:eastAsia="zh-CN"/>
        </w:rPr>
        <w:t xml:space="preserve"> (artikel 6.2)</w:t>
      </w:r>
    </w:p>
    <w:p w:rsidRPr="00DE5170" w:rsidR="009E259A" w:rsidP="009E259A" w:rsidRDefault="009E259A">
      <w:pPr>
        <w:spacing w:after="0"/>
        <w:rPr>
          <w:rFonts w:eastAsia="Times New Roman" w:cs="Times New Roman"/>
          <w:szCs w:val="18"/>
          <w:lang w:val="nl-NL" w:eastAsia="zh-CN"/>
        </w:rPr>
      </w:pPr>
    </w:p>
    <w:p w:rsidRPr="00DE5170" w:rsidR="00BE46D6" w:rsidP="009E259A" w:rsidRDefault="00720EDA">
      <w:pPr>
        <w:spacing w:after="0"/>
        <w:rPr>
          <w:rFonts w:eastAsia="Times New Roman" w:cs="Times New Roman"/>
          <w:szCs w:val="18"/>
          <w:lang w:val="nl-NL" w:eastAsia="zh-CN"/>
        </w:rPr>
      </w:pPr>
      <w:r>
        <w:rPr>
          <w:rFonts w:eastAsia="Times New Roman" w:cs="Times New Roman"/>
          <w:szCs w:val="18"/>
          <w:lang w:val="nl-NL" w:eastAsia="zh-CN"/>
        </w:rPr>
        <w:t>In 2013 vormen de a</w:t>
      </w:r>
      <w:r w:rsidRPr="00DE5170" w:rsidR="00BE46D6">
        <w:rPr>
          <w:rFonts w:eastAsia="Times New Roman" w:cs="Times New Roman"/>
          <w:szCs w:val="18"/>
          <w:lang w:val="nl-NL" w:eastAsia="zh-CN"/>
        </w:rPr>
        <w:t>mbities voor 201</w:t>
      </w:r>
      <w:r w:rsidRPr="00720EDA" w:rsidR="00BE46D6">
        <w:rPr>
          <w:rFonts w:eastAsia="Times New Roman" w:cs="Times New Roman"/>
          <w:szCs w:val="18"/>
          <w:lang w:val="nl-NL" w:eastAsia="zh-CN"/>
        </w:rPr>
        <w:t>5</w:t>
      </w:r>
      <w:r>
        <w:rPr>
          <w:rFonts w:eastAsia="Times New Roman" w:cs="Times New Roman"/>
          <w:szCs w:val="18"/>
          <w:lang w:val="nl-NL" w:eastAsia="zh-CN"/>
        </w:rPr>
        <w:t xml:space="preserve"> de situatie waarnaar concreet wordt toegewerkt</w:t>
      </w:r>
      <w:r w:rsidRPr="00DE5170" w:rsidR="00BE46D6">
        <w:rPr>
          <w:rFonts w:eastAsia="Times New Roman" w:cs="Times New Roman"/>
          <w:szCs w:val="18"/>
          <w:lang w:val="nl-NL" w:eastAsia="zh-CN"/>
        </w:rPr>
        <w:t>:</w:t>
      </w:r>
    </w:p>
    <w:p w:rsidRPr="00DE5170" w:rsidR="00BE46D6" w:rsidP="00BE46D6" w:rsidRDefault="00BE46D6">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Verhoging</w:t>
      </w:r>
      <w:r w:rsidRPr="00DE5170" w:rsidR="00C745BE">
        <w:rPr>
          <w:rFonts w:eastAsia="Times New Roman" w:cs="Times New Roman"/>
          <w:szCs w:val="18"/>
          <w:lang w:val="nl-NL" w:eastAsia="zh-CN"/>
        </w:rPr>
        <w:t xml:space="preserve"> van de voedselproductie in </w:t>
      </w:r>
      <w:r w:rsidRPr="00DE5170">
        <w:rPr>
          <w:rFonts w:eastAsia="Times New Roman" w:cs="Times New Roman"/>
          <w:szCs w:val="18"/>
          <w:lang w:val="nl-NL" w:eastAsia="zh-CN"/>
        </w:rPr>
        <w:t xml:space="preserve">partnerlanden via door </w:t>
      </w:r>
      <w:r w:rsidRPr="00DE5170" w:rsidR="00C745BE">
        <w:rPr>
          <w:rFonts w:eastAsia="Times New Roman" w:cs="Times New Roman"/>
          <w:szCs w:val="18"/>
          <w:lang w:val="nl-NL" w:eastAsia="zh-CN"/>
        </w:rPr>
        <w:t>Nederland</w:t>
      </w:r>
      <w:r w:rsidRPr="00DE5170">
        <w:rPr>
          <w:rFonts w:eastAsia="Times New Roman" w:cs="Times New Roman"/>
          <w:szCs w:val="18"/>
          <w:lang w:val="nl-NL" w:eastAsia="zh-CN"/>
        </w:rPr>
        <w:t xml:space="preserve"> onde</w:t>
      </w:r>
      <w:r w:rsidRPr="00DE5170" w:rsidR="00E20583">
        <w:rPr>
          <w:rFonts w:eastAsia="Times New Roman" w:cs="Times New Roman"/>
          <w:szCs w:val="18"/>
          <w:lang w:val="nl-NL" w:eastAsia="zh-CN"/>
        </w:rPr>
        <w:t>rsteunde programma’s</w:t>
      </w:r>
      <w:r w:rsidRPr="00DE5170">
        <w:rPr>
          <w:rFonts w:eastAsia="Times New Roman" w:cs="Times New Roman"/>
          <w:szCs w:val="18"/>
          <w:lang w:val="nl-NL" w:eastAsia="zh-CN"/>
        </w:rPr>
        <w:t>;</w:t>
      </w:r>
    </w:p>
    <w:p w:rsidRPr="00DE5170" w:rsidR="00BE46D6" w:rsidP="00BE46D6" w:rsidRDefault="00BE46D6">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In de door Nederland ondersteunde programma’s wordt waterproductiviteit – en de verhouding tussen hoeveelheid water die gebruikt wordt en de landbouwopbrengsten – met minimaal 25% verbeterd;</w:t>
      </w:r>
    </w:p>
    <w:p w:rsidRPr="00DE5170" w:rsidR="00BE46D6" w:rsidP="00BE46D6" w:rsidRDefault="00E20583">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In minimaal</w:t>
      </w:r>
      <w:r w:rsidRPr="00DE5170" w:rsidR="00BE46D6">
        <w:rPr>
          <w:rFonts w:eastAsia="Times New Roman" w:cs="Times New Roman"/>
          <w:szCs w:val="18"/>
          <w:lang w:val="nl-NL" w:eastAsia="zh-CN"/>
        </w:rPr>
        <w:t xml:space="preserve"> acht stroomgebieden en delta’s (in Bangladesh, Benin, Ghana, Indonesië, Kenia, Mali, Mozambique en Vietnam) </w:t>
      </w:r>
      <w:r w:rsidRPr="00DE5170">
        <w:rPr>
          <w:rFonts w:eastAsia="Times New Roman" w:cs="Times New Roman"/>
          <w:szCs w:val="18"/>
          <w:lang w:val="nl-NL" w:eastAsia="zh-CN"/>
        </w:rPr>
        <w:t xml:space="preserve">wordt </w:t>
      </w:r>
      <w:r w:rsidRPr="00DE5170" w:rsidR="00BE46D6">
        <w:rPr>
          <w:rFonts w:eastAsia="Times New Roman" w:cs="Times New Roman"/>
          <w:szCs w:val="18"/>
          <w:lang w:val="nl-NL" w:eastAsia="zh-CN"/>
        </w:rPr>
        <w:t xml:space="preserve">de </w:t>
      </w:r>
      <w:r w:rsidRPr="00DE5170" w:rsidR="00C745BE">
        <w:rPr>
          <w:rFonts w:eastAsia="Times New Roman" w:cs="Times New Roman"/>
          <w:szCs w:val="18"/>
          <w:lang w:val="nl-NL" w:eastAsia="zh-CN"/>
        </w:rPr>
        <w:t>ontwikkeling</w:t>
      </w:r>
      <w:r w:rsidRPr="00DE5170">
        <w:rPr>
          <w:rFonts w:eastAsia="Times New Roman" w:cs="Times New Roman"/>
          <w:szCs w:val="18"/>
          <w:lang w:val="nl-NL" w:eastAsia="zh-CN"/>
        </w:rPr>
        <w:t xml:space="preserve"> en uitvoering</w:t>
      </w:r>
      <w:r w:rsidRPr="00DE5170" w:rsidR="00BE46D6">
        <w:rPr>
          <w:rFonts w:eastAsia="Times New Roman" w:cs="Times New Roman"/>
          <w:szCs w:val="18"/>
          <w:lang w:val="nl-NL" w:eastAsia="zh-CN"/>
        </w:rPr>
        <w:t xml:space="preserve"> van plannen voor duurzame groei en waterveiligheid </w:t>
      </w:r>
      <w:r w:rsidRPr="00DE5170">
        <w:rPr>
          <w:rFonts w:eastAsia="Times New Roman" w:cs="Times New Roman"/>
          <w:szCs w:val="18"/>
          <w:lang w:val="nl-NL" w:eastAsia="zh-CN"/>
        </w:rPr>
        <w:t>ondersteund</w:t>
      </w:r>
      <w:r w:rsidRPr="00DE5170" w:rsidR="00BE46D6">
        <w:rPr>
          <w:rFonts w:eastAsia="Times New Roman" w:cs="Times New Roman"/>
          <w:szCs w:val="18"/>
          <w:lang w:val="nl-NL" w:eastAsia="zh-CN"/>
        </w:rPr>
        <w:t>;</w:t>
      </w:r>
    </w:p>
    <w:p w:rsidRPr="00DE5170" w:rsidR="00BE46D6" w:rsidP="00BE46D6" w:rsidRDefault="00E20583">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In minimaal</w:t>
      </w:r>
      <w:r w:rsidRPr="00DE5170" w:rsidR="00BE46D6">
        <w:rPr>
          <w:rFonts w:eastAsia="Times New Roman" w:cs="Times New Roman"/>
          <w:szCs w:val="18"/>
          <w:lang w:val="nl-NL" w:eastAsia="zh-CN"/>
        </w:rPr>
        <w:t xml:space="preserve"> zeven grote grensoverschrijdende stroomgebieden, grondwatersystemen en </w:t>
      </w:r>
      <w:r w:rsidRPr="00DE5170" w:rsidR="00027D33">
        <w:rPr>
          <w:rFonts w:eastAsia="Times New Roman" w:cs="Times New Roman"/>
          <w:szCs w:val="18"/>
          <w:lang w:val="nl-NL" w:eastAsia="zh-CN"/>
        </w:rPr>
        <w:t>delta’s</w:t>
      </w:r>
      <w:r w:rsidRPr="00DE5170" w:rsidR="00BE46D6">
        <w:rPr>
          <w:rFonts w:eastAsia="Times New Roman" w:cs="Times New Roman"/>
          <w:szCs w:val="18"/>
          <w:lang w:val="nl-NL" w:eastAsia="zh-CN"/>
        </w:rPr>
        <w:t xml:space="preserve"> (Brahmaputra, Incomatie, Mekon, Senegal, West Bank Aquifer en Zambezi) wordt bijgedragen aan grensoverschrijdende bemiddeling en gezamenlijk </w:t>
      </w:r>
      <w:r w:rsidRPr="00DE5170" w:rsidR="00C745BE">
        <w:rPr>
          <w:rFonts w:eastAsia="Times New Roman" w:cs="Times New Roman"/>
          <w:szCs w:val="18"/>
          <w:lang w:val="nl-NL" w:eastAsia="zh-CN"/>
        </w:rPr>
        <w:t>beheer van stroomgebieden</w:t>
      </w:r>
      <w:r w:rsidRPr="00DE5170" w:rsidR="00BE46D6">
        <w:rPr>
          <w:rFonts w:eastAsia="Times New Roman" w:cs="Times New Roman"/>
          <w:szCs w:val="18"/>
          <w:lang w:val="nl-NL" w:eastAsia="zh-CN"/>
        </w:rPr>
        <w:t>.</w:t>
      </w:r>
    </w:p>
    <w:p w:rsidR="00C745BE" w:rsidP="00BE46D6" w:rsidRDefault="00BE46D6">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 xml:space="preserve">Het leveren van een </w:t>
      </w:r>
      <w:r w:rsidRPr="00DE5170" w:rsidR="00C745BE">
        <w:rPr>
          <w:rFonts w:eastAsia="Times New Roman" w:cs="Times New Roman"/>
          <w:szCs w:val="18"/>
          <w:lang w:val="nl-NL" w:eastAsia="zh-CN"/>
        </w:rPr>
        <w:t>substantiële bijdrage aan de internationaal overeengekomen</w:t>
      </w:r>
      <w:r w:rsidRPr="00DE5170">
        <w:rPr>
          <w:rFonts w:eastAsia="Times New Roman" w:cs="Times New Roman"/>
          <w:szCs w:val="18"/>
          <w:lang w:val="nl-NL" w:eastAsia="zh-CN"/>
        </w:rPr>
        <w:t xml:space="preserve"> drinkwater- en sanitatie</w:t>
      </w:r>
      <w:r w:rsidRPr="00DE5170" w:rsidR="00C745BE">
        <w:rPr>
          <w:rFonts w:eastAsia="Times New Roman" w:cs="Times New Roman"/>
          <w:szCs w:val="18"/>
          <w:lang w:val="nl-NL" w:eastAsia="zh-CN"/>
        </w:rPr>
        <w:t xml:space="preserve"> doelstelling d.m.v</w:t>
      </w:r>
      <w:r w:rsidRPr="00DE5170">
        <w:rPr>
          <w:rFonts w:eastAsia="Times New Roman" w:cs="Times New Roman"/>
          <w:szCs w:val="18"/>
          <w:lang w:val="nl-NL" w:eastAsia="zh-CN"/>
        </w:rPr>
        <w:t xml:space="preserve"> toegang tot veilig drinkwater en sanitatie</w:t>
      </w:r>
      <w:r w:rsidRPr="00DE5170" w:rsidR="00C745BE">
        <w:rPr>
          <w:rFonts w:eastAsia="Times New Roman" w:cs="Times New Roman"/>
          <w:szCs w:val="18"/>
          <w:lang w:val="nl-NL" w:eastAsia="zh-CN"/>
        </w:rPr>
        <w:t xml:space="preserve"> voor 25 </w:t>
      </w:r>
      <w:r w:rsidR="00933722">
        <w:rPr>
          <w:rFonts w:eastAsia="Times New Roman" w:cs="Times New Roman"/>
          <w:szCs w:val="18"/>
          <w:lang w:val="nl-NL" w:eastAsia="zh-CN"/>
        </w:rPr>
        <w:t>miljoen mensen meer t.o.v. 2010:</w:t>
      </w:r>
      <w:r w:rsidRPr="00DE5170" w:rsidR="00E20583">
        <w:rPr>
          <w:rFonts w:eastAsia="Times New Roman" w:cs="Times New Roman"/>
          <w:szCs w:val="18"/>
          <w:lang w:val="nl-NL" w:eastAsia="zh-CN"/>
        </w:rPr>
        <w:t xml:space="preserve"> </w:t>
      </w:r>
    </w:p>
    <w:p w:rsidR="006B0F9A" w:rsidP="006B0F9A" w:rsidRDefault="006B0F9A">
      <w:pPr>
        <w:pStyle w:val="ListParagraph"/>
        <w:spacing w:after="0"/>
        <w:rPr>
          <w:rFonts w:eastAsia="Times New Roman" w:cs="Times New Roman"/>
          <w:szCs w:val="18"/>
          <w:lang w:val="nl-NL" w:eastAsia="zh-CN"/>
        </w:rPr>
      </w:pPr>
    </w:p>
    <w:p w:rsidRPr="006B0F9A" w:rsidR="006B0F9A" w:rsidP="006B0F9A" w:rsidRDefault="006B0F9A">
      <w:pPr>
        <w:pStyle w:val="ListParagraph"/>
        <w:numPr>
          <w:ilvl w:val="0"/>
          <w:numId w:val="9"/>
        </w:numPr>
        <w:spacing w:after="0"/>
        <w:rPr>
          <w:rFonts w:eastAsia="Times New Roman" w:cs="Times New Roman"/>
          <w:i/>
          <w:sz w:val="16"/>
          <w:szCs w:val="16"/>
          <w:lang w:val="nl-NL" w:eastAsia="zh-CN"/>
        </w:rPr>
      </w:pPr>
      <w:r w:rsidRPr="006B0F9A">
        <w:rPr>
          <w:rFonts w:eastAsia="Times New Roman" w:cs="Times New Roman"/>
          <w:i/>
          <w:sz w:val="16"/>
          <w:szCs w:val="16"/>
          <w:lang w:val="nl-NL" w:eastAsia="zh-CN"/>
        </w:rPr>
        <w:lastRenderedPageBreak/>
        <w:t>2 kleine grafieken naast elkaar ter illustratie van baseline 2010 en 25 miljoen mensen meer</w:t>
      </w:r>
      <w:r>
        <w:rPr>
          <w:rFonts w:eastAsia="Times New Roman" w:cs="Times New Roman"/>
          <w:i/>
          <w:sz w:val="16"/>
          <w:szCs w:val="16"/>
          <w:lang w:val="nl-NL" w:eastAsia="zh-CN"/>
        </w:rPr>
        <w:t xml:space="preserve"> in</w:t>
      </w:r>
      <w:r w:rsidRPr="006B0F9A">
        <w:rPr>
          <w:rFonts w:eastAsia="Times New Roman" w:cs="Times New Roman"/>
          <w:i/>
          <w:sz w:val="16"/>
          <w:szCs w:val="16"/>
          <w:lang w:val="nl-NL" w:eastAsia="zh-CN"/>
        </w:rPr>
        <w:t xml:space="preserve"> 2015</w:t>
      </w:r>
    </w:p>
    <w:p w:rsidRPr="00DE5170" w:rsidR="006B0F9A" w:rsidP="006B0F9A" w:rsidRDefault="00933722">
      <w:pPr>
        <w:pStyle w:val="ListParagraph"/>
        <w:spacing w:after="0"/>
        <w:rPr>
          <w:rFonts w:eastAsia="Times New Roman" w:cs="Times New Roman"/>
          <w:szCs w:val="18"/>
          <w:lang w:val="nl-NL" w:eastAsia="zh-CN"/>
        </w:rPr>
      </w:pPr>
      <w:r>
        <w:rPr>
          <w:noProof/>
          <w:lang w:val="nl-NL" w:eastAsia="nl-NL"/>
        </w:rPr>
        <w:drawing>
          <wp:inline distT="0" distB="0" distL="0" distR="0" wp14:anchorId="6DD67732" wp14:editId="57A79AF2">
            <wp:extent cx="2510893" cy="1240619"/>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nl-NL" w:eastAsia="nl-NL"/>
        </w:rPr>
        <w:drawing>
          <wp:inline distT="0" distB="0" distL="0" distR="0" wp14:anchorId="45412DA7" wp14:editId="70813C34">
            <wp:extent cx="2604805" cy="1240618"/>
            <wp:effectExtent l="0" t="0" r="508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3722" w:rsidP="00933722" w:rsidRDefault="00933722">
      <w:pPr>
        <w:pStyle w:val="ListParagraph"/>
        <w:spacing w:after="0"/>
        <w:rPr>
          <w:rFonts w:eastAsia="Times New Roman" w:cs="Times New Roman"/>
          <w:szCs w:val="18"/>
          <w:lang w:val="nl-NL" w:eastAsia="zh-CN"/>
        </w:rPr>
      </w:pPr>
      <w:r w:rsidRPr="00933722">
        <w:rPr>
          <w:rFonts w:eastAsia="Times New Roman" w:cs="Times New Roman"/>
          <w:szCs w:val="18"/>
          <w:lang w:val="nl-NL" w:eastAsia="zh-CN"/>
        </w:rPr>
        <w:t>In dit kader wordt in tenminste acht landen, waaronder Bangladesh, Benin, Ghana, Kenia en Mozambique nieuwe samenwerkingsverbanden ontwikkeld om het management en beheer van watervoorzieningen (</w:t>
      </w:r>
      <w:proofErr w:type="gramStart"/>
      <w:r w:rsidRPr="00933722">
        <w:rPr>
          <w:rFonts w:eastAsia="Times New Roman" w:cs="Times New Roman"/>
          <w:szCs w:val="18"/>
          <w:lang w:val="nl-NL" w:eastAsia="zh-CN"/>
        </w:rPr>
        <w:t>ruraal</w:t>
      </w:r>
      <w:proofErr w:type="gramEnd"/>
      <w:r w:rsidRPr="00933722">
        <w:rPr>
          <w:rFonts w:eastAsia="Times New Roman" w:cs="Times New Roman"/>
          <w:szCs w:val="18"/>
          <w:lang w:val="nl-NL" w:eastAsia="zh-CN"/>
        </w:rPr>
        <w:t xml:space="preserve"> en urbaan) aantoonbaar te verbeteren met inzet van PPP’s en Water Operators Partnerships (WOP’s);</w:t>
      </w:r>
    </w:p>
    <w:p w:rsidRPr="00DE5170" w:rsidR="00C745BE" w:rsidP="00BE46D6" w:rsidRDefault="00C745BE">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 xml:space="preserve">In </w:t>
      </w:r>
      <w:r w:rsidRPr="00DE5170" w:rsidR="00E20583">
        <w:rPr>
          <w:rFonts w:eastAsia="Times New Roman" w:cs="Times New Roman"/>
          <w:szCs w:val="18"/>
          <w:lang w:val="nl-NL" w:eastAsia="zh-CN"/>
        </w:rPr>
        <w:t>minimaal</w:t>
      </w:r>
      <w:r w:rsidRPr="00DE5170">
        <w:rPr>
          <w:rFonts w:eastAsia="Times New Roman" w:cs="Times New Roman"/>
          <w:szCs w:val="18"/>
          <w:lang w:val="nl-NL" w:eastAsia="zh-CN"/>
        </w:rPr>
        <w:t xml:space="preserve"> 10 steden wordt een integrale benadering van watermanagement en milieu toegepast als het kader voor het beheer van drinkwatervoorziening, sanitatie (inclusief vast afval), afvalwater en afwatering;</w:t>
      </w:r>
    </w:p>
    <w:p w:rsidRPr="00DE5170" w:rsidR="00C745BE" w:rsidP="00BE46D6" w:rsidRDefault="00C745BE">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 xml:space="preserve">In vijf stroomgebieden is sprake van verminderde spanning over waterbeheer; Nederland draagt hieraan bij door inzet van technische </w:t>
      </w:r>
      <w:r w:rsidRPr="00DE5170" w:rsidR="00E20583">
        <w:rPr>
          <w:rFonts w:eastAsia="Times New Roman" w:cs="Times New Roman"/>
          <w:szCs w:val="18"/>
          <w:lang w:val="nl-NL" w:eastAsia="zh-CN"/>
        </w:rPr>
        <w:t xml:space="preserve">assistentie, </w:t>
      </w:r>
      <w:r w:rsidRPr="00DE5170">
        <w:rPr>
          <w:rFonts w:eastAsia="Times New Roman" w:cs="Times New Roman"/>
          <w:szCs w:val="18"/>
          <w:lang w:val="nl-NL" w:eastAsia="zh-CN"/>
        </w:rPr>
        <w:t>het organiseren van trainingen en workshops;</w:t>
      </w:r>
    </w:p>
    <w:p w:rsidRPr="00DE5170" w:rsidR="00C745BE" w:rsidP="00BE46D6" w:rsidRDefault="00C745BE">
      <w:pPr>
        <w:pStyle w:val="ListParagraph"/>
        <w:numPr>
          <w:ilvl w:val="0"/>
          <w:numId w:val="10"/>
        </w:numPr>
        <w:spacing w:after="0"/>
        <w:rPr>
          <w:rFonts w:eastAsia="Times New Roman" w:cs="Times New Roman"/>
          <w:szCs w:val="18"/>
          <w:lang w:val="nl-NL" w:eastAsia="zh-CN"/>
        </w:rPr>
      </w:pPr>
      <w:r w:rsidRPr="00DE5170">
        <w:rPr>
          <w:rFonts w:eastAsia="Times New Roman" w:cs="Times New Roman"/>
          <w:szCs w:val="18"/>
          <w:lang w:val="nl-NL" w:eastAsia="zh-CN"/>
        </w:rPr>
        <w:t xml:space="preserve">In vijf landen (Benin, Kenia, </w:t>
      </w:r>
      <w:r w:rsidRPr="00DE5170" w:rsidR="00E20583">
        <w:rPr>
          <w:rFonts w:eastAsia="Times New Roman" w:cs="Times New Roman"/>
          <w:szCs w:val="18"/>
          <w:lang w:val="nl-NL" w:eastAsia="zh-CN"/>
        </w:rPr>
        <w:t>Palestijnse</w:t>
      </w:r>
      <w:r w:rsidRPr="00DE5170">
        <w:rPr>
          <w:rFonts w:eastAsia="Times New Roman" w:cs="Times New Roman"/>
          <w:szCs w:val="18"/>
          <w:lang w:val="nl-NL" w:eastAsia="zh-CN"/>
        </w:rPr>
        <w:t xml:space="preserve"> Gebieden, Rwanda en Zuid Soedan) is sprake van verbeterde regelgeving op het gebied van water.</w:t>
      </w:r>
    </w:p>
    <w:p w:rsidRPr="00DE5170" w:rsidR="00BE46D6" w:rsidP="009E259A" w:rsidRDefault="00BE46D6">
      <w:pPr>
        <w:spacing w:after="0"/>
        <w:rPr>
          <w:rFonts w:eastAsia="Times New Roman" w:cs="Times New Roman"/>
          <w:szCs w:val="18"/>
          <w:lang w:val="nl-NL" w:eastAsia="zh-CN"/>
        </w:rPr>
      </w:pPr>
    </w:p>
    <w:p w:rsidRPr="00DE5170" w:rsidR="00EF1577" w:rsidP="009E259A" w:rsidRDefault="00EF1577">
      <w:pPr>
        <w:spacing w:after="0"/>
        <w:rPr>
          <w:rFonts w:eastAsia="Times New Roman" w:cs="Times New Roman"/>
          <w:szCs w:val="18"/>
          <w:lang w:val="nl-NL" w:eastAsia="zh-CN"/>
        </w:rPr>
      </w:pPr>
      <w:r w:rsidRPr="0072510F">
        <w:rPr>
          <w:rFonts w:eastAsia="Times New Roman" w:cs="Times New Roman"/>
          <w:i/>
          <w:szCs w:val="18"/>
          <w:lang w:val="nl-NL" w:eastAsia="zh-CN"/>
        </w:rPr>
        <w:t>Regisseren</w:t>
      </w:r>
      <w:r w:rsidRPr="00DE5170" w:rsidR="00DE5170">
        <w:rPr>
          <w:rFonts w:eastAsia="Times New Roman" w:cs="Times New Roman"/>
          <w:szCs w:val="18"/>
          <w:lang w:val="nl-NL" w:eastAsia="zh-CN"/>
        </w:rPr>
        <w:t xml:space="preserve">: Nederland onderneemt verschillende </w:t>
      </w:r>
      <w:r w:rsidRPr="00DE5170" w:rsidR="00757AA7">
        <w:rPr>
          <w:rFonts w:eastAsia="Times New Roman" w:cs="Times New Roman"/>
          <w:szCs w:val="18"/>
          <w:lang w:val="nl-NL" w:eastAsia="zh-CN"/>
        </w:rPr>
        <w:t xml:space="preserve">initiatieven </w:t>
      </w:r>
      <w:r w:rsidRPr="00DE5170" w:rsidR="00DE5170">
        <w:rPr>
          <w:rFonts w:eastAsia="Times New Roman" w:cs="Times New Roman"/>
          <w:szCs w:val="18"/>
          <w:lang w:val="nl-NL" w:eastAsia="zh-CN"/>
        </w:rPr>
        <w:t xml:space="preserve">als leider en makelaar in water en ontwikkeling. Deze initiatieven zijn gericht op het verbeteren van de </w:t>
      </w:r>
      <w:r w:rsidRPr="00DE5170" w:rsidR="00757AA7">
        <w:rPr>
          <w:rFonts w:eastAsia="Times New Roman" w:cs="Times New Roman"/>
          <w:szCs w:val="18"/>
          <w:lang w:val="nl-NL" w:eastAsia="zh-CN"/>
        </w:rPr>
        <w:t xml:space="preserve">samenwerking tussen overheden, kennisinstellingen, maatschappelijke </w:t>
      </w:r>
      <w:r w:rsidRPr="00DE5170" w:rsidR="00DE5170">
        <w:rPr>
          <w:rFonts w:eastAsia="Times New Roman" w:cs="Times New Roman"/>
          <w:szCs w:val="18"/>
          <w:lang w:val="nl-NL" w:eastAsia="zh-CN"/>
        </w:rPr>
        <w:t>organisaties</w:t>
      </w:r>
      <w:r w:rsidRPr="00DE5170" w:rsidR="00757AA7">
        <w:rPr>
          <w:rFonts w:eastAsia="Times New Roman" w:cs="Times New Roman"/>
          <w:szCs w:val="18"/>
          <w:lang w:val="nl-NL" w:eastAsia="zh-CN"/>
        </w:rPr>
        <w:t xml:space="preserve"> en de private sector. Het </w:t>
      </w:r>
      <w:r w:rsidRPr="00DE5170" w:rsidR="00DE5170">
        <w:rPr>
          <w:rFonts w:eastAsia="Times New Roman" w:cs="Times New Roman"/>
          <w:szCs w:val="18"/>
          <w:lang w:val="nl-NL" w:eastAsia="zh-CN"/>
        </w:rPr>
        <w:t>ontsluiten</w:t>
      </w:r>
      <w:r w:rsidRPr="00DE5170" w:rsidR="00757AA7">
        <w:rPr>
          <w:rFonts w:eastAsia="Times New Roman" w:cs="Times New Roman"/>
          <w:szCs w:val="18"/>
          <w:lang w:val="nl-NL" w:eastAsia="zh-CN"/>
        </w:rPr>
        <w:t xml:space="preserve"> van de Nederlandse waterkennis t.b.v. </w:t>
      </w:r>
      <w:r w:rsidRPr="00DE5170" w:rsidR="00DE5170">
        <w:rPr>
          <w:rFonts w:eastAsia="Times New Roman" w:cs="Times New Roman"/>
          <w:szCs w:val="18"/>
          <w:lang w:val="nl-NL" w:eastAsia="zh-CN"/>
        </w:rPr>
        <w:t>duurzaam waterbeheer en ontwikkeling staat daarbij centraal.</w:t>
      </w:r>
    </w:p>
    <w:p w:rsidR="00EF1577" w:rsidP="009E259A" w:rsidRDefault="00EF1577">
      <w:pPr>
        <w:spacing w:after="0"/>
        <w:rPr>
          <w:rFonts w:eastAsia="Times New Roman" w:cs="Times New Roman"/>
          <w:szCs w:val="18"/>
          <w:highlight w:val="green"/>
          <w:lang w:val="nl-NL" w:eastAsia="zh-CN"/>
        </w:rPr>
      </w:pPr>
    </w:p>
    <w:p w:rsidRPr="007F0D76" w:rsidR="009E259A" w:rsidP="009E259A" w:rsidRDefault="00EF1577">
      <w:pPr>
        <w:spacing w:after="0"/>
        <w:rPr>
          <w:rFonts w:eastAsia="Times New Roman" w:cs="Times New Roman"/>
          <w:szCs w:val="18"/>
          <w:highlight w:val="green"/>
          <w:lang w:val="nl-NL" w:eastAsia="zh-CN"/>
        </w:rPr>
      </w:pPr>
      <w:r w:rsidRPr="0072510F">
        <w:rPr>
          <w:rFonts w:eastAsia="Times New Roman" w:cs="Times New Roman"/>
          <w:i/>
          <w:szCs w:val="18"/>
          <w:lang w:val="nl-NL" w:eastAsia="zh-CN"/>
        </w:rPr>
        <w:t>S</w:t>
      </w:r>
      <w:r w:rsidRPr="0072510F" w:rsidR="00E20583">
        <w:rPr>
          <w:rFonts w:eastAsia="Times New Roman" w:cs="Times New Roman"/>
          <w:i/>
          <w:szCs w:val="18"/>
          <w:lang w:val="nl-NL" w:eastAsia="zh-CN"/>
        </w:rPr>
        <w:t>timuleren</w:t>
      </w:r>
      <w:r w:rsidRPr="00E20583" w:rsidR="00E20583">
        <w:rPr>
          <w:rFonts w:eastAsia="Times New Roman" w:cs="Times New Roman"/>
          <w:szCs w:val="18"/>
          <w:lang w:val="nl-NL" w:eastAsia="zh-CN"/>
        </w:rPr>
        <w:t>:</w:t>
      </w:r>
      <w:r w:rsidR="00E20583">
        <w:rPr>
          <w:rFonts w:eastAsia="Times New Roman" w:cs="Times New Roman"/>
          <w:szCs w:val="18"/>
          <w:lang w:val="nl-NL" w:eastAsia="zh-CN"/>
        </w:rPr>
        <w:t xml:space="preserve"> </w:t>
      </w:r>
      <w:r w:rsidRPr="009E259A" w:rsidR="009E259A">
        <w:rPr>
          <w:rFonts w:eastAsia="Times New Roman" w:cs="Times New Roman"/>
          <w:szCs w:val="18"/>
          <w:lang w:val="nl-NL" w:eastAsia="zh-CN"/>
        </w:rPr>
        <w:t xml:space="preserve">De totale inzet op </w:t>
      </w:r>
      <w:r w:rsidR="00E20583">
        <w:rPr>
          <w:rFonts w:eastAsia="Times New Roman" w:cs="Times New Roman"/>
          <w:szCs w:val="18"/>
          <w:lang w:val="nl-NL" w:eastAsia="zh-CN"/>
        </w:rPr>
        <w:t xml:space="preserve">water voor ontwikkeling </w:t>
      </w:r>
      <w:r w:rsidR="00E65898">
        <w:rPr>
          <w:rFonts w:eastAsia="Times New Roman" w:cs="Times New Roman"/>
          <w:szCs w:val="18"/>
          <w:lang w:val="nl-NL" w:eastAsia="zh-CN"/>
        </w:rPr>
        <w:t>bedraagt in 2013 ongeveer EUR …</w:t>
      </w:r>
      <w:r w:rsidR="007F0D76">
        <w:rPr>
          <w:rFonts w:eastAsia="Times New Roman" w:cs="Times New Roman"/>
          <w:szCs w:val="18"/>
          <w:lang w:val="nl-NL" w:eastAsia="zh-CN"/>
        </w:rPr>
        <w:t xml:space="preserve"> miljoen en geeft een belangrijke financiële impuls aan het bereiken van de Nederlandse ambities</w:t>
      </w:r>
      <w:r w:rsidR="00793A7C">
        <w:rPr>
          <w:rFonts w:eastAsia="Times New Roman" w:cs="Times New Roman"/>
          <w:szCs w:val="18"/>
          <w:lang w:val="nl-NL" w:eastAsia="zh-CN"/>
        </w:rPr>
        <w:t xml:space="preserve"> via </w:t>
      </w:r>
      <w:r w:rsidR="006815F4">
        <w:rPr>
          <w:rFonts w:eastAsia="Times New Roman" w:cs="Times New Roman"/>
          <w:szCs w:val="18"/>
          <w:lang w:val="nl-NL" w:eastAsia="zh-CN"/>
        </w:rPr>
        <w:t xml:space="preserve">intensieve samenwerking en </w:t>
      </w:r>
      <w:r w:rsidR="00F960E5">
        <w:rPr>
          <w:rFonts w:eastAsia="Times New Roman" w:cs="Times New Roman"/>
          <w:szCs w:val="18"/>
          <w:lang w:val="nl-NL" w:eastAsia="zh-CN"/>
        </w:rPr>
        <w:t xml:space="preserve">een mix van </w:t>
      </w:r>
      <w:r w:rsidR="006815F4">
        <w:rPr>
          <w:rFonts w:eastAsia="Times New Roman" w:cs="Times New Roman"/>
          <w:szCs w:val="18"/>
          <w:lang w:val="nl-NL" w:eastAsia="zh-CN"/>
        </w:rPr>
        <w:t>doelgerichte</w:t>
      </w:r>
      <w:r w:rsidR="00F960E5">
        <w:rPr>
          <w:rFonts w:eastAsia="Times New Roman" w:cs="Times New Roman"/>
          <w:szCs w:val="18"/>
          <w:lang w:val="nl-NL" w:eastAsia="zh-CN"/>
        </w:rPr>
        <w:t xml:space="preserve"> activiteiten en instrumenten</w:t>
      </w:r>
      <w:r w:rsidR="006815F4">
        <w:rPr>
          <w:rFonts w:eastAsia="Times New Roman" w:cs="Times New Roman"/>
          <w:szCs w:val="18"/>
          <w:lang w:val="nl-NL" w:eastAsia="zh-CN"/>
        </w:rPr>
        <w:t xml:space="preserve"> (bilateraal, multilateraal</w:t>
      </w:r>
      <w:r w:rsidR="00793A7C">
        <w:rPr>
          <w:rFonts w:eastAsia="Times New Roman" w:cs="Times New Roman"/>
          <w:szCs w:val="18"/>
          <w:lang w:val="nl-NL" w:eastAsia="zh-CN"/>
        </w:rPr>
        <w:t xml:space="preserve"> en </w:t>
      </w:r>
      <w:r w:rsidR="006815F4">
        <w:rPr>
          <w:rFonts w:eastAsia="Times New Roman" w:cs="Times New Roman"/>
          <w:szCs w:val="18"/>
          <w:lang w:val="nl-NL" w:eastAsia="zh-CN"/>
        </w:rPr>
        <w:t>maatschappelijke organisaties, kennisinstellingen en private sector)</w:t>
      </w:r>
      <w:r w:rsidR="007F0D76">
        <w:rPr>
          <w:rFonts w:eastAsia="Times New Roman" w:cs="Times New Roman"/>
          <w:szCs w:val="18"/>
          <w:lang w:val="nl-NL" w:eastAsia="zh-CN"/>
        </w:rPr>
        <w:t>.</w:t>
      </w:r>
      <w:r w:rsidRPr="007F0D76" w:rsidR="007F0D76">
        <w:rPr>
          <w:rFonts w:eastAsia="SimSun" w:cs="Times New Roman"/>
          <w:szCs w:val="18"/>
          <w:lang w:val="nl-NL" w:eastAsia="nl-NL"/>
        </w:rPr>
        <w:t xml:space="preserve"> </w:t>
      </w:r>
      <w:r w:rsidR="007F0D76">
        <w:rPr>
          <w:rFonts w:eastAsia="SimSun" w:cs="Times New Roman"/>
          <w:szCs w:val="18"/>
          <w:lang w:val="nl-NL" w:eastAsia="nl-NL"/>
        </w:rPr>
        <w:t>D</w:t>
      </w:r>
      <w:r w:rsidR="00F960E5">
        <w:rPr>
          <w:rFonts w:eastAsia="SimSun" w:cs="Times New Roman"/>
          <w:szCs w:val="18"/>
          <w:lang w:val="nl-NL" w:eastAsia="nl-NL"/>
        </w:rPr>
        <w:t xml:space="preserve">aarnaast richt de Nederlandse diplomatie zich op het </w:t>
      </w:r>
      <w:r w:rsidR="00027D33">
        <w:rPr>
          <w:rFonts w:eastAsia="SimSun" w:cs="Times New Roman"/>
          <w:szCs w:val="18"/>
          <w:lang w:val="nl-NL" w:eastAsia="nl-NL"/>
        </w:rPr>
        <w:t>voorkomen en oplossen van g</w:t>
      </w:r>
      <w:r w:rsidRPr="009E259A" w:rsidR="007F0D76">
        <w:rPr>
          <w:rFonts w:eastAsia="SimSun" w:cs="Times New Roman"/>
          <w:szCs w:val="18"/>
          <w:lang w:val="nl-NL" w:eastAsia="nl-NL"/>
        </w:rPr>
        <w:t xml:space="preserve">rensoverschrijdende </w:t>
      </w:r>
      <w:r w:rsidR="00027D33">
        <w:rPr>
          <w:rFonts w:eastAsia="SimSun" w:cs="Times New Roman"/>
          <w:szCs w:val="18"/>
          <w:lang w:val="nl-NL" w:eastAsia="nl-NL"/>
        </w:rPr>
        <w:t>waterconflicten.</w:t>
      </w:r>
    </w:p>
    <w:p w:rsidR="00B663A4" w:rsidRDefault="00B663A4">
      <w:pPr>
        <w:rPr>
          <w:rFonts w:eastAsia="Batang" w:cs="Arial"/>
          <w:b/>
          <w:bCs/>
          <w:szCs w:val="18"/>
          <w:lang w:val="nl-NL" w:eastAsia="nl-NL"/>
        </w:rPr>
      </w:pPr>
      <w:r>
        <w:rPr>
          <w:rFonts w:eastAsia="Batang" w:cs="Arial"/>
          <w:b/>
          <w:bCs/>
          <w:szCs w:val="18"/>
          <w:lang w:val="nl-NL" w:eastAsia="nl-NL"/>
        </w:rPr>
        <w:br w:type="page"/>
      </w:r>
    </w:p>
    <w:p w:rsidRPr="009E259A" w:rsidR="009E259A" w:rsidP="009E259A" w:rsidRDefault="009E259A">
      <w:pPr>
        <w:keepNext/>
        <w:shd w:val="clear" w:color="auto" w:fill="FFFFFF"/>
        <w:spacing w:before="240" w:after="60"/>
        <w:outlineLvl w:val="2"/>
        <w:rPr>
          <w:rFonts w:eastAsia="Batang" w:cs="Arial"/>
          <w:b/>
          <w:bCs/>
          <w:szCs w:val="18"/>
          <w:lang w:val="nl-NL" w:eastAsia="nl-NL"/>
        </w:rPr>
      </w:pPr>
      <w:r w:rsidRPr="009E259A">
        <w:rPr>
          <w:rFonts w:eastAsia="Batang" w:cs="Arial"/>
          <w:b/>
          <w:bCs/>
          <w:szCs w:val="18"/>
          <w:lang w:val="nl-NL" w:eastAsia="nl-NL"/>
        </w:rPr>
        <w:lastRenderedPageBreak/>
        <w:t>E. Budgettaire gevolgen van beleid</w:t>
      </w:r>
    </w:p>
    <w:p w:rsidR="00350412" w:rsidP="006E16D6" w:rsidRDefault="000635C1">
      <w:pPr>
        <w:spacing w:after="0"/>
        <w:rPr>
          <w:rFonts w:eastAsia="Times New Roman" w:cs="Times New Roman"/>
          <w:szCs w:val="18"/>
          <w:lang w:val="nl-NL" w:eastAsia="zh-CN"/>
        </w:rPr>
      </w:pPr>
      <w:r w:rsidRPr="0093775D">
        <w:rPr>
          <w:rFonts w:eastAsia="Times New Roman" w:cs="Times New Roman"/>
          <w:szCs w:val="18"/>
          <w:lang w:val="nl-NL" w:eastAsia="zh-CN"/>
        </w:rPr>
        <w:t>De beleidsinzet bestaat uit een doordachte mix van instrumenten en is erop geri</w:t>
      </w:r>
      <w:r>
        <w:rPr>
          <w:rFonts w:eastAsia="Times New Roman" w:cs="Times New Roman"/>
          <w:szCs w:val="18"/>
          <w:lang w:val="nl-NL" w:eastAsia="zh-CN"/>
        </w:rPr>
        <w:t xml:space="preserve">cht om langs verschillende kanalen beleidsdoelstellingen te realiseren. Het benutten van de meerwaarde van verschillende vormen van samenwerking is daarbij doorslaggevend. </w:t>
      </w:r>
    </w:p>
    <w:p w:rsidRPr="00E30181" w:rsidR="00350412" w:rsidP="00350412" w:rsidRDefault="00350412">
      <w:pPr>
        <w:spacing w:after="0"/>
        <w:rPr>
          <w:rFonts w:eastAsia="Times New Roman" w:cs="Times New Roman"/>
          <w:szCs w:val="18"/>
          <w:lang w:val="nl-NL" w:eastAsia="zh-CN"/>
        </w:rPr>
      </w:pPr>
    </w:p>
    <w:p w:rsidR="00C51B94" w:rsidP="0072510F" w:rsidRDefault="00023343">
      <w:pPr>
        <w:rPr>
          <w:b/>
          <w:lang w:val="nl-NL"/>
        </w:rPr>
      </w:pPr>
      <w:r w:rsidRPr="00023343">
        <w:rPr>
          <w:noProof/>
          <w:lang w:val="nl-NL" w:eastAsia="nl-NL"/>
        </w:rPr>
        <w:drawing>
          <wp:inline distT="0" distB="0" distL="0" distR="0" wp14:anchorId="28B19CCA" wp14:editId="40D8B485">
            <wp:extent cx="5943600" cy="581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812460"/>
                    </a:xfrm>
                    <a:prstGeom prst="rect">
                      <a:avLst/>
                    </a:prstGeom>
                    <a:noFill/>
                    <a:ln>
                      <a:noFill/>
                    </a:ln>
                  </pic:spPr>
                </pic:pic>
              </a:graphicData>
            </a:graphic>
          </wp:inline>
        </w:drawing>
      </w:r>
    </w:p>
    <w:sectPr w:rsidR="00C51B9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F3" w:rsidRDefault="00BC35F3" w:rsidP="009E259A">
      <w:pPr>
        <w:spacing w:after="0"/>
      </w:pPr>
      <w:r>
        <w:separator/>
      </w:r>
    </w:p>
  </w:endnote>
  <w:endnote w:type="continuationSeparator" w:id="0">
    <w:p w:rsidR="00BC35F3" w:rsidRDefault="00BC35F3" w:rsidP="009E2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F3" w:rsidRDefault="00BC35F3" w:rsidP="009E259A">
      <w:pPr>
        <w:spacing w:after="0"/>
      </w:pPr>
      <w:r>
        <w:separator/>
      </w:r>
    </w:p>
  </w:footnote>
  <w:footnote w:type="continuationSeparator" w:id="0">
    <w:p w:rsidR="00BC35F3" w:rsidRDefault="00BC35F3" w:rsidP="009E259A">
      <w:pPr>
        <w:spacing w:after="0"/>
      </w:pPr>
      <w:r>
        <w:continuationSeparator/>
      </w:r>
    </w:p>
  </w:footnote>
  <w:footnote w:id="1">
    <w:p w:rsidR="00BC35F3" w:rsidRPr="00BA37FC" w:rsidRDefault="00BC35F3">
      <w:pPr>
        <w:pStyle w:val="FootnoteText"/>
        <w:rPr>
          <w:lang w:val="en-US"/>
        </w:rPr>
      </w:pPr>
      <w:r>
        <w:rPr>
          <w:rStyle w:val="FootnoteReference"/>
        </w:rPr>
        <w:footnoteRef/>
      </w:r>
      <w:r w:rsidRPr="00BA37FC">
        <w:rPr>
          <w:lang w:val="en-US"/>
        </w:rPr>
        <w:t xml:space="preserve"> Kst-32605-65 dd 2012-01-10</w:t>
      </w:r>
    </w:p>
  </w:footnote>
  <w:footnote w:id="2">
    <w:p w:rsidR="00BC35F3" w:rsidRPr="00BA37FC" w:rsidRDefault="00BC35F3">
      <w:pPr>
        <w:pStyle w:val="FootnoteText"/>
        <w:rPr>
          <w:lang w:val="en-US"/>
        </w:rPr>
      </w:pPr>
      <w:r>
        <w:rPr>
          <w:rStyle w:val="FootnoteReference"/>
        </w:rPr>
        <w:footnoteRef/>
      </w:r>
      <w:r w:rsidRPr="00BA37FC">
        <w:rPr>
          <w:lang w:val="en-US"/>
        </w:rPr>
        <w:t xml:space="preserve"> Kst-32605-57 dd 2011-11-08</w:t>
      </w:r>
    </w:p>
  </w:footnote>
  <w:footnote w:id="3">
    <w:p w:rsidR="00BC35F3" w:rsidRDefault="00BC35F3">
      <w:pPr>
        <w:pStyle w:val="FootnoteText"/>
      </w:pPr>
      <w:r>
        <w:rPr>
          <w:rStyle w:val="FootnoteReference"/>
        </w:rPr>
        <w:footnoteRef/>
      </w:r>
      <w:r w:rsidRPr="00163EC0">
        <w:rPr>
          <w:lang w:val="en-US"/>
        </w:rPr>
        <w:t xml:space="preserve"> IOB study no. 363. 2011. </w:t>
      </w:r>
      <w:r w:rsidRPr="009540F7">
        <w:rPr>
          <w:i/>
          <w:lang w:val="en-US"/>
        </w:rPr>
        <w:t>Improving food security: a systematic review of the impact of interventions in agricultural production, value chains, market regulation, and land security</w:t>
      </w:r>
      <w:r w:rsidRPr="00163EC0">
        <w:rPr>
          <w:lang w:val="en-US"/>
        </w:rPr>
        <w:t xml:space="preserve">. </w:t>
      </w:r>
      <w:r w:rsidRPr="00163EC0">
        <w:t>The Hague: Ministry of Foreign Affairs.</w:t>
      </w:r>
    </w:p>
  </w:footnote>
  <w:footnote w:id="4">
    <w:p w:rsidR="00BC35F3" w:rsidRPr="00163EC0" w:rsidRDefault="00BC35F3" w:rsidP="00163EC0">
      <w:pPr>
        <w:pStyle w:val="FootnoteText"/>
      </w:pPr>
      <w:r>
        <w:rPr>
          <w:rStyle w:val="FootnoteReference"/>
        </w:rPr>
        <w:footnoteRef/>
      </w:r>
      <w:r w:rsidRPr="000635C1">
        <w:t xml:space="preserve"> 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6452"/>
    <w:multiLevelType w:val="hybridMultilevel"/>
    <w:tmpl w:val="AE8A5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A684983"/>
    <w:multiLevelType w:val="hybridMultilevel"/>
    <w:tmpl w:val="31F88788"/>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7C0FC7"/>
    <w:multiLevelType w:val="hybridMultilevel"/>
    <w:tmpl w:val="ED52F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3302939"/>
    <w:multiLevelType w:val="hybridMultilevel"/>
    <w:tmpl w:val="66681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4DE1B95"/>
    <w:multiLevelType w:val="hybridMultilevel"/>
    <w:tmpl w:val="8C5ADB6C"/>
    <w:lvl w:ilvl="0" w:tplc="6E5079DC">
      <w:numFmt w:val="bullet"/>
      <w:lvlText w:val="•"/>
      <w:lvlJc w:val="left"/>
      <w:pPr>
        <w:ind w:left="720" w:hanging="360"/>
      </w:pPr>
      <w:rPr>
        <w:rFonts w:ascii="Garamond" w:eastAsiaTheme="minorHAnsi"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972FE2"/>
    <w:multiLevelType w:val="hybridMultilevel"/>
    <w:tmpl w:val="71A8B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CB60E4A"/>
    <w:multiLevelType w:val="hybridMultilevel"/>
    <w:tmpl w:val="AE2EB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EA82099"/>
    <w:multiLevelType w:val="hybridMultilevel"/>
    <w:tmpl w:val="AB44D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63E26D1"/>
    <w:multiLevelType w:val="hybridMultilevel"/>
    <w:tmpl w:val="D1765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9CA32C7"/>
    <w:multiLevelType w:val="hybridMultilevel"/>
    <w:tmpl w:val="3A5AD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51F671E"/>
    <w:multiLevelType w:val="hybridMultilevel"/>
    <w:tmpl w:val="3F72453A"/>
    <w:lvl w:ilvl="0" w:tplc="6E5079DC">
      <w:numFmt w:val="bullet"/>
      <w:lvlText w:val="•"/>
      <w:lvlJc w:val="left"/>
      <w:pPr>
        <w:ind w:left="720" w:hanging="360"/>
      </w:pPr>
      <w:rPr>
        <w:rFonts w:ascii="Garamond" w:eastAsiaTheme="minorHAnsi"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8650F32"/>
    <w:multiLevelType w:val="hybridMultilevel"/>
    <w:tmpl w:val="29D8C3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4D400AD"/>
    <w:multiLevelType w:val="hybridMultilevel"/>
    <w:tmpl w:val="285EED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3AE4C98"/>
    <w:multiLevelType w:val="hybridMultilevel"/>
    <w:tmpl w:val="54ACA2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D7865AE"/>
    <w:multiLevelType w:val="hybridMultilevel"/>
    <w:tmpl w:val="00C4D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6073965"/>
    <w:multiLevelType w:val="hybridMultilevel"/>
    <w:tmpl w:val="1F6E1C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E6E16E4"/>
    <w:multiLevelType w:val="hybridMultilevel"/>
    <w:tmpl w:val="BE6A8E76"/>
    <w:lvl w:ilvl="0" w:tplc="6E5079DC">
      <w:numFmt w:val="bullet"/>
      <w:lvlText w:val="•"/>
      <w:lvlJc w:val="left"/>
      <w:pPr>
        <w:ind w:left="720" w:hanging="360"/>
      </w:pPr>
      <w:rPr>
        <w:rFonts w:ascii="Garamond" w:eastAsiaTheme="minorHAnsi"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0"/>
  </w:num>
  <w:num w:numId="5">
    <w:abstractNumId w:val="2"/>
  </w:num>
  <w:num w:numId="6">
    <w:abstractNumId w:val="7"/>
  </w:num>
  <w:num w:numId="7">
    <w:abstractNumId w:val="8"/>
  </w:num>
  <w:num w:numId="8">
    <w:abstractNumId w:val="1"/>
  </w:num>
  <w:num w:numId="9">
    <w:abstractNumId w:val="12"/>
  </w:num>
  <w:num w:numId="10">
    <w:abstractNumId w:val="10"/>
  </w:num>
  <w:num w:numId="11">
    <w:abstractNumId w:val="4"/>
  </w:num>
  <w:num w:numId="12">
    <w:abstractNumId w:val="16"/>
  </w:num>
  <w:num w:numId="13">
    <w:abstractNumId w:val="11"/>
  </w:num>
  <w:num w:numId="14">
    <w:abstractNumId w:val="6"/>
  </w:num>
  <w:num w:numId="15">
    <w:abstractNumId w:val="5"/>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9A"/>
    <w:rsid w:val="00002A04"/>
    <w:rsid w:val="00007AB1"/>
    <w:rsid w:val="00016E2A"/>
    <w:rsid w:val="00023343"/>
    <w:rsid w:val="00027CEA"/>
    <w:rsid w:val="00027D33"/>
    <w:rsid w:val="00030235"/>
    <w:rsid w:val="0003554E"/>
    <w:rsid w:val="00056177"/>
    <w:rsid w:val="000635C1"/>
    <w:rsid w:val="0008026D"/>
    <w:rsid w:val="000B2CBF"/>
    <w:rsid w:val="000C616A"/>
    <w:rsid w:val="00163EC0"/>
    <w:rsid w:val="00170013"/>
    <w:rsid w:val="001708F5"/>
    <w:rsid w:val="001853E4"/>
    <w:rsid w:val="001B5CC3"/>
    <w:rsid w:val="001B6497"/>
    <w:rsid w:val="001D1E8F"/>
    <w:rsid w:val="001D406F"/>
    <w:rsid w:val="00242150"/>
    <w:rsid w:val="0026484F"/>
    <w:rsid w:val="002677B2"/>
    <w:rsid w:val="0028352F"/>
    <w:rsid w:val="002A1B2C"/>
    <w:rsid w:val="002D65F6"/>
    <w:rsid w:val="002E3E07"/>
    <w:rsid w:val="00350412"/>
    <w:rsid w:val="003773F7"/>
    <w:rsid w:val="004032E3"/>
    <w:rsid w:val="00417FB5"/>
    <w:rsid w:val="00423FF7"/>
    <w:rsid w:val="0043096A"/>
    <w:rsid w:val="00493B60"/>
    <w:rsid w:val="004B121A"/>
    <w:rsid w:val="004C60C4"/>
    <w:rsid w:val="004F7596"/>
    <w:rsid w:val="00552E58"/>
    <w:rsid w:val="005C17EE"/>
    <w:rsid w:val="005E33B4"/>
    <w:rsid w:val="00613886"/>
    <w:rsid w:val="00670D1E"/>
    <w:rsid w:val="00674124"/>
    <w:rsid w:val="006815F4"/>
    <w:rsid w:val="006B0F9A"/>
    <w:rsid w:val="006C2D6E"/>
    <w:rsid w:val="006E16D6"/>
    <w:rsid w:val="007012A3"/>
    <w:rsid w:val="00720EDA"/>
    <w:rsid w:val="0072510F"/>
    <w:rsid w:val="00752E38"/>
    <w:rsid w:val="00757AA7"/>
    <w:rsid w:val="007610A4"/>
    <w:rsid w:val="00782A38"/>
    <w:rsid w:val="00782B0C"/>
    <w:rsid w:val="00793A7C"/>
    <w:rsid w:val="007F0D76"/>
    <w:rsid w:val="0082093B"/>
    <w:rsid w:val="00823136"/>
    <w:rsid w:val="0082497E"/>
    <w:rsid w:val="008724FF"/>
    <w:rsid w:val="00877BA2"/>
    <w:rsid w:val="00933722"/>
    <w:rsid w:val="009350D8"/>
    <w:rsid w:val="0093775D"/>
    <w:rsid w:val="009540F7"/>
    <w:rsid w:val="00971667"/>
    <w:rsid w:val="009845CD"/>
    <w:rsid w:val="009D1237"/>
    <w:rsid w:val="009D2A34"/>
    <w:rsid w:val="009E259A"/>
    <w:rsid w:val="00A23CEA"/>
    <w:rsid w:val="00A27206"/>
    <w:rsid w:val="00AA738C"/>
    <w:rsid w:val="00AB7EB6"/>
    <w:rsid w:val="00AF3211"/>
    <w:rsid w:val="00B035DF"/>
    <w:rsid w:val="00B1676C"/>
    <w:rsid w:val="00B26263"/>
    <w:rsid w:val="00B352C8"/>
    <w:rsid w:val="00B3661E"/>
    <w:rsid w:val="00B43C85"/>
    <w:rsid w:val="00B663A4"/>
    <w:rsid w:val="00B71557"/>
    <w:rsid w:val="00BA37FC"/>
    <w:rsid w:val="00BA4110"/>
    <w:rsid w:val="00BC35F3"/>
    <w:rsid w:val="00BE46D6"/>
    <w:rsid w:val="00C50162"/>
    <w:rsid w:val="00C51B94"/>
    <w:rsid w:val="00C7022B"/>
    <w:rsid w:val="00C745BE"/>
    <w:rsid w:val="00C9689C"/>
    <w:rsid w:val="00CC0E06"/>
    <w:rsid w:val="00CF0A25"/>
    <w:rsid w:val="00D309B7"/>
    <w:rsid w:val="00D66BAF"/>
    <w:rsid w:val="00DA3929"/>
    <w:rsid w:val="00DD1322"/>
    <w:rsid w:val="00DE5170"/>
    <w:rsid w:val="00DF4FCD"/>
    <w:rsid w:val="00E02D2A"/>
    <w:rsid w:val="00E20583"/>
    <w:rsid w:val="00E30181"/>
    <w:rsid w:val="00E53D22"/>
    <w:rsid w:val="00E65898"/>
    <w:rsid w:val="00EF1577"/>
    <w:rsid w:val="00EF4799"/>
    <w:rsid w:val="00F10F1B"/>
    <w:rsid w:val="00F20DBD"/>
    <w:rsid w:val="00F47E88"/>
    <w:rsid w:val="00F63225"/>
    <w:rsid w:val="00F959A5"/>
    <w:rsid w:val="00F960E5"/>
    <w:rsid w:val="00FD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E259A"/>
    <w:pPr>
      <w:spacing w:after="0"/>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9E259A"/>
    <w:rPr>
      <w:rFonts w:ascii="Times New Roman" w:eastAsia="Times New Roman" w:hAnsi="Times New Roman" w:cs="Times New Roman"/>
      <w:sz w:val="20"/>
      <w:szCs w:val="20"/>
      <w:lang w:val="nl-NL" w:eastAsia="zh-CN"/>
    </w:rPr>
  </w:style>
  <w:style w:type="character" w:styleId="FootnoteReference">
    <w:name w:val="footnote reference"/>
    <w:semiHidden/>
    <w:rsid w:val="009E259A"/>
    <w:rPr>
      <w:vertAlign w:val="superscript"/>
    </w:rPr>
  </w:style>
  <w:style w:type="paragraph" w:styleId="BalloonText">
    <w:name w:val="Balloon Text"/>
    <w:basedOn w:val="Normal"/>
    <w:link w:val="BalloonTextChar"/>
    <w:uiPriority w:val="99"/>
    <w:semiHidden/>
    <w:unhideWhenUsed/>
    <w:rsid w:val="009E25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9A"/>
    <w:rPr>
      <w:rFonts w:ascii="Tahoma" w:hAnsi="Tahoma" w:cs="Tahoma"/>
      <w:sz w:val="16"/>
      <w:szCs w:val="16"/>
    </w:rPr>
  </w:style>
  <w:style w:type="paragraph" w:styleId="ListParagraph">
    <w:name w:val="List Paragraph"/>
    <w:basedOn w:val="Normal"/>
    <w:uiPriority w:val="34"/>
    <w:qFormat/>
    <w:rsid w:val="00613886"/>
    <w:pPr>
      <w:ind w:left="720"/>
      <w:contextualSpacing/>
    </w:pPr>
  </w:style>
  <w:style w:type="table" w:styleId="LightGrid">
    <w:name w:val="Light Grid"/>
    <w:basedOn w:val="TableNormal"/>
    <w:uiPriority w:val="62"/>
    <w:rsid w:val="009845CD"/>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E259A"/>
    <w:pPr>
      <w:spacing w:after="0"/>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9E259A"/>
    <w:rPr>
      <w:rFonts w:ascii="Times New Roman" w:eastAsia="Times New Roman" w:hAnsi="Times New Roman" w:cs="Times New Roman"/>
      <w:sz w:val="20"/>
      <w:szCs w:val="20"/>
      <w:lang w:val="nl-NL" w:eastAsia="zh-CN"/>
    </w:rPr>
  </w:style>
  <w:style w:type="character" w:styleId="FootnoteReference">
    <w:name w:val="footnote reference"/>
    <w:semiHidden/>
    <w:rsid w:val="009E259A"/>
    <w:rPr>
      <w:vertAlign w:val="superscript"/>
    </w:rPr>
  </w:style>
  <w:style w:type="paragraph" w:styleId="BalloonText">
    <w:name w:val="Balloon Text"/>
    <w:basedOn w:val="Normal"/>
    <w:link w:val="BalloonTextChar"/>
    <w:uiPriority w:val="99"/>
    <w:semiHidden/>
    <w:unhideWhenUsed/>
    <w:rsid w:val="009E25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9A"/>
    <w:rPr>
      <w:rFonts w:ascii="Tahoma" w:hAnsi="Tahoma" w:cs="Tahoma"/>
      <w:sz w:val="16"/>
      <w:szCs w:val="16"/>
    </w:rPr>
  </w:style>
  <w:style w:type="paragraph" w:styleId="ListParagraph">
    <w:name w:val="List Paragraph"/>
    <w:basedOn w:val="Normal"/>
    <w:uiPriority w:val="34"/>
    <w:qFormat/>
    <w:rsid w:val="00613886"/>
    <w:pPr>
      <w:ind w:left="720"/>
      <w:contextualSpacing/>
    </w:pPr>
  </w:style>
  <w:style w:type="table" w:styleId="LightGrid">
    <w:name w:val="Light Grid"/>
    <w:basedOn w:val="TableNormal"/>
    <w:uiPriority w:val="62"/>
    <w:rsid w:val="009845CD"/>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1.emf"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chart" Target="charts/chart2.xml" Id="rId10" /><Relationship Type="http://schemas.microsoft.com/office/2007/relationships/stylesWithEffects" Target="stylesWithEffects.xml" Id="rId4" /><Relationship Type="http://schemas.openxmlformats.org/officeDocument/2006/relationships/chart" Target="charts/chart1.xml" Id="rId9" /><Relationship Type="http://schemas.openxmlformats.org/officeDocument/2006/relationships/theme" Target="theme/theme1.xml" Id="rId14" /></Relationships>
</file>

<file path=word/charts/_rels/chart1.xml.rels>&#65279;<?xml version="1.0" encoding="UTF-8" standalone="yes"?>
<Relationships xmlns="http://schemas.openxmlformats.org/package/2006/relationships">
  <Relationship Id="rId2" Type="http://schemas.openxmlformats.org/officeDocument/2006/relationships/oleObject" Target="file:///\\bz.ad.minbuza.local\Data\Public\DEPT-FEZ\02%20FEZ-BZ\backbone\2012\begroting\3_Taartdiagrammen%20MVT%202012%20artikelen.xls" TargetMode="External" />
  <Relationship Id="rId1" Type="http://schemas.openxmlformats.org/officeDocument/2006/relationships/themeOverride" Target="../theme/themeOverride1.xml" />
</Relationships>
</file>

<file path=word/charts/_rels/chart2.xml.rels>&#65279;<?xml version="1.0" encoding="UTF-8" standalone="yes"?>
<Relationships xmlns="http://schemas.openxmlformats.org/package/2006/relationships">
  <Relationship Id="rId1" Type="http://schemas.openxmlformats.org/officeDocument/2006/relationships/package" Target="../embeddings/Microsoft_Excel_Worksheet1.xlsx" />
</Relationships>
</file>

<file path=word/charts/_rels/chart3.xml.rels>&#65279;<?xml version="1.0" encoding="UTF-8" standalone="yes"?>
<Relationships xmlns="http://schemas.openxmlformats.org/package/2006/relationships">
  <Relationship Id="rId1" Type="http://schemas.openxmlformats.org/officeDocument/2006/relationships/package" Target="../embeddings/Microsoft_Excel_Worksheet2.xlsx" />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a:ea typeface="Arial"/>
                <a:cs typeface="Arial"/>
              </a:defRPr>
            </a:pPr>
            <a:r>
              <a:rPr lang="nl-NL"/>
              <a:t>Procentuele verdeling uitgaven 2013 per operationele doelstelling</a:t>
            </a:r>
          </a:p>
        </c:rich>
      </c:tx>
      <c:layout>
        <c:manualLayout>
          <c:xMode val="edge"/>
          <c:yMode val="edge"/>
          <c:x val="0.16828512940736776"/>
          <c:y val="3.2911392405063293E-2"/>
        </c:manualLayout>
      </c:layout>
      <c:overlay val="0"/>
      <c:spPr>
        <a:noFill/>
        <a:ln w="25400">
          <a:noFill/>
        </a:ln>
      </c:spPr>
    </c:title>
    <c:autoTitleDeleted val="0"/>
    <c:view3D>
      <c:rotX val="20"/>
      <c:rotY val="0"/>
      <c:rAngAx val="0"/>
      <c:perspective val="0"/>
    </c:view3D>
    <c:floor>
      <c:thickness val="0"/>
    </c:floor>
    <c:sideWall>
      <c:thickness val="0"/>
    </c:sideWall>
    <c:backWall>
      <c:thickness val="0"/>
    </c:backWall>
    <c:plotArea>
      <c:layout>
        <c:manualLayout>
          <c:layoutTarget val="inner"/>
          <c:xMode val="edge"/>
          <c:yMode val="edge"/>
          <c:x val="0.33495198560121109"/>
          <c:y val="0.42531645569620252"/>
          <c:w val="0.33009760899829499"/>
          <c:h val="0.24556962025316456"/>
        </c:manualLayout>
      </c:layout>
      <c:pie3DChart>
        <c:varyColors val="1"/>
        <c:ser>
          <c:idx val="0"/>
          <c:order val="0"/>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Lbls>
            <c:dLbl>
              <c:idx val="0"/>
              <c:layout>
                <c:manualLayout>
                  <c:x val="8.5186822075049976E-2"/>
                  <c:y val="2.420067111864177E-2"/>
                </c:manualLayout>
              </c:layout>
              <c:dLblPos val="bestFit"/>
              <c:showLegendKey val="0"/>
              <c:showVal val="0"/>
              <c:showCatName val="1"/>
              <c:showSerName val="0"/>
              <c:showPercent val="1"/>
              <c:showBubbleSize val="0"/>
            </c:dLbl>
            <c:dLbl>
              <c:idx val="1"/>
              <c:layout>
                <c:manualLayout>
                  <c:x val="-2.4723550934973002E-2"/>
                  <c:y val="-7.5911359181368154E-2"/>
                </c:manualLayout>
              </c:layout>
              <c:dLblPos val="bestFit"/>
              <c:showLegendKey val="0"/>
              <c:showVal val="0"/>
              <c:showCatName val="1"/>
              <c:showSerName val="0"/>
              <c:showPercent val="1"/>
              <c:showBubbleSize val="0"/>
            </c:dLbl>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nl-NL"/>
              </a:p>
            </c:txPr>
            <c:showLegendKey val="0"/>
            <c:showVal val="0"/>
            <c:showCatName val="1"/>
            <c:showSerName val="0"/>
            <c:showPercent val="1"/>
            <c:showBubbleSize val="0"/>
            <c:showLeaderLines val="1"/>
          </c:dLbls>
          <c:cat>
            <c:strRef>
              <c:f>invoer!$A$21:$A$22</c:f>
              <c:strCache>
                <c:ptCount val="2"/>
                <c:pt idx="0">
                  <c:v>6.1 Duurzaam milieugebruik wereldwijd</c:v>
                </c:pt>
                <c:pt idx="1">
                  <c:v>6.2 Integraal waterbeheer, drinkwater en sanitatie</c:v>
                </c:pt>
              </c:strCache>
            </c:strRef>
          </c:cat>
          <c:val>
            <c:numRef>
              <c:f>invoer!$B$21:$B$22</c:f>
              <c:numCache>
                <c:formatCode>#,##0</c:formatCode>
                <c:ptCount val="2"/>
                <c:pt idx="0">
                  <c:v>249219</c:v>
                </c:pt>
                <c:pt idx="1">
                  <c:v>181401</c:v>
                </c:pt>
              </c:numCache>
            </c:numRef>
          </c:val>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5.8252597066143434E-2"/>
          <c:y val="0.92151898734177218"/>
          <c:w val="0.88349650468448726"/>
          <c:h val="6.0759493670886067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nl-NL"/>
        </a:p>
      </c:txPr>
    </c:legend>
    <c:plotVisOnly val="1"/>
    <c:dispBlanksAs val="zero"/>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nl-N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en-US" sz="800" b="0">
                <a:latin typeface="Verdana" pitchFamily="34" charset="0"/>
                <a:ea typeface="Verdana" pitchFamily="34" charset="0"/>
                <a:cs typeface="Verdana" pitchFamily="34" charset="0"/>
              </a:rPr>
              <a:t>Door NL inzet bereikte mensen met verbeterde toegang tot sanitaire voorzieningen</a:t>
            </a:r>
          </a:p>
        </c:rich>
      </c:tx>
      <c:layout>
        <c:manualLayout>
          <c:xMode val="edge"/>
          <c:yMode val="edge"/>
          <c:x val="6.9319335083114608E-2"/>
          <c:y val="2.7777777777777776E-2"/>
        </c:manualLayout>
      </c:layout>
      <c:overlay val="0"/>
    </c:title>
    <c:autoTitleDeleted val="0"/>
    <c:plotArea>
      <c:layout/>
      <c:lineChart>
        <c:grouping val="stacked"/>
        <c:varyColors val="0"/>
        <c:ser>
          <c:idx val="0"/>
          <c:order val="0"/>
          <c:tx>
            <c:strRef>
              <c:f>Sheet1!$A$4</c:f>
              <c:strCache>
                <c:ptCount val="1"/>
                <c:pt idx="0">
                  <c:v>Aantal bereikte mensen</c:v>
                </c:pt>
              </c:strCache>
            </c:strRef>
          </c:tx>
          <c:spPr>
            <a:ln>
              <a:solidFill>
                <a:srgbClr val="C00000"/>
              </a:solidFill>
            </a:ln>
          </c:spPr>
          <c:marker>
            <c:symbol val="none"/>
          </c:marker>
          <c:cat>
            <c:numRef>
              <c:f>Sheet1!$B$3:$H$3</c:f>
              <c:numCache>
                <c:formatCode>General</c:formatCode>
                <c:ptCount val="7"/>
                <c:pt idx="0">
                  <c:v>2004</c:v>
                </c:pt>
                <c:pt idx="1">
                  <c:v>2005</c:v>
                </c:pt>
                <c:pt idx="2">
                  <c:v>2006</c:v>
                </c:pt>
                <c:pt idx="3">
                  <c:v>2007</c:v>
                </c:pt>
                <c:pt idx="4">
                  <c:v>2008</c:v>
                </c:pt>
                <c:pt idx="5">
                  <c:v>2009</c:v>
                </c:pt>
                <c:pt idx="6">
                  <c:v>2010</c:v>
                </c:pt>
              </c:numCache>
            </c:numRef>
          </c:cat>
          <c:val>
            <c:numRef>
              <c:f>Sheet1!$B$4:$H$4</c:f>
              <c:numCache>
                <c:formatCode>_ * #,##0_ ;_ * \-#,##0_ ;_ * "-"??_ ;_ @_ </c:formatCode>
                <c:ptCount val="7"/>
                <c:pt idx="0">
                  <c:v>52000</c:v>
                </c:pt>
                <c:pt idx="1">
                  <c:v>932000</c:v>
                </c:pt>
                <c:pt idx="2">
                  <c:v>1842000</c:v>
                </c:pt>
                <c:pt idx="3">
                  <c:v>4907000</c:v>
                </c:pt>
                <c:pt idx="4">
                  <c:v>10109000</c:v>
                </c:pt>
                <c:pt idx="5">
                  <c:v>16767000</c:v>
                </c:pt>
                <c:pt idx="6">
                  <c:v>19842000</c:v>
                </c:pt>
              </c:numCache>
            </c:numRef>
          </c:val>
          <c:smooth val="0"/>
        </c:ser>
        <c:dLbls>
          <c:showLegendKey val="0"/>
          <c:showVal val="0"/>
          <c:showCatName val="0"/>
          <c:showSerName val="0"/>
          <c:showPercent val="0"/>
          <c:showBubbleSize val="0"/>
        </c:dLbls>
        <c:marker val="1"/>
        <c:smooth val="0"/>
        <c:axId val="188198272"/>
        <c:axId val="188200064"/>
      </c:lineChart>
      <c:catAx>
        <c:axId val="188198272"/>
        <c:scaling>
          <c:orientation val="minMax"/>
        </c:scaling>
        <c:delete val="0"/>
        <c:axPos val="b"/>
        <c:numFmt formatCode="General" sourceLinked="1"/>
        <c:majorTickMark val="out"/>
        <c:minorTickMark val="none"/>
        <c:tickLblPos val="nextTo"/>
        <c:crossAx val="188200064"/>
        <c:crosses val="autoZero"/>
        <c:auto val="1"/>
        <c:lblAlgn val="ctr"/>
        <c:lblOffset val="100"/>
        <c:noMultiLvlLbl val="0"/>
      </c:catAx>
      <c:valAx>
        <c:axId val="188200064"/>
        <c:scaling>
          <c:orientation val="minMax"/>
        </c:scaling>
        <c:delete val="0"/>
        <c:axPos val="l"/>
        <c:majorGridlines/>
        <c:numFmt formatCode="_ * #,##0_ ;_ * \-#,##0_ ;_ * &quot;-&quot;??_ ;_ @_ " sourceLinked="1"/>
        <c:majorTickMark val="out"/>
        <c:minorTickMark val="none"/>
        <c:tickLblPos val="nextTo"/>
        <c:crossAx val="188198272"/>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nl-NL" sz="800" b="0">
                <a:latin typeface="Verdana" pitchFamily="34" charset="0"/>
                <a:ea typeface="Verdana" pitchFamily="34" charset="0"/>
                <a:cs typeface="Verdana" pitchFamily="34" charset="0"/>
              </a:rPr>
              <a:t>Door NL inzet bereikte mensen met verbeterde toegang tot veilig drinkwater</a:t>
            </a:r>
          </a:p>
        </c:rich>
      </c:tx>
      <c:layout>
        <c:manualLayout>
          <c:xMode val="edge"/>
          <c:yMode val="edge"/>
          <c:x val="0.14818684826558842"/>
          <c:y val="2.7777777777777776E-2"/>
        </c:manualLayout>
      </c:layout>
      <c:overlay val="0"/>
    </c:title>
    <c:autoTitleDeleted val="0"/>
    <c:plotArea>
      <c:layout/>
      <c:lineChart>
        <c:grouping val="stacked"/>
        <c:varyColors val="0"/>
        <c:ser>
          <c:idx val="0"/>
          <c:order val="0"/>
          <c:tx>
            <c:strRef>
              <c:f>Sheet1!$K$4</c:f>
              <c:strCache>
                <c:ptCount val="1"/>
                <c:pt idx="0">
                  <c:v>Aantal bereikte mensen</c:v>
                </c:pt>
              </c:strCache>
            </c:strRef>
          </c:tx>
          <c:spPr>
            <a:ln>
              <a:solidFill>
                <a:srgbClr val="C00000"/>
              </a:solidFill>
            </a:ln>
          </c:spPr>
          <c:marker>
            <c:symbol val="none"/>
          </c:marker>
          <c:cat>
            <c:numRef>
              <c:f>Sheet1!$L$3:$R$3</c:f>
              <c:numCache>
                <c:formatCode>General</c:formatCode>
                <c:ptCount val="7"/>
                <c:pt idx="0">
                  <c:v>2004</c:v>
                </c:pt>
                <c:pt idx="1">
                  <c:v>2005</c:v>
                </c:pt>
                <c:pt idx="2">
                  <c:v>2006</c:v>
                </c:pt>
                <c:pt idx="3">
                  <c:v>2007</c:v>
                </c:pt>
                <c:pt idx="4">
                  <c:v>2008</c:v>
                </c:pt>
                <c:pt idx="5">
                  <c:v>2009</c:v>
                </c:pt>
                <c:pt idx="6">
                  <c:v>2010</c:v>
                </c:pt>
              </c:numCache>
            </c:numRef>
          </c:cat>
          <c:val>
            <c:numRef>
              <c:f>Sheet1!$L$4:$R$4</c:f>
              <c:numCache>
                <c:formatCode>_ * #,##0_ ;_ * \-#,##0_ ;_ * "-"??_ ;_ @_ </c:formatCode>
                <c:ptCount val="7"/>
                <c:pt idx="0">
                  <c:v>62000</c:v>
                </c:pt>
                <c:pt idx="1">
                  <c:v>787000</c:v>
                </c:pt>
                <c:pt idx="2">
                  <c:v>1625000</c:v>
                </c:pt>
                <c:pt idx="3">
                  <c:v>4111000</c:v>
                </c:pt>
                <c:pt idx="4">
                  <c:v>6692000</c:v>
                </c:pt>
                <c:pt idx="5">
                  <c:v>9724000</c:v>
                </c:pt>
                <c:pt idx="6">
                  <c:v>10475000</c:v>
                </c:pt>
              </c:numCache>
            </c:numRef>
          </c:val>
          <c:smooth val="0"/>
        </c:ser>
        <c:dLbls>
          <c:showLegendKey val="0"/>
          <c:showVal val="0"/>
          <c:showCatName val="0"/>
          <c:showSerName val="0"/>
          <c:showPercent val="0"/>
          <c:showBubbleSize val="0"/>
        </c:dLbls>
        <c:marker val="1"/>
        <c:smooth val="0"/>
        <c:axId val="188216448"/>
        <c:axId val="188217984"/>
      </c:lineChart>
      <c:catAx>
        <c:axId val="188216448"/>
        <c:scaling>
          <c:orientation val="minMax"/>
        </c:scaling>
        <c:delete val="0"/>
        <c:axPos val="b"/>
        <c:numFmt formatCode="General" sourceLinked="1"/>
        <c:majorTickMark val="out"/>
        <c:minorTickMark val="none"/>
        <c:tickLblPos val="nextTo"/>
        <c:crossAx val="188217984"/>
        <c:crosses val="autoZero"/>
        <c:auto val="1"/>
        <c:lblAlgn val="ctr"/>
        <c:lblOffset val="100"/>
        <c:noMultiLvlLbl val="0"/>
      </c:catAx>
      <c:valAx>
        <c:axId val="188217984"/>
        <c:scaling>
          <c:orientation val="minMax"/>
        </c:scaling>
        <c:delete val="0"/>
        <c:axPos val="l"/>
        <c:majorGridlines/>
        <c:numFmt formatCode="_ * #,##0_ ;_ * \-#,##0_ ;_ * &quot;-&quot;??_ ;_ @_ " sourceLinked="1"/>
        <c:majorTickMark val="out"/>
        <c:minorTickMark val="none"/>
        <c:tickLblPos val="nextTo"/>
        <c:crossAx val="188216448"/>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4</ap:Pages>
  <ap:Words>1069</ap:Words>
  <ap:Characters>7142</ap:Characters>
  <ap:DocSecurity>0</ap:DocSecurity>
  <ap:Lines>130</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0x01010062D1966F94B0B3418EADFAB3F72FF187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