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27747" w:rsidR="008D6A89" w:rsidP="008D6A89" w:rsidRDefault="008D6A89">
      <w:pPr>
        <w:pStyle w:val="Naamondertekenaar"/>
        <w:widowControl/>
        <w:spacing w:line="276" w:lineRule="auto"/>
        <w:rPr>
          <w:rFonts w:ascii="Verdana" w:hAnsi="Verdana"/>
          <w:b/>
          <w:sz w:val="18"/>
          <w:szCs w:val="18"/>
        </w:rPr>
      </w:pPr>
      <w:r w:rsidRPr="00127747">
        <w:rPr>
          <w:rFonts w:ascii="Verdana" w:hAnsi="Verdana"/>
          <w:b/>
          <w:sz w:val="18"/>
          <w:szCs w:val="18"/>
        </w:rPr>
        <w:t>Bijl</w:t>
      </w:r>
      <w:r>
        <w:rPr>
          <w:rFonts w:ascii="Verdana" w:hAnsi="Verdana"/>
          <w:b/>
          <w:sz w:val="18"/>
          <w:szCs w:val="18"/>
        </w:rPr>
        <w:t>age 1: B</w:t>
      </w:r>
      <w:r w:rsidRPr="00127747">
        <w:rPr>
          <w:rFonts w:ascii="Verdana" w:hAnsi="Verdana"/>
          <w:b/>
          <w:sz w:val="18"/>
          <w:szCs w:val="18"/>
        </w:rPr>
        <w:t>udgettaire kerngegevens</w:t>
      </w:r>
    </w:p>
    <w:p w:rsidRPr="00127747" w:rsidR="008D6A89" w:rsidP="008D6A89" w:rsidRDefault="008D6A89">
      <w:pPr>
        <w:pStyle w:val="Naamondertekenaar"/>
        <w:widowControl/>
        <w:spacing w:line="276" w:lineRule="auto"/>
        <w:rPr>
          <w:rFonts w:ascii="Verdana" w:hAnsi="Verdana"/>
          <w:b/>
          <w:sz w:val="18"/>
          <w:szCs w:val="18"/>
        </w:rPr>
      </w:pPr>
    </w:p>
    <w:tbl>
      <w:tblPr>
        <w:tblStyle w:val="Lichtelijst-accent11"/>
        <w:tblW w:w="6408" w:type="dxa"/>
        <w:tblLook w:val="0020"/>
      </w:tblPr>
      <w:tblGrid>
        <w:gridCol w:w="5148"/>
        <w:gridCol w:w="1260"/>
      </w:tblGrid>
      <w:tr w:rsidRPr="00127747" w:rsidR="008D6A89" w:rsidTr="00A964F5">
        <w:trPr>
          <w:cnfStyle w:val="1000000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 w:val="0"/>
                <w:bCs w:val="0"/>
                <w:szCs w:val="18"/>
              </w:rPr>
            </w:pPr>
            <w:r w:rsidRPr="00127747">
              <w:rPr>
                <w:rFonts w:cs="Arial"/>
                <w:b w:val="0"/>
                <w:bCs w:val="0"/>
                <w:szCs w:val="18"/>
              </w:rPr>
              <w:t> (</w:t>
            </w:r>
            <w:r>
              <w:rPr>
                <w:rFonts w:cs="Arial"/>
                <w:b w:val="0"/>
                <w:bCs w:val="0"/>
                <w:szCs w:val="18"/>
              </w:rPr>
              <w:t>in miljarden euro</w:t>
            </w:r>
            <w:r w:rsidRPr="00127747">
              <w:rPr>
                <w:rFonts w:cs="Arial"/>
                <w:b w:val="0"/>
                <w:bCs w:val="0"/>
                <w:szCs w:val="18"/>
              </w:rPr>
              <w:t>)</w:t>
            </w:r>
          </w:p>
        </w:tc>
        <w:tc>
          <w:tcPr>
            <w:tcW w:w="1260" w:type="dxa"/>
            <w:noWrap/>
          </w:tcPr>
          <w:p w:rsidRPr="00127747" w:rsidR="008D6A89" w:rsidP="00A964F5" w:rsidRDefault="008D6A89">
            <w:pPr>
              <w:spacing w:line="276" w:lineRule="auto"/>
              <w:jc w:val="right"/>
              <w:cnfStyle w:val="100000000000"/>
              <w:rPr>
                <w:rFonts w:cs="Arial"/>
                <w:b w:val="0"/>
                <w:bCs w:val="0"/>
                <w:szCs w:val="18"/>
              </w:rPr>
            </w:pPr>
            <w:r w:rsidRPr="00127747">
              <w:rPr>
                <w:rFonts w:cs="Arial"/>
                <w:b w:val="0"/>
                <w:bCs w:val="0"/>
                <w:szCs w:val="18"/>
              </w:rPr>
              <w:t>2012</w:t>
            </w:r>
            <w:r>
              <w:rPr>
                <w:rFonts w:cs="Arial"/>
                <w:b w:val="0"/>
                <w:bCs w:val="0"/>
                <w:szCs w:val="18"/>
              </w:rPr>
              <w:t>*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127747">
              <w:rPr>
                <w:rFonts w:cs="Arial"/>
                <w:b/>
                <w:bCs/>
                <w:szCs w:val="18"/>
              </w:rPr>
              <w:t>Inkomsten (belastingen en sociale premies)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224,2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b/>
                <w:bCs/>
                <w:szCs w:val="18"/>
              </w:rPr>
            </w:pP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127747">
              <w:rPr>
                <w:rFonts w:cs="Arial"/>
                <w:b/>
                <w:bCs/>
                <w:szCs w:val="18"/>
              </w:rPr>
              <w:t>Netto uitgaven onder de kaders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248,6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  <w:r w:rsidRPr="00127747">
              <w:rPr>
                <w:rFonts w:cs="Arial"/>
                <w:szCs w:val="18"/>
              </w:rPr>
              <w:t>Rijksbegroting in enge zin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szCs w:val="18"/>
              </w:rPr>
            </w:pPr>
            <w:r w:rsidRPr="00AE6302">
              <w:rPr>
                <w:rFonts w:cs="Arial"/>
                <w:szCs w:val="18"/>
              </w:rPr>
              <w:t>113,2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  <w:r w:rsidRPr="00127747">
              <w:rPr>
                <w:rFonts w:cs="Arial"/>
                <w:szCs w:val="18"/>
              </w:rPr>
              <w:t>Sociale Zekerheid en Arbeidsmarkt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szCs w:val="18"/>
              </w:rPr>
            </w:pPr>
            <w:r w:rsidRPr="00AE6302">
              <w:rPr>
                <w:rFonts w:cs="Arial"/>
                <w:szCs w:val="18"/>
              </w:rPr>
              <w:t>71,1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  <w:r w:rsidRPr="00127747">
              <w:rPr>
                <w:rFonts w:cs="Arial"/>
                <w:szCs w:val="18"/>
              </w:rPr>
              <w:t>Budgettair Kader Zorg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szCs w:val="18"/>
              </w:rPr>
            </w:pPr>
            <w:r w:rsidRPr="00AE6302">
              <w:rPr>
                <w:rFonts w:cs="Arial"/>
                <w:szCs w:val="18"/>
              </w:rPr>
              <w:t>64,3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127747">
              <w:rPr>
                <w:rFonts w:cs="Arial"/>
                <w:b/>
                <w:bCs/>
                <w:szCs w:val="18"/>
              </w:rPr>
              <w:t>Overige netto uitgaven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-3,0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Zorgtoeslag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szCs w:val="18"/>
              </w:rPr>
            </w:pPr>
            <w:r w:rsidRPr="00AE6302">
              <w:rPr>
                <w:rFonts w:cs="Arial"/>
                <w:szCs w:val="18"/>
              </w:rPr>
              <w:t>4,4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Gasbaten (kasbasis)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szCs w:val="18"/>
              </w:rPr>
            </w:pPr>
            <w:r w:rsidRPr="00AE6302">
              <w:rPr>
                <w:rFonts w:cs="Arial"/>
                <w:szCs w:val="18"/>
              </w:rPr>
              <w:t>-11,8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  <w:r w:rsidRPr="00127747">
              <w:rPr>
                <w:rFonts w:cs="Arial"/>
                <w:szCs w:val="18"/>
              </w:rPr>
              <w:t>Overig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szCs w:val="18"/>
              </w:rPr>
            </w:pPr>
            <w:r w:rsidRPr="00AE6302">
              <w:rPr>
                <w:rFonts w:cs="Arial"/>
                <w:szCs w:val="18"/>
              </w:rPr>
              <w:t>4,3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127747">
              <w:rPr>
                <w:rFonts w:cs="Arial"/>
                <w:b/>
                <w:bCs/>
                <w:szCs w:val="18"/>
              </w:rPr>
              <w:t>Totale netto uitgaven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245,5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cnfStyle w:val="000000000000"/>
              <w:rPr>
                <w:rFonts w:cs="Arial"/>
                <w:szCs w:val="18"/>
              </w:rPr>
            </w:pP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127747">
              <w:rPr>
                <w:rFonts w:cs="Arial"/>
                <w:b/>
                <w:bCs/>
                <w:szCs w:val="18"/>
              </w:rPr>
              <w:t>EMU-saldo centrale overheid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-21,4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cnfStyle w:val="000000000000"/>
              <w:rPr>
                <w:rFonts w:cs="Arial"/>
                <w:szCs w:val="18"/>
              </w:rPr>
            </w:pP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EB632F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EB632F">
              <w:rPr>
                <w:rFonts w:cs="Arial"/>
                <w:b/>
                <w:bCs/>
                <w:szCs w:val="18"/>
              </w:rPr>
              <w:t>EMU-saldo lokale overheden</w:t>
            </w:r>
          </w:p>
        </w:tc>
        <w:tc>
          <w:tcPr>
            <w:tcW w:w="1260" w:type="dxa"/>
            <w:noWrap/>
            <w:vAlign w:val="bottom"/>
          </w:tcPr>
          <w:p w:rsidRPr="00EB632F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EB632F">
              <w:rPr>
                <w:rFonts w:cs="Arial"/>
                <w:b/>
                <w:bCs/>
                <w:szCs w:val="18"/>
              </w:rPr>
              <w:t>-4,0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cnfStyle w:val="000000000000"/>
              <w:rPr>
                <w:rFonts w:cs="Arial"/>
                <w:szCs w:val="18"/>
              </w:rPr>
            </w:pP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 w:rsidRPr="00127747">
              <w:rPr>
                <w:rFonts w:cs="Arial"/>
                <w:b/>
                <w:bCs/>
                <w:szCs w:val="18"/>
              </w:rPr>
              <w:t>Feitelijk EMU-saldo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-25,3</w:t>
            </w: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Feitelijk EMU-saldo (in procenten</w:t>
            </w:r>
            <w:r w:rsidRPr="00127747">
              <w:rPr>
                <w:rFonts w:cs="Arial"/>
                <w:b/>
                <w:bCs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Cs w:val="18"/>
              </w:rPr>
              <w:t>bbp</w:t>
            </w:r>
            <w:r w:rsidRPr="00127747">
              <w:rPr>
                <w:rFonts w:cs="Arial"/>
                <w:b/>
                <w:bCs/>
                <w:szCs w:val="18"/>
              </w:rPr>
              <w:t>)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-4,2%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EMU-schuld (in procenten</w:t>
            </w:r>
            <w:r w:rsidRPr="00127747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bbp</w:t>
            </w:r>
            <w:r w:rsidRPr="00127747">
              <w:rPr>
                <w:rFonts w:cs="Arial"/>
                <w:b/>
                <w:szCs w:val="18"/>
              </w:rPr>
              <w:t>)</w:t>
            </w: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000000"/>
              <w:rPr>
                <w:rFonts w:cs="Arial"/>
                <w:b/>
                <w:bCs/>
                <w:szCs w:val="18"/>
              </w:rPr>
            </w:pPr>
            <w:r w:rsidRPr="00AE6302">
              <w:rPr>
                <w:rFonts w:cs="Arial"/>
                <w:b/>
                <w:bCs/>
                <w:szCs w:val="18"/>
              </w:rPr>
              <w:t>69,5%</w:t>
            </w:r>
          </w:p>
        </w:tc>
      </w:tr>
      <w:tr w:rsidRPr="00127747" w:rsidR="008D6A89" w:rsidTr="00A964F5">
        <w:trPr>
          <w:cnfStyle w:val="000000100000"/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1260" w:type="dxa"/>
            <w:noWrap/>
            <w:vAlign w:val="bottom"/>
          </w:tcPr>
          <w:p w:rsidRPr="00AE6302" w:rsidR="008D6A89" w:rsidP="00A964F5" w:rsidRDefault="008D6A89">
            <w:pPr>
              <w:jc w:val="right"/>
              <w:cnfStyle w:val="000000100000"/>
              <w:rPr>
                <w:rFonts w:cs="Arial"/>
                <w:b/>
                <w:bCs/>
                <w:szCs w:val="18"/>
              </w:rPr>
            </w:pPr>
          </w:p>
        </w:tc>
      </w:tr>
      <w:tr w:rsidRPr="00127747" w:rsidR="008D6A89" w:rsidTr="00A964F5">
        <w:trPr>
          <w:trHeight w:val="255"/>
        </w:trPr>
        <w:tc>
          <w:tcPr>
            <w:cnfStyle w:val="000010000000"/>
            <w:tcW w:w="5148" w:type="dxa"/>
            <w:noWrap/>
          </w:tcPr>
          <w:p w:rsidRPr="00127747" w:rsidR="008D6A89" w:rsidP="00A964F5" w:rsidRDefault="008D6A89">
            <w:pPr>
              <w:spacing w:line="276" w:lineRule="auto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bbp</w:t>
            </w:r>
          </w:p>
        </w:tc>
        <w:tc>
          <w:tcPr>
            <w:tcW w:w="1260" w:type="dxa"/>
            <w:noWrap/>
            <w:vAlign w:val="bottom"/>
          </w:tcPr>
          <w:p w:rsidR="008D6A89" w:rsidP="00A964F5" w:rsidRDefault="008D6A89">
            <w:pPr>
              <w:jc w:val="right"/>
              <w:cnfStyle w:val="00000000000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6302">
              <w:rPr>
                <w:rFonts w:cs="Arial"/>
                <w:b/>
                <w:bCs/>
                <w:szCs w:val="18"/>
              </w:rPr>
              <w:t>609</w:t>
            </w:r>
          </w:p>
        </w:tc>
      </w:tr>
    </w:tbl>
    <w:p w:rsidR="008D6A89" w:rsidP="008D6A89" w:rsidRDefault="008D6A89">
      <w:pPr>
        <w:pStyle w:val="Naamondertekenaar"/>
        <w:widowControl/>
        <w:spacing w:line="240" w:lineRule="auto"/>
        <w:rPr>
          <w:rFonts w:ascii="Verdana" w:hAnsi="Verdana"/>
          <w:sz w:val="16"/>
          <w:szCs w:val="16"/>
        </w:rPr>
      </w:pPr>
      <w:r w:rsidRPr="007C21C5">
        <w:rPr>
          <w:rFonts w:ascii="Verdana" w:hAnsi="Verdana"/>
          <w:sz w:val="16"/>
          <w:szCs w:val="16"/>
        </w:rPr>
        <w:t xml:space="preserve">*Wegens afronding </w:t>
      </w:r>
      <w:r>
        <w:rPr>
          <w:rFonts w:ascii="Verdana" w:hAnsi="Verdana"/>
          <w:sz w:val="16"/>
          <w:szCs w:val="16"/>
        </w:rPr>
        <w:t>wijkt de som der delen af van het totaal.</w:t>
      </w:r>
    </w:p>
    <w:p w:rsidR="007A228F" w:rsidP="008D6A89" w:rsidRDefault="007A228F"/>
    <w:sectPr w:rsidR="007A228F" w:rsidSect="007A22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removePersonalInformation/>
  <w:removeDateAndTime/>
  <w:defaultTabStop w:val="708"/>
  <w:hyphenationZone w:val="425"/>
  <w:characterSpacingControl w:val="doNotCompress"/>
  <w:compat/>
  <w:rsids>
    <w:rsidRoot w:val="008D6A89"/>
    <w:rsid w:val="00001B7C"/>
    <w:rsid w:val="00136A2C"/>
    <w:rsid w:val="007A228F"/>
    <w:rsid w:val="00824920"/>
    <w:rsid w:val="008B3CC3"/>
    <w:rsid w:val="008D6A89"/>
    <w:rsid w:val="009A089B"/>
    <w:rsid w:val="009A4CBD"/>
    <w:rsid w:val="009D4FAD"/>
    <w:rsid w:val="00D93C79"/>
    <w:rsid w:val="00ED026E"/>
    <w:rsid w:val="00F4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6A8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Titel"/>
    <w:next w:val="Standaard"/>
    <w:link w:val="Kop1Char"/>
    <w:uiPriority w:val="9"/>
    <w:qFormat/>
    <w:rsid w:val="00001B7C"/>
    <w:pPr>
      <w:keepNext/>
      <w:keepLines/>
      <w:spacing w:after="600"/>
      <w:outlineLvl w:val="0"/>
    </w:pPr>
    <w:rPr>
      <w:color w:val="auto"/>
      <w:sz w:val="4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1B7C"/>
    <w:pPr>
      <w:keepNext/>
      <w:keepLines/>
      <w:spacing w:before="600" w:after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01B7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Cs/>
      <w:i/>
      <w:sz w:val="26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01B7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Cs/>
      <w:i/>
      <w:iCs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1B7C"/>
    <w:rPr>
      <w:rFonts w:asciiTheme="majorHAnsi" w:eastAsiaTheme="majorEastAsia" w:hAnsiTheme="majorHAnsi" w:cstheme="majorBidi"/>
      <w:spacing w:val="5"/>
      <w:kern w:val="28"/>
      <w:sz w:val="40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001B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001B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001B7C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01B7C"/>
    <w:rPr>
      <w:rFonts w:asciiTheme="majorHAnsi" w:eastAsiaTheme="majorEastAsia" w:hAnsiTheme="majorHAnsi" w:cstheme="majorBidi"/>
      <w:bCs/>
      <w:i/>
      <w:sz w:val="26"/>
    </w:rPr>
  </w:style>
  <w:style w:type="character" w:customStyle="1" w:styleId="Kop4Char">
    <w:name w:val="Kop 4 Char"/>
    <w:basedOn w:val="Standaardalinea-lettertype"/>
    <w:link w:val="Kop4"/>
    <w:uiPriority w:val="9"/>
    <w:rsid w:val="00001B7C"/>
    <w:rPr>
      <w:rFonts w:asciiTheme="majorHAnsi" w:eastAsiaTheme="majorEastAsia" w:hAnsiTheme="majorHAnsi" w:cstheme="majorBidi"/>
      <w:bCs/>
      <w:i/>
      <w:iCs/>
    </w:rPr>
  </w:style>
  <w:style w:type="paragraph" w:styleId="Geenafstand">
    <w:name w:val="No Spacing"/>
    <w:uiPriority w:val="1"/>
    <w:qFormat/>
    <w:rsid w:val="00001B7C"/>
    <w:pPr>
      <w:spacing w:after="0" w:line="240" w:lineRule="auto"/>
    </w:pPr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001B7C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color w:val="244061" w:themeColor="accent1" w:themeShade="80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01B7C"/>
    <w:pPr>
      <w:pBdr>
        <w:bottom w:val="none" w:sz="0" w:space="0" w:color="auto"/>
      </w:pBdr>
      <w:spacing w:before="480" w:after="0" w:line="276" w:lineRule="auto"/>
      <w:contextualSpacing w:val="0"/>
      <w:outlineLvl w:val="9"/>
    </w:pPr>
    <w:rPr>
      <w:b/>
      <w:bCs/>
      <w:color w:val="365F91" w:themeColor="accent1" w:themeShade="BF"/>
      <w:spacing w:val="0"/>
      <w:kern w:val="0"/>
      <w:sz w:val="28"/>
    </w:rPr>
  </w:style>
  <w:style w:type="paragraph" w:customStyle="1" w:styleId="Naamondertekenaar">
    <w:name w:val="Naam ondertekenaar"/>
    <w:basedOn w:val="Standaard"/>
    <w:rsid w:val="008D6A89"/>
    <w:pPr>
      <w:widowControl w:val="0"/>
      <w:suppressAutoHyphens/>
      <w:spacing w:after="80" w:line="360" w:lineRule="auto"/>
    </w:pPr>
    <w:rPr>
      <w:rFonts w:ascii="Arial" w:hAnsi="Arial"/>
      <w:sz w:val="20"/>
      <w:szCs w:val="20"/>
    </w:rPr>
  </w:style>
  <w:style w:type="table" w:customStyle="1" w:styleId="Lichtelijst-accent11">
    <w:name w:val="Lichte lijst - accent 11"/>
    <w:basedOn w:val="Standaardtabel"/>
    <w:uiPriority w:val="61"/>
    <w:rsid w:val="008D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2012-05-25T11:11:00.0000000Z</dcterms:created>
  <dcterms:modified xsi:type="dcterms:W3CDTF">2012-05-25T11:11:00.0000000Z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0x010100E3D37B3CF4EC304DB398ABF09B4024E2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