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9F1987" w:rsidR="00543E2A" w:rsidP="00F70087" w:rsidRDefault="00543E2A">
      <w:pPr>
        <w:spacing w:after="0" w:line="240" w:lineRule="atLeast"/>
        <w:rPr>
          <w:rFonts w:ascii="Verdana" w:hAnsi="Verdana"/>
          <w:b/>
          <w:sz w:val="18"/>
          <w:szCs w:val="18"/>
        </w:rPr>
      </w:pPr>
      <w:r w:rsidRPr="009F1987">
        <w:rPr>
          <w:rFonts w:ascii="Verdana" w:hAnsi="Verdana"/>
          <w:b/>
          <w:sz w:val="18"/>
          <w:szCs w:val="18"/>
        </w:rPr>
        <w:t>Rapportage burgerbrieven VWS 2011</w:t>
      </w:r>
    </w:p>
    <w:p w:rsidRPr="009F1987" w:rsidR="00543E2A" w:rsidP="00F70087" w:rsidRDefault="00543E2A">
      <w:pPr>
        <w:spacing w:after="0" w:line="240" w:lineRule="atLeast"/>
        <w:rPr>
          <w:rFonts w:ascii="Verdana" w:hAnsi="Verdana"/>
          <w:b/>
          <w:sz w:val="18"/>
          <w:szCs w:val="18"/>
        </w:rPr>
      </w:pPr>
    </w:p>
    <w:p w:rsidRPr="009F1987" w:rsidR="00543E2A" w:rsidP="00F70087" w:rsidRDefault="00543E2A">
      <w:pPr>
        <w:spacing w:after="0" w:line="240" w:lineRule="atLeast"/>
        <w:rPr>
          <w:rFonts w:ascii="Verdana" w:hAnsi="Verdana"/>
          <w:b/>
          <w:sz w:val="18"/>
          <w:szCs w:val="18"/>
        </w:rPr>
      </w:pPr>
      <w:r w:rsidRPr="009F1987">
        <w:rPr>
          <w:rFonts w:ascii="Verdana" w:hAnsi="Verdana"/>
          <w:b/>
          <w:sz w:val="18"/>
          <w:szCs w:val="18"/>
        </w:rPr>
        <w:t>Algemeen</w:t>
      </w:r>
    </w:p>
    <w:p w:rsidRPr="009F1987" w:rsidR="00543E2A" w:rsidP="00F70087" w:rsidRDefault="00543E2A">
      <w:pPr>
        <w:spacing w:after="0" w:line="240" w:lineRule="atLeast"/>
        <w:jc w:val="both"/>
        <w:rPr>
          <w:rFonts w:ascii="Verdana" w:hAnsi="Verdana"/>
          <w:sz w:val="18"/>
          <w:szCs w:val="18"/>
        </w:rPr>
      </w:pPr>
    </w:p>
    <w:p w:rsidRPr="00635E45" w:rsidR="00543E2A" w:rsidP="00635E45" w:rsidRDefault="00543E2A">
      <w:pPr>
        <w:spacing w:after="0" w:line="240" w:lineRule="atLeast"/>
        <w:jc w:val="both"/>
        <w:rPr>
          <w:rFonts w:ascii="Verdana" w:hAnsi="Verdana"/>
          <w:sz w:val="18"/>
          <w:szCs w:val="18"/>
        </w:rPr>
      </w:pPr>
      <w:r w:rsidRPr="009F1987">
        <w:rPr>
          <w:rFonts w:ascii="Verdana" w:hAnsi="Verdana"/>
          <w:sz w:val="18"/>
          <w:szCs w:val="18"/>
        </w:rPr>
        <w:t xml:space="preserve">Het Ministerie van Volksgezondheid, Welzijn en Sport (VWS) rapporteert hierbij over de periode 1 januari 2011 tot en met 31 december 2011 betreffende het kerndepartement en de onder VWS ressorterende uitvoeringsorganisaties en inspecties. Om de vergelijking met eerdere jaren mogelijk te maken en trends te herkennen heeft VWS getracht deze rapportage zoveel als mogelijk te laten aansluiten bij de rapportage van de Nationale Ombudsman uit </w:t>
      </w:r>
      <w:r>
        <w:rPr>
          <w:rFonts w:ascii="Verdana" w:hAnsi="Verdana"/>
          <w:sz w:val="18"/>
          <w:szCs w:val="18"/>
        </w:rPr>
        <w:t>2008 getiteld: ‘</w:t>
      </w:r>
      <w:r w:rsidRPr="009F1987">
        <w:rPr>
          <w:rFonts w:ascii="Verdana" w:hAnsi="Verdana"/>
          <w:sz w:val="18"/>
          <w:szCs w:val="18"/>
        </w:rPr>
        <w:t>Behandeling burgerbrieven kan behoorlijker. Onderzoek uit eigen beweging naar de behandeling van burgerbrieven in 2007 door ministeries’.</w:t>
      </w:r>
      <w:r>
        <w:rPr>
          <w:rFonts w:ascii="Verdana" w:hAnsi="Verdana"/>
          <w:sz w:val="18"/>
          <w:szCs w:val="18"/>
        </w:rPr>
        <w:t xml:space="preserve"> </w:t>
      </w:r>
      <w:r w:rsidRPr="00635E45">
        <w:rPr>
          <w:rFonts w:ascii="Verdana" w:hAnsi="Verdana" w:eastAsia="BemboStd" w:cs="BemboStd"/>
          <w:sz w:val="18"/>
          <w:szCs w:val="18"/>
        </w:rPr>
        <w:t xml:space="preserve">In </w:t>
      </w:r>
      <w:r>
        <w:rPr>
          <w:rFonts w:ascii="Verdana" w:hAnsi="Verdana" w:eastAsia="BemboStd" w:cs="BemboStd"/>
          <w:sz w:val="18"/>
          <w:szCs w:val="18"/>
        </w:rPr>
        <w:t>het</w:t>
      </w:r>
      <w:r w:rsidRPr="00635E45">
        <w:rPr>
          <w:rFonts w:ascii="Verdana" w:hAnsi="Verdana" w:eastAsia="BemboStd" w:cs="BemboStd"/>
          <w:sz w:val="18"/>
          <w:szCs w:val="18"/>
        </w:rPr>
        <w:t xml:space="preserve"> onderzoek is gekeken naar aanvragen, bezwaarschriften, klaagschriften en</w:t>
      </w:r>
      <w:r>
        <w:rPr>
          <w:rFonts w:ascii="Verdana" w:hAnsi="Verdana"/>
          <w:sz w:val="18"/>
          <w:szCs w:val="18"/>
        </w:rPr>
        <w:t xml:space="preserve"> </w:t>
      </w:r>
      <w:r w:rsidRPr="00635E45">
        <w:rPr>
          <w:rFonts w:ascii="Verdana" w:hAnsi="Verdana" w:eastAsia="BemboStd" w:cs="BemboStd"/>
          <w:sz w:val="18"/>
          <w:szCs w:val="18"/>
        </w:rPr>
        <w:t>andere brieven.</w:t>
      </w:r>
      <w:r>
        <w:rPr>
          <w:rFonts w:ascii="Verdana" w:hAnsi="Verdana" w:eastAsia="BemboStd" w:cs="BemboStd"/>
          <w:sz w:val="18"/>
          <w:szCs w:val="18"/>
        </w:rPr>
        <w:t xml:space="preserve"> De opzet van de rapportage sluit hierbij aan.</w:t>
      </w:r>
    </w:p>
    <w:p w:rsidRPr="009F1987" w:rsidR="00543E2A" w:rsidP="00F70087" w:rsidRDefault="00543E2A">
      <w:pPr>
        <w:spacing w:after="0" w:line="240" w:lineRule="atLeast"/>
        <w:jc w:val="both"/>
        <w:rPr>
          <w:rFonts w:ascii="Verdana" w:hAnsi="Verdana"/>
          <w:sz w:val="18"/>
          <w:szCs w:val="18"/>
        </w:rPr>
      </w:pPr>
    </w:p>
    <w:p w:rsidRPr="009F1987" w:rsidR="00543E2A" w:rsidP="00F70087" w:rsidRDefault="00543E2A">
      <w:pPr>
        <w:spacing w:after="0" w:line="240" w:lineRule="atLeast"/>
        <w:jc w:val="both"/>
        <w:rPr>
          <w:rFonts w:ascii="Verdana" w:hAnsi="Verdana"/>
          <w:sz w:val="18"/>
          <w:szCs w:val="18"/>
        </w:rPr>
      </w:pPr>
      <w:r w:rsidRPr="009F1987">
        <w:rPr>
          <w:rFonts w:ascii="Verdana" w:hAnsi="Verdana"/>
          <w:sz w:val="18"/>
          <w:szCs w:val="18"/>
        </w:rPr>
        <w:t xml:space="preserve">De rapportage is opgesteld tegen de achtergrond van een aantal ontwikkelingen. Het beleidsterrein VWS staat in het middelpunt van de publieke belangstelling. Het aantal (burger)brieven, klaag- en bezwaarschriften is daarom ook groot. VWS zet zich constant in om de stukkenstroom en afhandeling steeds efficiënter en sneller te laten verlopen. Zo is bijvoorbeeld in de tweede helft van 2011 het traject ‘versnelling afdoening bezwaarschriften’ ingevoerd. De gemiddelde behandelduur is daarmee sterk verkort tot </w:t>
      </w:r>
      <w:r>
        <w:rPr>
          <w:rFonts w:ascii="Verdana" w:hAnsi="Verdana"/>
          <w:sz w:val="18"/>
          <w:szCs w:val="18"/>
        </w:rPr>
        <w:t>tien</w:t>
      </w:r>
      <w:r w:rsidRPr="009F1987">
        <w:rPr>
          <w:rFonts w:ascii="Verdana" w:hAnsi="Verdana"/>
          <w:sz w:val="18"/>
          <w:szCs w:val="18"/>
        </w:rPr>
        <w:t xml:space="preserve"> weken en het percentage bezwaarschriften dat op tijd werd afgehandeld is in de loop van 2011 aanzienlijk toegenomen. Het laatste kwartaal van 2011 is het percentage zelfs 98% (jaarbasis 2011: 77%, jaarbasis 2010: 30%). De afgelopen jaren is er geïnvesteerd in projecten als ‘Digitalisering documenthuishouding VWS’ en applicaties zoals Subsidieplein en Marjolein (voor beantwoording Kamervragen) die een betere registratie en afhandeling mogelijk </w:t>
      </w:r>
      <w:r>
        <w:rPr>
          <w:rFonts w:ascii="Verdana" w:hAnsi="Verdana"/>
          <w:sz w:val="18"/>
          <w:szCs w:val="18"/>
        </w:rPr>
        <w:t>hebben</w:t>
      </w:r>
      <w:r w:rsidRPr="009F1987">
        <w:rPr>
          <w:rFonts w:ascii="Verdana" w:hAnsi="Verdana"/>
          <w:sz w:val="18"/>
          <w:szCs w:val="18"/>
        </w:rPr>
        <w:t xml:space="preserve"> gemaakt.</w:t>
      </w:r>
    </w:p>
    <w:p w:rsidRPr="009F1987" w:rsidR="00543E2A" w:rsidP="00F70087" w:rsidRDefault="00543E2A">
      <w:pPr>
        <w:spacing w:after="0" w:line="240" w:lineRule="atLeast"/>
        <w:jc w:val="both"/>
        <w:rPr>
          <w:rFonts w:ascii="Verdana" w:hAnsi="Verdana"/>
          <w:sz w:val="18"/>
          <w:szCs w:val="18"/>
        </w:rPr>
      </w:pPr>
    </w:p>
    <w:p w:rsidRPr="009F1987" w:rsidR="00543E2A" w:rsidP="00F70087" w:rsidRDefault="00543E2A">
      <w:pPr>
        <w:spacing w:after="0" w:line="240" w:lineRule="atLeast"/>
        <w:jc w:val="both"/>
        <w:rPr>
          <w:rFonts w:ascii="Verdana" w:hAnsi="Verdana"/>
          <w:sz w:val="18"/>
          <w:szCs w:val="18"/>
        </w:rPr>
      </w:pPr>
      <w:r>
        <w:rPr>
          <w:rFonts w:ascii="Verdana" w:hAnsi="Verdana"/>
          <w:sz w:val="18"/>
          <w:szCs w:val="18"/>
        </w:rPr>
        <w:t>D</w:t>
      </w:r>
      <w:r w:rsidRPr="00F057DC">
        <w:rPr>
          <w:rFonts w:ascii="Verdana" w:hAnsi="Verdana"/>
          <w:sz w:val="18"/>
          <w:szCs w:val="18"/>
        </w:rPr>
        <w:t>e rapportage</w:t>
      </w:r>
      <w:r>
        <w:rPr>
          <w:rFonts w:ascii="Verdana" w:hAnsi="Verdana"/>
          <w:sz w:val="18"/>
          <w:szCs w:val="18"/>
        </w:rPr>
        <w:t xml:space="preserve"> gaat achtereenvolgens</w:t>
      </w:r>
      <w:r w:rsidRPr="00F057DC">
        <w:rPr>
          <w:rFonts w:ascii="Verdana" w:hAnsi="Verdana"/>
          <w:sz w:val="18"/>
          <w:szCs w:val="18"/>
        </w:rPr>
        <w:t xml:space="preserve"> in op het aantal en tijdigheid van beantwoording van aanvragen, bezwaarschriften, klaagschriften, overige brieven en Wob-verzoeken ontvangen door het kerndepartement, de uitvoerende diensten (CBG, CIBG, RIVM, GR, NVI en SCP) en de inspecties (IJZ en IGZ) in 2011. Daarnaast wordt ook nog kort ingegaan op de behandeling van binnengekomen e-mails van burgers.</w:t>
      </w:r>
      <w:r w:rsidRPr="009F1987">
        <w:rPr>
          <w:rFonts w:ascii="Verdana" w:hAnsi="Verdana"/>
          <w:sz w:val="18"/>
          <w:szCs w:val="18"/>
        </w:rPr>
        <w:t xml:space="preserve"> </w:t>
      </w:r>
    </w:p>
    <w:p w:rsidRPr="009F1987" w:rsidR="00543E2A" w:rsidP="00F70087" w:rsidRDefault="00543E2A">
      <w:pPr>
        <w:spacing w:after="0" w:line="240" w:lineRule="atLeast"/>
        <w:rPr>
          <w:rFonts w:ascii="Verdana" w:hAnsi="Verdana"/>
          <w:b/>
          <w:sz w:val="18"/>
          <w:szCs w:val="18"/>
        </w:rPr>
      </w:pPr>
    </w:p>
    <w:p w:rsidRPr="009F1987" w:rsidR="00543E2A" w:rsidP="00F70087" w:rsidRDefault="00543E2A">
      <w:pPr>
        <w:spacing w:after="0" w:line="240" w:lineRule="atLeast"/>
        <w:rPr>
          <w:rFonts w:ascii="Verdana" w:hAnsi="Verdana"/>
          <w:b/>
          <w:sz w:val="18"/>
          <w:szCs w:val="18"/>
        </w:rPr>
      </w:pPr>
      <w:r w:rsidRPr="009F1987">
        <w:rPr>
          <w:rFonts w:ascii="Verdana" w:hAnsi="Verdana"/>
          <w:b/>
          <w:sz w:val="18"/>
          <w:szCs w:val="18"/>
        </w:rPr>
        <w:t>Aanvragen</w:t>
      </w:r>
    </w:p>
    <w:p w:rsidRPr="009F1987" w:rsidR="00543E2A" w:rsidP="00F70087" w:rsidRDefault="00543E2A">
      <w:pPr>
        <w:spacing w:after="0" w:line="240" w:lineRule="atLeast"/>
        <w:rPr>
          <w:rFonts w:ascii="Verdana" w:hAnsi="Verdana"/>
          <w:i/>
          <w:sz w:val="18"/>
          <w:szCs w:val="18"/>
        </w:rPr>
      </w:pPr>
    </w:p>
    <w:p w:rsidRPr="009F1987" w:rsidR="00543E2A" w:rsidP="00F70087" w:rsidRDefault="00543E2A">
      <w:pPr>
        <w:spacing w:after="0" w:line="240" w:lineRule="atLeast"/>
        <w:rPr>
          <w:rFonts w:ascii="Verdana" w:hAnsi="Verdana"/>
          <w:i/>
          <w:sz w:val="18"/>
          <w:szCs w:val="18"/>
        </w:rPr>
      </w:pPr>
      <w:r w:rsidRPr="009F1987">
        <w:rPr>
          <w:rFonts w:ascii="Verdana" w:hAnsi="Verdana"/>
          <w:i/>
          <w:sz w:val="18"/>
          <w:szCs w:val="18"/>
        </w:rPr>
        <w:t>Subsidieaanvragen VWS Kerndepartement</w:t>
      </w:r>
    </w:p>
    <w:p w:rsidRPr="009F1987" w:rsidR="00543E2A" w:rsidP="00F70087" w:rsidRDefault="00543E2A">
      <w:pPr>
        <w:spacing w:after="0" w:line="240" w:lineRule="atLeast"/>
        <w:jc w:val="both"/>
        <w:rPr>
          <w:rFonts w:ascii="Verdana" w:hAnsi="Verdana"/>
          <w:sz w:val="18"/>
          <w:szCs w:val="18"/>
        </w:rPr>
      </w:pPr>
    </w:p>
    <w:p w:rsidRPr="009F1987" w:rsidR="00543E2A" w:rsidP="00F70087" w:rsidRDefault="00543E2A">
      <w:pPr>
        <w:spacing w:after="0" w:line="240" w:lineRule="atLeast"/>
        <w:jc w:val="both"/>
        <w:rPr>
          <w:rFonts w:ascii="Verdana" w:hAnsi="Verdana"/>
          <w:sz w:val="18"/>
          <w:szCs w:val="18"/>
        </w:rPr>
      </w:pPr>
      <w:r w:rsidRPr="009F1987">
        <w:rPr>
          <w:rFonts w:ascii="Verdana" w:hAnsi="Verdana"/>
          <w:sz w:val="18"/>
          <w:szCs w:val="18"/>
        </w:rPr>
        <w:t xml:space="preserve">Inkomende subsidieaanvragen worden door het kerndepartement geregistreerd, ook de subsidieaanvragen bij de uitvoeringsdiensten worden hierbij meegenomen. In 2011 werden bij het kerndepartement 3.297 subsidieaanvragen geregistreerd (waarvan 1.500 via het Subsidieplein). Bij de uitvoerende diensten zijn </w:t>
      </w:r>
      <w:r w:rsidRPr="009F1987">
        <w:rPr>
          <w:rFonts w:ascii="Verdana" w:hAnsi="Verdana" w:cs="Arial"/>
          <w:sz w:val="18"/>
          <w:szCs w:val="18"/>
        </w:rPr>
        <w:t>1.557 subsidieaanvragen geregistreerd (totaal 4.854 subsidieaanvragen)</w:t>
      </w:r>
      <w:r w:rsidRPr="009F1987">
        <w:rPr>
          <w:rFonts w:ascii="Verdana" w:hAnsi="Verdana"/>
          <w:sz w:val="18"/>
          <w:szCs w:val="18"/>
        </w:rPr>
        <w:t>. Van de verleende subsidies is 96% binnen de termijn van 13 weken afgehandeld.</w:t>
      </w:r>
      <w:r>
        <w:rPr>
          <w:rFonts w:ascii="Verdana" w:hAnsi="Verdana" w:cs="Arial"/>
          <w:iCs/>
          <w:sz w:val="18"/>
          <w:szCs w:val="18"/>
        </w:rPr>
        <w:t xml:space="preserve"> Dit is een verbetering</w:t>
      </w:r>
      <w:r w:rsidRPr="009F1987">
        <w:rPr>
          <w:rFonts w:ascii="Verdana" w:hAnsi="Verdana" w:cs="Arial"/>
          <w:iCs/>
          <w:sz w:val="18"/>
          <w:szCs w:val="18"/>
        </w:rPr>
        <w:t xml:space="preserve"> van meer dan 10% ten opzichte van 2010 (2010: 85%). </w:t>
      </w:r>
      <w:r w:rsidRPr="009F1987">
        <w:rPr>
          <w:rFonts w:ascii="Verdana" w:hAnsi="Verdana"/>
          <w:sz w:val="18"/>
          <w:szCs w:val="18"/>
        </w:rPr>
        <w:t>Het aantal aanvragen voor de kern is nauwelijks gewijzigd ten opzichte van 2010.</w:t>
      </w:r>
      <w:r w:rsidRPr="009F1987">
        <w:rPr>
          <w:rFonts w:ascii="Verdana" w:hAnsi="Verdana" w:cs="Arial"/>
          <w:b/>
          <w:iCs/>
          <w:sz w:val="18"/>
          <w:szCs w:val="18"/>
        </w:rPr>
        <w:t xml:space="preserve"> </w:t>
      </w:r>
      <w:r w:rsidRPr="009F1987">
        <w:rPr>
          <w:rFonts w:ascii="Verdana" w:hAnsi="Verdana"/>
          <w:sz w:val="18"/>
          <w:szCs w:val="18"/>
        </w:rPr>
        <w:t>Het aantal</w:t>
      </w:r>
      <w:r>
        <w:rPr>
          <w:rFonts w:ascii="Verdana" w:hAnsi="Verdana"/>
          <w:sz w:val="18"/>
          <w:szCs w:val="18"/>
        </w:rPr>
        <w:t xml:space="preserve"> aanvragen</w:t>
      </w:r>
      <w:r w:rsidRPr="009F1987">
        <w:rPr>
          <w:rFonts w:ascii="Verdana" w:hAnsi="Verdana"/>
          <w:sz w:val="18"/>
          <w:szCs w:val="18"/>
        </w:rPr>
        <w:t xml:space="preserve"> bij de uitvoerende diensten is ten opzichte van </w:t>
      </w:r>
      <w:r>
        <w:rPr>
          <w:rFonts w:ascii="Verdana" w:hAnsi="Verdana"/>
          <w:sz w:val="18"/>
          <w:szCs w:val="18"/>
        </w:rPr>
        <w:t>2010</w:t>
      </w:r>
      <w:r w:rsidRPr="009F1987">
        <w:rPr>
          <w:rFonts w:ascii="Verdana" w:hAnsi="Verdana"/>
          <w:sz w:val="18"/>
          <w:szCs w:val="18"/>
        </w:rPr>
        <w:t xml:space="preserve"> afgenomen. Dit komt voornamelijk door het stoppen van de subsidies voor het aansluiten van zorgaanbieders op het Landelijk Schakelpunt voor de ontwikkeling van het Elektronisch Patiënten Dossier (EPD). </w:t>
      </w:r>
    </w:p>
    <w:p w:rsidRPr="009F1987" w:rsidR="00543E2A" w:rsidP="00F70087" w:rsidRDefault="00543E2A">
      <w:pPr>
        <w:spacing w:after="0" w:line="240" w:lineRule="atLeast"/>
        <w:jc w:val="both"/>
        <w:rPr>
          <w:rFonts w:ascii="Verdana" w:hAnsi="Verdana"/>
          <w:sz w:val="18"/>
          <w:szCs w:val="18"/>
        </w:rPr>
      </w:pPr>
    </w:p>
    <w:tbl>
      <w:tblPr>
        <w:tblW w:w="0" w:type="auto"/>
        <w:tblBorders>
          <w:top w:val="single" w:color="000000" w:sz="8" w:space="0"/>
          <w:left w:val="single" w:color="000000" w:sz="8" w:space="0"/>
          <w:bottom w:val="single" w:color="000000" w:sz="8" w:space="0"/>
          <w:right w:val="single" w:color="000000" w:sz="8" w:space="0"/>
        </w:tblBorders>
        <w:tblLook w:val="0000"/>
      </w:tblPr>
      <w:tblGrid>
        <w:gridCol w:w="1811"/>
        <w:gridCol w:w="833"/>
        <w:gridCol w:w="833"/>
        <w:gridCol w:w="1571"/>
        <w:gridCol w:w="1402"/>
        <w:gridCol w:w="1257"/>
        <w:gridCol w:w="1581"/>
      </w:tblGrid>
      <w:tr w:rsidRPr="009F1987" w:rsidR="00543E2A" w:rsidTr="00600D24">
        <w:trPr>
          <w:trHeight w:val="1051"/>
        </w:trPr>
        <w:tc>
          <w:tcPr>
            <w:tcW w:w="0" w:type="auto"/>
            <w:tcBorders>
              <w:top w:val="single" w:color="000000" w:sz="8" w:space="0"/>
              <w:bottom w:val="single" w:color="000000" w:sz="8" w:space="0"/>
              <w:right w:val="single" w:color="000000" w:sz="8" w:space="0"/>
            </w:tcBorders>
          </w:tcPr>
          <w:p w:rsidRPr="009F1987" w:rsidR="00543E2A" w:rsidP="003A6945" w:rsidRDefault="00543E2A">
            <w:pPr>
              <w:pStyle w:val="Default"/>
              <w:rPr>
                <w:rFonts w:cs="Arial"/>
                <w:b/>
                <w:sz w:val="16"/>
                <w:szCs w:val="16"/>
              </w:rPr>
            </w:pPr>
            <w:r w:rsidRPr="009F1987">
              <w:rPr>
                <w:rFonts w:cs="Arial"/>
                <w:b/>
                <w:sz w:val="16"/>
                <w:szCs w:val="16"/>
              </w:rPr>
              <w:t xml:space="preserve">Organisatie </w:t>
            </w:r>
          </w:p>
        </w:tc>
        <w:tc>
          <w:tcPr>
            <w:tcW w:w="0" w:type="auto"/>
            <w:tcBorders>
              <w:top w:val="single" w:color="000000" w:sz="8" w:space="0"/>
              <w:left w:val="single" w:color="000000" w:sz="8" w:space="0"/>
              <w:bottom w:val="single" w:color="000000" w:sz="8" w:space="0"/>
              <w:right w:val="single" w:color="000000" w:sz="8" w:space="0"/>
            </w:tcBorders>
          </w:tcPr>
          <w:p w:rsidRPr="009F1987" w:rsidR="00543E2A" w:rsidP="003A6945" w:rsidRDefault="00543E2A">
            <w:pPr>
              <w:pStyle w:val="Default"/>
              <w:rPr>
                <w:rFonts w:cs="Arial"/>
                <w:b/>
                <w:sz w:val="16"/>
                <w:szCs w:val="16"/>
              </w:rPr>
            </w:pPr>
            <w:r w:rsidRPr="009F1987">
              <w:rPr>
                <w:rFonts w:cs="Arial"/>
                <w:b/>
                <w:sz w:val="16"/>
                <w:szCs w:val="16"/>
              </w:rPr>
              <w:t>Aantal (in 2010)</w:t>
            </w:r>
          </w:p>
        </w:tc>
        <w:tc>
          <w:tcPr>
            <w:tcW w:w="0" w:type="auto"/>
            <w:tcBorders>
              <w:top w:val="single" w:color="000000" w:sz="8" w:space="0"/>
              <w:left w:val="single" w:color="000000" w:sz="8" w:space="0"/>
              <w:bottom w:val="single" w:color="000000" w:sz="8" w:space="0"/>
              <w:right w:val="single" w:color="000000" w:sz="8" w:space="0"/>
            </w:tcBorders>
          </w:tcPr>
          <w:p w:rsidRPr="009F1987" w:rsidR="00543E2A" w:rsidP="003A6945" w:rsidRDefault="00543E2A">
            <w:pPr>
              <w:pStyle w:val="Default"/>
              <w:rPr>
                <w:rFonts w:cs="Arial"/>
                <w:b/>
                <w:sz w:val="16"/>
                <w:szCs w:val="16"/>
              </w:rPr>
            </w:pPr>
            <w:r w:rsidRPr="009F1987">
              <w:rPr>
                <w:rFonts w:cs="Arial"/>
                <w:b/>
                <w:sz w:val="16"/>
                <w:szCs w:val="16"/>
              </w:rPr>
              <w:t>Aantal (in 2011)</w:t>
            </w:r>
          </w:p>
        </w:tc>
        <w:tc>
          <w:tcPr>
            <w:tcW w:w="0" w:type="auto"/>
            <w:tcBorders>
              <w:top w:val="single" w:color="000000" w:sz="8" w:space="0"/>
              <w:left w:val="single" w:color="000000" w:sz="8" w:space="0"/>
              <w:bottom w:val="single" w:color="000000" w:sz="8" w:space="0"/>
              <w:right w:val="single" w:color="000000" w:sz="8" w:space="0"/>
            </w:tcBorders>
          </w:tcPr>
          <w:p w:rsidRPr="009F1987" w:rsidR="00543E2A" w:rsidP="003A6945" w:rsidRDefault="00543E2A">
            <w:pPr>
              <w:pStyle w:val="Default"/>
              <w:rPr>
                <w:rFonts w:cs="Arial"/>
                <w:b/>
                <w:sz w:val="16"/>
                <w:szCs w:val="16"/>
              </w:rPr>
            </w:pPr>
            <w:r w:rsidRPr="009F1987">
              <w:rPr>
                <w:rFonts w:cs="Arial"/>
                <w:b/>
                <w:sz w:val="16"/>
                <w:szCs w:val="16"/>
              </w:rPr>
              <w:t>Percentage binnen de basis wettelijke termijn (zonder opschorting)</w:t>
            </w:r>
          </w:p>
        </w:tc>
        <w:tc>
          <w:tcPr>
            <w:tcW w:w="0" w:type="auto"/>
            <w:tcBorders>
              <w:top w:val="single" w:color="000000" w:sz="8" w:space="0"/>
              <w:left w:val="single" w:color="000000" w:sz="8" w:space="0"/>
              <w:bottom w:val="single" w:color="000000" w:sz="8" w:space="0"/>
              <w:right w:val="single" w:color="000000" w:sz="8" w:space="0"/>
            </w:tcBorders>
          </w:tcPr>
          <w:p w:rsidRPr="009F1987" w:rsidR="00543E2A" w:rsidP="003A6945" w:rsidRDefault="00543E2A">
            <w:pPr>
              <w:pStyle w:val="Default"/>
              <w:rPr>
                <w:rFonts w:cs="Arial"/>
                <w:b/>
                <w:sz w:val="16"/>
                <w:szCs w:val="16"/>
              </w:rPr>
            </w:pPr>
            <w:r w:rsidRPr="009F1987">
              <w:rPr>
                <w:rFonts w:cs="Arial"/>
                <w:b/>
                <w:sz w:val="16"/>
                <w:szCs w:val="16"/>
              </w:rPr>
              <w:t>Percentage afgedaan binnen verdaagde wettelijke termijn</w:t>
            </w:r>
          </w:p>
        </w:tc>
        <w:tc>
          <w:tcPr>
            <w:tcW w:w="0" w:type="auto"/>
            <w:tcBorders>
              <w:top w:val="single" w:color="000000" w:sz="8" w:space="0"/>
              <w:left w:val="single" w:color="000000" w:sz="8" w:space="0"/>
              <w:bottom w:val="single" w:color="000000" w:sz="8" w:space="0"/>
              <w:right w:val="single" w:color="000000" w:sz="8" w:space="0"/>
            </w:tcBorders>
          </w:tcPr>
          <w:p w:rsidRPr="009F1987" w:rsidR="00543E2A" w:rsidP="003A6945" w:rsidRDefault="00543E2A">
            <w:pPr>
              <w:pStyle w:val="Default"/>
              <w:rPr>
                <w:rFonts w:cs="Arial"/>
                <w:b/>
                <w:sz w:val="16"/>
                <w:szCs w:val="16"/>
              </w:rPr>
            </w:pPr>
            <w:r w:rsidRPr="009F1987">
              <w:rPr>
                <w:rFonts w:cs="Arial"/>
                <w:b/>
                <w:sz w:val="16"/>
                <w:szCs w:val="16"/>
              </w:rPr>
              <w:t>Aantal ontvangen ingebreke-</w:t>
            </w:r>
          </w:p>
          <w:p w:rsidRPr="009F1987" w:rsidR="00543E2A" w:rsidP="003A6945" w:rsidRDefault="00543E2A">
            <w:pPr>
              <w:pStyle w:val="Default"/>
              <w:rPr>
                <w:rFonts w:cs="Arial"/>
                <w:b/>
                <w:sz w:val="16"/>
                <w:szCs w:val="16"/>
              </w:rPr>
            </w:pPr>
            <w:r w:rsidRPr="009F1987">
              <w:rPr>
                <w:rFonts w:cs="Arial"/>
                <w:b/>
                <w:sz w:val="16"/>
                <w:szCs w:val="16"/>
              </w:rPr>
              <w:t>stellingen</w:t>
            </w:r>
          </w:p>
        </w:tc>
        <w:tc>
          <w:tcPr>
            <w:tcW w:w="0" w:type="auto"/>
            <w:tcBorders>
              <w:top w:val="single" w:color="000000" w:sz="8" w:space="0"/>
              <w:left w:val="single" w:color="000000" w:sz="8" w:space="0"/>
              <w:bottom w:val="single" w:color="000000" w:sz="8" w:space="0"/>
            </w:tcBorders>
          </w:tcPr>
          <w:p w:rsidRPr="009F1987" w:rsidR="00543E2A" w:rsidP="003A6945" w:rsidRDefault="00543E2A">
            <w:pPr>
              <w:pStyle w:val="Default"/>
              <w:rPr>
                <w:rFonts w:cs="Arial"/>
                <w:b/>
                <w:sz w:val="16"/>
                <w:szCs w:val="16"/>
              </w:rPr>
            </w:pPr>
            <w:r w:rsidRPr="009F1987">
              <w:rPr>
                <w:rFonts w:cs="Arial"/>
                <w:b/>
                <w:sz w:val="16"/>
                <w:szCs w:val="16"/>
              </w:rPr>
              <w:t>Aantal</w:t>
            </w:r>
          </w:p>
          <w:p w:rsidRPr="009F1987" w:rsidR="00543E2A" w:rsidP="003A6945" w:rsidRDefault="00543E2A">
            <w:pPr>
              <w:pStyle w:val="Default"/>
              <w:rPr>
                <w:rFonts w:cs="Arial"/>
                <w:b/>
                <w:sz w:val="16"/>
                <w:szCs w:val="16"/>
              </w:rPr>
            </w:pPr>
            <w:r w:rsidRPr="009F1987">
              <w:rPr>
                <w:rFonts w:cs="Arial"/>
                <w:b/>
                <w:sz w:val="16"/>
                <w:szCs w:val="16"/>
              </w:rPr>
              <w:t>betaalde</w:t>
            </w:r>
          </w:p>
          <w:p w:rsidRPr="009F1987" w:rsidR="00543E2A" w:rsidP="003A6945" w:rsidRDefault="00543E2A">
            <w:pPr>
              <w:pStyle w:val="Default"/>
              <w:rPr>
                <w:rFonts w:cs="Arial"/>
                <w:b/>
                <w:sz w:val="16"/>
                <w:szCs w:val="16"/>
              </w:rPr>
            </w:pPr>
            <w:r w:rsidRPr="009F1987">
              <w:rPr>
                <w:rFonts w:cs="Arial"/>
                <w:b/>
                <w:sz w:val="16"/>
                <w:szCs w:val="16"/>
              </w:rPr>
              <w:t xml:space="preserve">dwangsommen </w:t>
            </w:r>
          </w:p>
        </w:tc>
      </w:tr>
      <w:tr w:rsidRPr="009F1987" w:rsidR="00543E2A" w:rsidTr="00600D24">
        <w:trPr>
          <w:trHeight w:val="850"/>
        </w:trPr>
        <w:tc>
          <w:tcPr>
            <w:tcW w:w="0" w:type="auto"/>
            <w:tcBorders>
              <w:top w:val="single" w:color="000000" w:sz="8" w:space="0"/>
              <w:bottom w:val="single" w:color="000000" w:sz="8" w:space="0"/>
              <w:right w:val="single" w:color="000000" w:sz="8" w:space="0"/>
            </w:tcBorders>
          </w:tcPr>
          <w:p w:rsidRPr="009F1987" w:rsidR="00543E2A" w:rsidP="003A6945" w:rsidRDefault="00543E2A">
            <w:pPr>
              <w:pStyle w:val="Default"/>
              <w:rPr>
                <w:rFonts w:cs="Arial"/>
                <w:b/>
                <w:sz w:val="16"/>
                <w:szCs w:val="16"/>
              </w:rPr>
            </w:pPr>
            <w:r w:rsidRPr="009F1987">
              <w:rPr>
                <w:rFonts w:cs="Arial"/>
                <w:b/>
                <w:sz w:val="16"/>
                <w:szCs w:val="16"/>
              </w:rPr>
              <w:t>Kerndepartement en</w:t>
            </w:r>
          </w:p>
          <w:p w:rsidRPr="009F1987" w:rsidR="00543E2A" w:rsidP="003A6945" w:rsidRDefault="00543E2A">
            <w:pPr>
              <w:pStyle w:val="Default"/>
              <w:rPr>
                <w:rFonts w:cs="Arial"/>
                <w:b/>
                <w:sz w:val="16"/>
                <w:szCs w:val="16"/>
              </w:rPr>
            </w:pPr>
            <w:r w:rsidRPr="009F1987">
              <w:rPr>
                <w:rFonts w:cs="Arial"/>
                <w:b/>
                <w:sz w:val="16"/>
                <w:szCs w:val="16"/>
              </w:rPr>
              <w:t xml:space="preserve">Uitvoerende diensten </w:t>
            </w:r>
          </w:p>
        </w:tc>
        <w:tc>
          <w:tcPr>
            <w:tcW w:w="0" w:type="auto"/>
            <w:tcBorders>
              <w:top w:val="single" w:color="000000" w:sz="8" w:space="0"/>
              <w:left w:val="single" w:color="000000" w:sz="8" w:space="0"/>
              <w:bottom w:val="single" w:color="000000" w:sz="8" w:space="0"/>
              <w:right w:val="single" w:color="000000" w:sz="8" w:space="0"/>
            </w:tcBorders>
          </w:tcPr>
          <w:p w:rsidRPr="009F1987" w:rsidR="00543E2A" w:rsidP="00093A4F" w:rsidRDefault="00543E2A">
            <w:pPr>
              <w:pStyle w:val="Default"/>
              <w:rPr>
                <w:rFonts w:cs="Arial"/>
                <w:sz w:val="16"/>
                <w:szCs w:val="16"/>
              </w:rPr>
            </w:pPr>
            <w:r w:rsidRPr="009F1987">
              <w:rPr>
                <w:rFonts w:cs="Arial"/>
                <w:sz w:val="16"/>
                <w:szCs w:val="16"/>
              </w:rPr>
              <w:t>8.454</w:t>
            </w:r>
          </w:p>
        </w:tc>
        <w:tc>
          <w:tcPr>
            <w:tcW w:w="0" w:type="auto"/>
            <w:tcBorders>
              <w:top w:val="single" w:color="000000" w:sz="8" w:space="0"/>
              <w:left w:val="single" w:color="000000" w:sz="8" w:space="0"/>
              <w:bottom w:val="single" w:color="000000" w:sz="8" w:space="0"/>
              <w:right w:val="single" w:color="000000" w:sz="8" w:space="0"/>
            </w:tcBorders>
          </w:tcPr>
          <w:p w:rsidRPr="009F1987" w:rsidR="00543E2A" w:rsidP="00093A4F" w:rsidRDefault="00543E2A">
            <w:pPr>
              <w:pStyle w:val="Default"/>
              <w:rPr>
                <w:rFonts w:cs="Arial"/>
                <w:sz w:val="16"/>
                <w:szCs w:val="16"/>
              </w:rPr>
            </w:pPr>
            <w:r w:rsidRPr="009F1987">
              <w:rPr>
                <w:rFonts w:cs="Arial"/>
                <w:sz w:val="16"/>
                <w:szCs w:val="16"/>
              </w:rPr>
              <w:t>4.854</w:t>
            </w:r>
          </w:p>
        </w:tc>
        <w:tc>
          <w:tcPr>
            <w:tcW w:w="0" w:type="auto"/>
            <w:tcBorders>
              <w:top w:val="single" w:color="000000" w:sz="8" w:space="0"/>
              <w:left w:val="single" w:color="000000" w:sz="8" w:space="0"/>
              <w:bottom w:val="single" w:color="000000" w:sz="8" w:space="0"/>
              <w:right w:val="single" w:color="000000" w:sz="8" w:space="0"/>
            </w:tcBorders>
          </w:tcPr>
          <w:p w:rsidRPr="009F1987" w:rsidR="00543E2A" w:rsidP="00093A4F" w:rsidRDefault="00543E2A">
            <w:pPr>
              <w:pStyle w:val="Default"/>
              <w:rPr>
                <w:rFonts w:cs="Arial"/>
                <w:sz w:val="16"/>
                <w:szCs w:val="16"/>
              </w:rPr>
            </w:pPr>
            <w:r w:rsidRPr="009F1987">
              <w:rPr>
                <w:rFonts w:cs="Arial"/>
                <w:sz w:val="16"/>
                <w:szCs w:val="16"/>
              </w:rPr>
              <w:t>96%</w:t>
            </w:r>
          </w:p>
        </w:tc>
        <w:tc>
          <w:tcPr>
            <w:tcW w:w="0" w:type="auto"/>
            <w:tcBorders>
              <w:top w:val="single" w:color="000000" w:sz="8" w:space="0"/>
              <w:left w:val="single" w:color="000000" w:sz="8" w:space="0"/>
              <w:bottom w:val="single" w:color="000000" w:sz="8" w:space="0"/>
              <w:right w:val="single" w:color="000000" w:sz="8" w:space="0"/>
            </w:tcBorders>
          </w:tcPr>
          <w:p w:rsidRPr="009F1987" w:rsidR="00543E2A" w:rsidP="00093A4F" w:rsidRDefault="00543E2A">
            <w:pPr>
              <w:pStyle w:val="Default"/>
              <w:rPr>
                <w:rFonts w:cs="Arial"/>
                <w:sz w:val="16"/>
                <w:szCs w:val="16"/>
              </w:rPr>
            </w:pPr>
            <w:r w:rsidRPr="009F1987">
              <w:rPr>
                <w:rFonts w:cs="Arial"/>
                <w:sz w:val="16"/>
                <w:szCs w:val="16"/>
              </w:rPr>
              <w:t>4%</w:t>
            </w:r>
          </w:p>
        </w:tc>
        <w:tc>
          <w:tcPr>
            <w:tcW w:w="0" w:type="auto"/>
            <w:tcBorders>
              <w:top w:val="single" w:color="000000" w:sz="8" w:space="0"/>
              <w:left w:val="single" w:color="000000" w:sz="8" w:space="0"/>
              <w:bottom w:val="single" w:color="000000" w:sz="8" w:space="0"/>
              <w:right w:val="single" w:color="000000" w:sz="8" w:space="0"/>
            </w:tcBorders>
          </w:tcPr>
          <w:p w:rsidRPr="009F1987" w:rsidR="00543E2A" w:rsidP="00093A4F" w:rsidRDefault="00543E2A">
            <w:pPr>
              <w:pStyle w:val="Default"/>
              <w:rPr>
                <w:rFonts w:cs="Arial"/>
                <w:sz w:val="16"/>
                <w:szCs w:val="16"/>
              </w:rPr>
            </w:pPr>
            <w:r w:rsidRPr="009F1987">
              <w:rPr>
                <w:rFonts w:cs="Arial"/>
                <w:sz w:val="16"/>
                <w:szCs w:val="16"/>
              </w:rPr>
              <w:t>0</w:t>
            </w:r>
          </w:p>
        </w:tc>
        <w:tc>
          <w:tcPr>
            <w:tcW w:w="0" w:type="auto"/>
            <w:tcBorders>
              <w:top w:val="single" w:color="000000" w:sz="8" w:space="0"/>
              <w:left w:val="single" w:color="000000" w:sz="8" w:space="0"/>
              <w:bottom w:val="single" w:color="000000" w:sz="8" w:space="0"/>
            </w:tcBorders>
          </w:tcPr>
          <w:p w:rsidRPr="009F1987" w:rsidR="00543E2A" w:rsidP="00093A4F" w:rsidRDefault="00543E2A">
            <w:pPr>
              <w:pStyle w:val="Default"/>
              <w:rPr>
                <w:rFonts w:cs="Arial"/>
                <w:sz w:val="16"/>
                <w:szCs w:val="16"/>
              </w:rPr>
            </w:pPr>
            <w:r w:rsidRPr="009F1987">
              <w:rPr>
                <w:rFonts w:cs="Arial"/>
                <w:sz w:val="16"/>
                <w:szCs w:val="16"/>
              </w:rPr>
              <w:t>0</w:t>
            </w:r>
          </w:p>
        </w:tc>
      </w:tr>
    </w:tbl>
    <w:p w:rsidR="00543E2A" w:rsidP="009D1478" w:rsidRDefault="00543E2A">
      <w:pPr>
        <w:rPr>
          <w:rFonts w:ascii="Verdana" w:hAnsi="Verdana"/>
          <w:sz w:val="18"/>
          <w:szCs w:val="18"/>
        </w:rPr>
      </w:pPr>
    </w:p>
    <w:p w:rsidRPr="009F1987" w:rsidR="00543E2A" w:rsidP="009D1478" w:rsidRDefault="00543E2A">
      <w:pPr>
        <w:rPr>
          <w:rFonts w:ascii="Verdana" w:hAnsi="Verdana"/>
          <w:sz w:val="18"/>
          <w:szCs w:val="18"/>
        </w:rPr>
      </w:pPr>
    </w:p>
    <w:p w:rsidRPr="009F1987" w:rsidR="00543E2A" w:rsidP="00683F62" w:rsidRDefault="00543E2A">
      <w:pPr>
        <w:spacing w:after="0" w:line="240" w:lineRule="atLeast"/>
        <w:jc w:val="both"/>
        <w:rPr>
          <w:rFonts w:ascii="Verdana" w:hAnsi="Verdana"/>
          <w:i/>
          <w:iCs/>
          <w:sz w:val="18"/>
          <w:szCs w:val="18"/>
        </w:rPr>
      </w:pPr>
      <w:r w:rsidRPr="009F1987">
        <w:rPr>
          <w:rFonts w:ascii="Verdana" w:hAnsi="Verdana"/>
          <w:i/>
          <w:iCs/>
          <w:sz w:val="18"/>
          <w:szCs w:val="18"/>
        </w:rPr>
        <w:t>Aanvragen BIG-registraties CIBG</w:t>
      </w:r>
    </w:p>
    <w:p w:rsidRPr="009F1987" w:rsidR="00543E2A" w:rsidP="00683F62" w:rsidRDefault="00543E2A">
      <w:pPr>
        <w:spacing w:after="0" w:line="240" w:lineRule="atLeast"/>
        <w:jc w:val="both"/>
        <w:rPr>
          <w:rFonts w:ascii="Verdana" w:hAnsi="Verdana"/>
          <w:i/>
          <w:iCs/>
          <w:sz w:val="18"/>
          <w:szCs w:val="18"/>
        </w:rPr>
      </w:pPr>
    </w:p>
    <w:p w:rsidRPr="009F1987" w:rsidR="00543E2A" w:rsidP="001D3CBB" w:rsidRDefault="00543E2A">
      <w:pPr>
        <w:spacing w:after="0" w:line="240" w:lineRule="atLeast"/>
        <w:jc w:val="both"/>
        <w:rPr>
          <w:rFonts w:ascii="Verdana" w:hAnsi="Verdana"/>
          <w:sz w:val="18"/>
          <w:szCs w:val="18"/>
        </w:rPr>
      </w:pPr>
      <w:r w:rsidRPr="009F1987">
        <w:rPr>
          <w:rFonts w:ascii="Verdana" w:hAnsi="Verdana"/>
          <w:sz w:val="18"/>
          <w:szCs w:val="18"/>
        </w:rPr>
        <w:t xml:space="preserve">Het BIG-register is een instrument van de Wet BIG (Wet op de beroepen in de individuele gezondheidszorg). Het doel van de Wet BIG is het bevorderen en bewaken van de kwaliteit in de gezondheidszorg. Ook beschermt deze wet de patiënt tegen ondeskundig en onzorgvuldig handelen van een zorgverlener. Het CIBG is verantwoordelijk voor de registratie van zorgverleners (de zogenaamde artikel 3-beroepen) in het register. Hiervoor ontvangt het CIBG aanvragen voor opname in het register. </w:t>
      </w:r>
    </w:p>
    <w:p w:rsidRPr="009F1987" w:rsidR="00543E2A" w:rsidP="001D3CBB" w:rsidRDefault="00543E2A">
      <w:pPr>
        <w:spacing w:after="0" w:line="240" w:lineRule="atLeast"/>
        <w:jc w:val="both"/>
        <w:rPr>
          <w:rFonts w:ascii="Verdana" w:hAnsi="Verdana"/>
          <w:sz w:val="18"/>
          <w:szCs w:val="18"/>
        </w:rPr>
      </w:pPr>
    </w:p>
    <w:p w:rsidR="00543E2A" w:rsidP="001D3CBB" w:rsidRDefault="00543E2A">
      <w:pPr>
        <w:spacing w:after="0" w:line="240" w:lineRule="atLeast"/>
        <w:jc w:val="both"/>
        <w:rPr>
          <w:rFonts w:ascii="Verdana" w:hAnsi="Verdana"/>
          <w:sz w:val="18"/>
          <w:szCs w:val="18"/>
        </w:rPr>
      </w:pPr>
      <w:r w:rsidRPr="009F1987">
        <w:rPr>
          <w:rFonts w:ascii="Verdana" w:hAnsi="Verdana"/>
          <w:sz w:val="18"/>
          <w:szCs w:val="18"/>
        </w:rPr>
        <w:t xml:space="preserve">In 2011 ontving het CIBG 10.660 aanvragen voor opname in het BIG-register. De wettelijke beslistermijn van een aanvraag voor registratie in het BIG-register is afhankelijk van de categorie van de aanvraag en loopt van </w:t>
      </w:r>
      <w:r>
        <w:rPr>
          <w:rFonts w:ascii="Verdana" w:hAnsi="Verdana"/>
          <w:sz w:val="18"/>
          <w:szCs w:val="18"/>
        </w:rPr>
        <w:t>acht weken tot vier</w:t>
      </w:r>
      <w:r w:rsidRPr="009F1987">
        <w:rPr>
          <w:rFonts w:ascii="Verdana" w:hAnsi="Verdana"/>
          <w:sz w:val="18"/>
          <w:szCs w:val="18"/>
        </w:rPr>
        <w:t xml:space="preserve"> maanden. De gemiddelde doorlooptijd van deze aanvragen was 17 dagen voor aanvragen met een Nederlands diploma en gemiddeld 45 dagen voor aanvragen met een aangewezen diplom</w:t>
      </w:r>
      <w:r>
        <w:rPr>
          <w:rFonts w:ascii="Verdana" w:hAnsi="Verdana"/>
          <w:sz w:val="18"/>
          <w:szCs w:val="18"/>
        </w:rPr>
        <w:t xml:space="preserve">a en Nederlands diploma. Alle aanvragen zijn afgehandeld binnen de wettelijke termijn. </w:t>
      </w:r>
    </w:p>
    <w:p w:rsidRPr="009F1987" w:rsidR="00543E2A" w:rsidP="00683F62" w:rsidRDefault="00543E2A">
      <w:pPr>
        <w:spacing w:after="0" w:line="240" w:lineRule="atLeast"/>
        <w:jc w:val="both"/>
        <w:rPr>
          <w:rFonts w:ascii="Verdana" w:hAnsi="Verdana"/>
          <w:color w:val="1F497D"/>
          <w:sz w:val="20"/>
        </w:rPr>
      </w:pPr>
    </w:p>
    <w:tbl>
      <w:tblPr>
        <w:tblW w:w="4750" w:type="pct"/>
        <w:tblCellMar>
          <w:left w:w="0" w:type="dxa"/>
          <w:right w:w="0" w:type="dxa"/>
        </w:tblCellMar>
        <w:tblLook w:val="00A0"/>
      </w:tblPr>
      <w:tblGrid>
        <w:gridCol w:w="1255"/>
        <w:gridCol w:w="796"/>
        <w:gridCol w:w="796"/>
        <w:gridCol w:w="2035"/>
        <w:gridCol w:w="1232"/>
        <w:gridCol w:w="1191"/>
        <w:gridCol w:w="1581"/>
      </w:tblGrid>
      <w:tr w:rsidRPr="009F1987" w:rsidR="00543E2A" w:rsidTr="00683F62">
        <w:trPr>
          <w:trHeight w:val="850"/>
        </w:trPr>
        <w:tc>
          <w:tcPr>
            <w:tcW w:w="1526" w:type="dxa"/>
            <w:tcBorders>
              <w:top w:val="single" w:color="000000" w:sz="8" w:space="0"/>
              <w:left w:val="single" w:color="000000" w:sz="8" w:space="0"/>
              <w:bottom w:val="nil"/>
              <w:right w:val="single" w:color="000000" w:sz="8" w:space="0"/>
            </w:tcBorders>
            <w:tcMar>
              <w:top w:w="0" w:type="dxa"/>
              <w:left w:w="108" w:type="dxa"/>
              <w:bottom w:w="0" w:type="dxa"/>
              <w:right w:w="108" w:type="dxa"/>
            </w:tcMar>
          </w:tcPr>
          <w:p w:rsidRPr="009F1987" w:rsidR="00543E2A" w:rsidP="00683F62" w:rsidRDefault="00543E2A">
            <w:pPr>
              <w:pStyle w:val="Default"/>
              <w:spacing w:line="240" w:lineRule="atLeast"/>
              <w:rPr>
                <w:b/>
                <w:bCs/>
                <w:sz w:val="16"/>
                <w:szCs w:val="16"/>
              </w:rPr>
            </w:pPr>
            <w:r w:rsidRPr="009F1987">
              <w:rPr>
                <w:b/>
                <w:bCs/>
                <w:sz w:val="16"/>
                <w:szCs w:val="16"/>
              </w:rPr>
              <w:t xml:space="preserve">Organisatie </w:t>
            </w:r>
          </w:p>
        </w:tc>
        <w:tc>
          <w:tcPr>
            <w:tcW w:w="992" w:type="dxa"/>
            <w:tcBorders>
              <w:top w:val="single" w:color="000000" w:sz="8" w:space="0"/>
              <w:left w:val="nil"/>
              <w:bottom w:val="nil"/>
              <w:right w:val="single" w:color="000000" w:sz="8" w:space="0"/>
            </w:tcBorders>
            <w:tcMar>
              <w:top w:w="0" w:type="dxa"/>
              <w:left w:w="108" w:type="dxa"/>
              <w:bottom w:w="0" w:type="dxa"/>
              <w:right w:w="108" w:type="dxa"/>
            </w:tcMar>
          </w:tcPr>
          <w:p w:rsidRPr="009F1987" w:rsidR="00543E2A" w:rsidP="00683F62" w:rsidRDefault="00543E2A">
            <w:pPr>
              <w:pStyle w:val="Default"/>
              <w:spacing w:line="240" w:lineRule="atLeast"/>
              <w:rPr>
                <w:b/>
                <w:bCs/>
                <w:sz w:val="16"/>
                <w:szCs w:val="16"/>
              </w:rPr>
            </w:pPr>
            <w:r w:rsidRPr="009F1987">
              <w:rPr>
                <w:b/>
                <w:bCs/>
                <w:sz w:val="16"/>
                <w:szCs w:val="16"/>
              </w:rPr>
              <w:t>Aantal (in 2010)</w:t>
            </w:r>
          </w:p>
        </w:tc>
        <w:tc>
          <w:tcPr>
            <w:tcW w:w="851" w:type="dxa"/>
            <w:tcBorders>
              <w:top w:val="single" w:color="000000" w:sz="8" w:space="0"/>
              <w:left w:val="nil"/>
              <w:bottom w:val="nil"/>
              <w:right w:val="single" w:color="000000" w:sz="8" w:space="0"/>
            </w:tcBorders>
            <w:tcMar>
              <w:top w:w="0" w:type="dxa"/>
              <w:left w:w="108" w:type="dxa"/>
              <w:bottom w:w="0" w:type="dxa"/>
              <w:right w:w="108" w:type="dxa"/>
            </w:tcMar>
          </w:tcPr>
          <w:p w:rsidRPr="009F1987" w:rsidR="00543E2A" w:rsidP="00683F62" w:rsidRDefault="00543E2A">
            <w:pPr>
              <w:pStyle w:val="Default"/>
              <w:spacing w:line="240" w:lineRule="atLeast"/>
              <w:rPr>
                <w:b/>
                <w:bCs/>
                <w:sz w:val="16"/>
                <w:szCs w:val="16"/>
              </w:rPr>
            </w:pPr>
            <w:r w:rsidRPr="009F1987">
              <w:rPr>
                <w:b/>
                <w:bCs/>
                <w:sz w:val="16"/>
                <w:szCs w:val="16"/>
              </w:rPr>
              <w:t>Aantal (in 2011)</w:t>
            </w:r>
          </w:p>
        </w:tc>
        <w:tc>
          <w:tcPr>
            <w:tcW w:w="1559" w:type="dxa"/>
            <w:tcBorders>
              <w:top w:val="single" w:color="000000" w:sz="8" w:space="0"/>
              <w:left w:val="nil"/>
              <w:bottom w:val="nil"/>
              <w:right w:val="single" w:color="000000" w:sz="8" w:space="0"/>
            </w:tcBorders>
            <w:tcMar>
              <w:top w:w="0" w:type="dxa"/>
              <w:left w:w="108" w:type="dxa"/>
              <w:bottom w:w="0" w:type="dxa"/>
              <w:right w:w="108" w:type="dxa"/>
            </w:tcMar>
          </w:tcPr>
          <w:p w:rsidRPr="009F1987" w:rsidR="00543E2A" w:rsidP="00683F62" w:rsidRDefault="00543E2A">
            <w:pPr>
              <w:pStyle w:val="Default"/>
              <w:spacing w:line="240" w:lineRule="atLeast"/>
              <w:rPr>
                <w:b/>
                <w:bCs/>
                <w:sz w:val="16"/>
                <w:szCs w:val="16"/>
              </w:rPr>
            </w:pPr>
            <w:r w:rsidRPr="009F1987">
              <w:rPr>
                <w:b/>
                <w:bCs/>
                <w:sz w:val="16"/>
                <w:szCs w:val="16"/>
              </w:rPr>
              <w:t>Gemiddelde afhandelingstermijn</w:t>
            </w:r>
          </w:p>
        </w:tc>
        <w:tc>
          <w:tcPr>
            <w:tcW w:w="1559" w:type="dxa"/>
            <w:tcBorders>
              <w:top w:val="single" w:color="000000" w:sz="8" w:space="0"/>
              <w:left w:val="nil"/>
              <w:bottom w:val="nil"/>
              <w:right w:val="single" w:color="000000" w:sz="8" w:space="0"/>
            </w:tcBorders>
            <w:tcMar>
              <w:top w:w="0" w:type="dxa"/>
              <w:left w:w="108" w:type="dxa"/>
              <w:bottom w:w="0" w:type="dxa"/>
              <w:right w:w="108" w:type="dxa"/>
            </w:tcMar>
          </w:tcPr>
          <w:p w:rsidRPr="009F1987" w:rsidR="00543E2A" w:rsidP="00683F62" w:rsidRDefault="00543E2A">
            <w:pPr>
              <w:pStyle w:val="Default"/>
              <w:spacing w:line="240" w:lineRule="atLeast"/>
              <w:rPr>
                <w:b/>
                <w:bCs/>
                <w:sz w:val="16"/>
                <w:szCs w:val="16"/>
              </w:rPr>
            </w:pPr>
            <w:r w:rsidRPr="009F1987">
              <w:rPr>
                <w:b/>
                <w:bCs/>
                <w:sz w:val="16"/>
                <w:szCs w:val="16"/>
              </w:rPr>
              <w:t>Percentage afgedaan binnen verdaagde wettelijke termijn</w:t>
            </w:r>
          </w:p>
        </w:tc>
        <w:tc>
          <w:tcPr>
            <w:tcW w:w="1276" w:type="dxa"/>
            <w:tcBorders>
              <w:top w:val="single" w:color="000000" w:sz="8" w:space="0"/>
              <w:left w:val="nil"/>
              <w:bottom w:val="nil"/>
              <w:right w:val="single" w:color="000000" w:sz="8" w:space="0"/>
            </w:tcBorders>
            <w:tcMar>
              <w:top w:w="0" w:type="dxa"/>
              <w:left w:w="108" w:type="dxa"/>
              <w:bottom w:w="0" w:type="dxa"/>
              <w:right w:w="108" w:type="dxa"/>
            </w:tcMar>
          </w:tcPr>
          <w:p w:rsidRPr="009F1987" w:rsidR="00543E2A" w:rsidP="00683F62" w:rsidRDefault="00543E2A">
            <w:pPr>
              <w:pStyle w:val="Default"/>
              <w:spacing w:line="240" w:lineRule="atLeast"/>
              <w:rPr>
                <w:rFonts w:cs="Times New Roman"/>
                <w:b/>
                <w:bCs/>
                <w:sz w:val="16"/>
                <w:szCs w:val="16"/>
              </w:rPr>
            </w:pPr>
            <w:r w:rsidRPr="009F1987">
              <w:rPr>
                <w:b/>
                <w:bCs/>
                <w:sz w:val="16"/>
                <w:szCs w:val="16"/>
              </w:rPr>
              <w:t>Aantal ontvangen ingebreke-</w:t>
            </w:r>
          </w:p>
          <w:p w:rsidRPr="009F1987" w:rsidR="00543E2A" w:rsidP="00683F62" w:rsidRDefault="00543E2A">
            <w:pPr>
              <w:pStyle w:val="Default"/>
              <w:spacing w:line="240" w:lineRule="atLeast"/>
              <w:rPr>
                <w:b/>
                <w:bCs/>
                <w:sz w:val="16"/>
                <w:szCs w:val="16"/>
              </w:rPr>
            </w:pPr>
            <w:r w:rsidRPr="009F1987">
              <w:rPr>
                <w:b/>
                <w:bCs/>
                <w:sz w:val="16"/>
                <w:szCs w:val="16"/>
              </w:rPr>
              <w:t>stellingen</w:t>
            </w:r>
          </w:p>
        </w:tc>
        <w:tc>
          <w:tcPr>
            <w:tcW w:w="1134" w:type="dxa"/>
            <w:tcBorders>
              <w:top w:val="single" w:color="000000" w:sz="8" w:space="0"/>
              <w:left w:val="nil"/>
              <w:bottom w:val="nil"/>
              <w:right w:val="single" w:color="000000" w:sz="8" w:space="0"/>
            </w:tcBorders>
            <w:tcMar>
              <w:top w:w="0" w:type="dxa"/>
              <w:left w:w="108" w:type="dxa"/>
              <w:bottom w:w="0" w:type="dxa"/>
              <w:right w:w="108" w:type="dxa"/>
            </w:tcMar>
          </w:tcPr>
          <w:p w:rsidRPr="009F1987" w:rsidR="00543E2A" w:rsidP="00683F62" w:rsidRDefault="00543E2A">
            <w:pPr>
              <w:pStyle w:val="Default"/>
              <w:spacing w:line="240" w:lineRule="atLeast"/>
              <w:rPr>
                <w:rFonts w:cs="Times New Roman"/>
                <w:b/>
                <w:bCs/>
                <w:sz w:val="16"/>
                <w:szCs w:val="16"/>
              </w:rPr>
            </w:pPr>
            <w:r w:rsidRPr="009F1987">
              <w:rPr>
                <w:b/>
                <w:bCs/>
                <w:sz w:val="16"/>
                <w:szCs w:val="16"/>
              </w:rPr>
              <w:t>Aantal</w:t>
            </w:r>
          </w:p>
          <w:p w:rsidRPr="009F1987" w:rsidR="00543E2A" w:rsidP="00683F62" w:rsidRDefault="00543E2A">
            <w:pPr>
              <w:pStyle w:val="Default"/>
              <w:spacing w:line="240" w:lineRule="atLeast"/>
              <w:rPr>
                <w:b/>
                <w:bCs/>
                <w:sz w:val="16"/>
                <w:szCs w:val="16"/>
              </w:rPr>
            </w:pPr>
            <w:r w:rsidRPr="009F1987">
              <w:rPr>
                <w:b/>
                <w:bCs/>
                <w:sz w:val="16"/>
                <w:szCs w:val="16"/>
              </w:rPr>
              <w:t>betaalde</w:t>
            </w:r>
          </w:p>
          <w:p w:rsidRPr="009F1987" w:rsidR="00543E2A" w:rsidP="00683F62" w:rsidRDefault="00543E2A">
            <w:pPr>
              <w:pStyle w:val="Default"/>
              <w:spacing w:line="240" w:lineRule="atLeast"/>
              <w:rPr>
                <w:b/>
                <w:bCs/>
                <w:sz w:val="16"/>
                <w:szCs w:val="16"/>
              </w:rPr>
            </w:pPr>
            <w:r w:rsidRPr="009F1987">
              <w:rPr>
                <w:b/>
                <w:bCs/>
                <w:sz w:val="16"/>
                <w:szCs w:val="16"/>
              </w:rPr>
              <w:t xml:space="preserve">dwangsommen </w:t>
            </w:r>
          </w:p>
        </w:tc>
      </w:tr>
      <w:tr w:rsidRPr="009F1987" w:rsidR="00543E2A" w:rsidTr="00683F62">
        <w:trPr>
          <w:trHeight w:val="1023"/>
        </w:trPr>
        <w:tc>
          <w:tcPr>
            <w:tcW w:w="152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9F1987" w:rsidR="00543E2A" w:rsidP="00683F62" w:rsidRDefault="00543E2A">
            <w:pPr>
              <w:pStyle w:val="Default"/>
              <w:spacing w:line="240" w:lineRule="atLeast"/>
              <w:rPr>
                <w:b/>
                <w:bCs/>
                <w:sz w:val="16"/>
                <w:szCs w:val="16"/>
              </w:rPr>
            </w:pPr>
            <w:r w:rsidRPr="009F1987">
              <w:rPr>
                <w:b/>
                <w:bCs/>
                <w:sz w:val="16"/>
                <w:szCs w:val="16"/>
              </w:rPr>
              <w:t>Aanvragen BIG-registraties CIBG</w:t>
            </w:r>
          </w:p>
        </w:tc>
        <w:tc>
          <w:tcPr>
            <w:tcW w:w="992"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rsidRPr="009F1987" w:rsidR="00543E2A" w:rsidP="00683F62" w:rsidRDefault="00543E2A">
            <w:pPr>
              <w:pStyle w:val="Default"/>
              <w:spacing w:line="240" w:lineRule="atLeast"/>
              <w:rPr>
                <w:sz w:val="16"/>
                <w:szCs w:val="16"/>
              </w:rPr>
            </w:pPr>
            <w:r w:rsidRPr="009F1987">
              <w:rPr>
                <w:sz w:val="16"/>
                <w:szCs w:val="16"/>
              </w:rPr>
              <w:t>11.640</w:t>
            </w:r>
          </w:p>
        </w:tc>
        <w:tc>
          <w:tcPr>
            <w:tcW w:w="851"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rsidRPr="009F1987" w:rsidR="00543E2A" w:rsidP="00683F62" w:rsidRDefault="00543E2A">
            <w:pPr>
              <w:pStyle w:val="Default"/>
              <w:spacing w:line="240" w:lineRule="atLeast"/>
              <w:rPr>
                <w:sz w:val="16"/>
                <w:szCs w:val="16"/>
              </w:rPr>
            </w:pPr>
            <w:r w:rsidRPr="009F1987">
              <w:rPr>
                <w:sz w:val="16"/>
                <w:szCs w:val="16"/>
              </w:rPr>
              <w:t>10.660</w:t>
            </w:r>
          </w:p>
        </w:tc>
        <w:tc>
          <w:tcPr>
            <w:tcW w:w="1559"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rsidRPr="00D40F7D" w:rsidR="00543E2A" w:rsidP="00683F62" w:rsidRDefault="00543E2A">
            <w:pPr>
              <w:pStyle w:val="ListParagraph"/>
              <w:spacing w:after="0" w:line="240" w:lineRule="atLeast"/>
              <w:ind w:left="34"/>
              <w:rPr>
                <w:rFonts w:ascii="Verdana" w:hAnsi="Verdana"/>
                <w:sz w:val="16"/>
                <w:szCs w:val="16"/>
              </w:rPr>
            </w:pPr>
            <w:r w:rsidRPr="00D40F7D">
              <w:rPr>
                <w:rFonts w:ascii="Verdana" w:hAnsi="Verdana"/>
                <w:sz w:val="16"/>
                <w:szCs w:val="16"/>
              </w:rPr>
              <w:t>BIG Nederland: 17 dagen</w:t>
            </w:r>
          </w:p>
          <w:p w:rsidRPr="00D40F7D" w:rsidR="00543E2A" w:rsidP="00683F62" w:rsidRDefault="00543E2A">
            <w:pPr>
              <w:pStyle w:val="ListParagraph"/>
              <w:spacing w:after="0" w:line="240" w:lineRule="atLeast"/>
              <w:ind w:left="34"/>
              <w:rPr>
                <w:rFonts w:ascii="Verdana" w:hAnsi="Verdana"/>
                <w:sz w:val="16"/>
                <w:szCs w:val="16"/>
              </w:rPr>
            </w:pPr>
            <w:r w:rsidRPr="00D40F7D">
              <w:rPr>
                <w:rFonts w:ascii="Verdana" w:hAnsi="Verdana"/>
                <w:sz w:val="16"/>
                <w:szCs w:val="16"/>
              </w:rPr>
              <w:t>BIG Buitenland: 45 dagen</w:t>
            </w:r>
          </w:p>
        </w:tc>
        <w:tc>
          <w:tcPr>
            <w:tcW w:w="1559"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rsidRPr="009F1987" w:rsidR="00543E2A" w:rsidP="00683F62" w:rsidRDefault="00543E2A">
            <w:pPr>
              <w:pStyle w:val="Default"/>
              <w:spacing w:line="240" w:lineRule="atLeast"/>
              <w:rPr>
                <w:sz w:val="16"/>
                <w:szCs w:val="16"/>
              </w:rPr>
            </w:pPr>
            <w:r w:rsidRPr="009F1987">
              <w:rPr>
                <w:sz w:val="16"/>
                <w:szCs w:val="16"/>
              </w:rPr>
              <w:t>100%</w:t>
            </w:r>
          </w:p>
        </w:tc>
        <w:tc>
          <w:tcPr>
            <w:tcW w:w="1276"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rsidRPr="009F1987" w:rsidR="00543E2A" w:rsidP="00683F62" w:rsidRDefault="00543E2A">
            <w:pPr>
              <w:pStyle w:val="Default"/>
              <w:spacing w:line="240" w:lineRule="atLeast"/>
              <w:rPr>
                <w:sz w:val="16"/>
                <w:szCs w:val="16"/>
              </w:rPr>
            </w:pPr>
            <w:r w:rsidRPr="009F1987">
              <w:rPr>
                <w:sz w:val="16"/>
                <w:szCs w:val="16"/>
              </w:rPr>
              <w:t>0</w:t>
            </w:r>
          </w:p>
        </w:tc>
        <w:tc>
          <w:tcPr>
            <w:tcW w:w="1134"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rsidRPr="009F1987" w:rsidR="00543E2A" w:rsidP="00683F62" w:rsidRDefault="00543E2A">
            <w:pPr>
              <w:pStyle w:val="Default"/>
              <w:spacing w:line="240" w:lineRule="atLeast"/>
              <w:rPr>
                <w:sz w:val="16"/>
                <w:szCs w:val="16"/>
              </w:rPr>
            </w:pPr>
            <w:r w:rsidRPr="009F1987">
              <w:rPr>
                <w:sz w:val="16"/>
                <w:szCs w:val="16"/>
              </w:rPr>
              <w:t>0</w:t>
            </w:r>
          </w:p>
        </w:tc>
      </w:tr>
    </w:tbl>
    <w:p w:rsidRPr="009F1987" w:rsidR="00543E2A" w:rsidP="00683F62" w:rsidRDefault="00543E2A">
      <w:pPr>
        <w:spacing w:after="0" w:line="240" w:lineRule="atLeast"/>
        <w:jc w:val="both"/>
        <w:rPr>
          <w:rFonts w:ascii="Verdana" w:hAnsi="Verdana"/>
          <w:bCs/>
          <w:sz w:val="18"/>
          <w:szCs w:val="18"/>
        </w:rPr>
      </w:pPr>
    </w:p>
    <w:p w:rsidR="00543E2A" w:rsidP="001D3CBB" w:rsidRDefault="00543E2A">
      <w:pPr>
        <w:spacing w:after="0" w:line="240" w:lineRule="atLeast"/>
        <w:rPr>
          <w:rFonts w:ascii="Verdana" w:hAnsi="Verdana"/>
          <w:i/>
          <w:iCs/>
          <w:sz w:val="18"/>
          <w:szCs w:val="18"/>
        </w:rPr>
      </w:pPr>
      <w:r>
        <w:rPr>
          <w:rFonts w:ascii="Verdana" w:hAnsi="Verdana"/>
          <w:i/>
          <w:iCs/>
          <w:sz w:val="18"/>
          <w:szCs w:val="18"/>
        </w:rPr>
        <w:t>Vergunningen ongeregistreerde medicijnen IGZ</w:t>
      </w:r>
    </w:p>
    <w:p w:rsidR="00543E2A" w:rsidP="001D3CBB" w:rsidRDefault="00543E2A">
      <w:pPr>
        <w:spacing w:after="0" w:line="240" w:lineRule="atLeast"/>
        <w:jc w:val="both"/>
        <w:rPr>
          <w:rFonts w:ascii="Verdana" w:hAnsi="Verdana"/>
          <w:sz w:val="18"/>
          <w:szCs w:val="18"/>
        </w:rPr>
      </w:pPr>
    </w:p>
    <w:p w:rsidRPr="001D3CBB" w:rsidR="00543E2A" w:rsidP="001D3CBB" w:rsidRDefault="00543E2A">
      <w:pPr>
        <w:spacing w:after="0" w:line="240" w:lineRule="atLeast"/>
        <w:jc w:val="both"/>
        <w:rPr>
          <w:rFonts w:ascii="Verdana" w:hAnsi="Verdana"/>
          <w:sz w:val="18"/>
          <w:szCs w:val="18"/>
        </w:rPr>
      </w:pPr>
      <w:r w:rsidRPr="001D3CBB">
        <w:rPr>
          <w:rFonts w:ascii="Verdana" w:hAnsi="Verdana"/>
          <w:sz w:val="18"/>
          <w:szCs w:val="18"/>
        </w:rPr>
        <w:t>De Inspectie Gezondheidszorg (IGZ) draagt zorg voor de toetsing aan artikel 3.17 van de Regeling Geneesmiddelenwet (RGnw) met betrekking tot het afleveren van ongeregistreerde geneesmiddelen uit binnen- en buitenland ten behoeve van de individuele patiëntenzorg. Apotheken, ziekenhuisapotheken en apotheekhoudende huisartsen zijn onder voorwaarden bevoegd om een ongeregistreerd geneesmiddel op artsenverklaring af te leveren. Daarnaast mogen ook fabrikanten en groothandels in geneesmiddelen die een vergunning hebben als bedoeld in artikel 18 van de Geneesmiddelenwet (Gnw) een ongeregistreerd geneesmiddel afleveren. Bevoegden mogen de ongeregistreerde geneesmiddelen afleveren op basis van de voorwaarden uit artikel 3.17 RGnw.</w:t>
      </w:r>
    </w:p>
    <w:p w:rsidRPr="001D3CBB" w:rsidR="00543E2A" w:rsidP="001D3CBB" w:rsidRDefault="00543E2A">
      <w:pPr>
        <w:spacing w:after="0" w:line="240" w:lineRule="atLeast"/>
        <w:jc w:val="both"/>
        <w:rPr>
          <w:rFonts w:ascii="Verdana" w:hAnsi="Verdana"/>
          <w:color w:val="1F497D"/>
          <w:sz w:val="18"/>
          <w:szCs w:val="18"/>
        </w:rPr>
      </w:pPr>
    </w:p>
    <w:p w:rsidR="00543E2A" w:rsidP="001D3CBB" w:rsidRDefault="00543E2A">
      <w:pPr>
        <w:spacing w:after="0" w:line="240" w:lineRule="atLeast"/>
        <w:jc w:val="both"/>
        <w:rPr>
          <w:rFonts w:ascii="Verdana" w:hAnsi="Verdana"/>
          <w:sz w:val="18"/>
          <w:szCs w:val="18"/>
        </w:rPr>
      </w:pPr>
      <w:r w:rsidRPr="001D3CBB">
        <w:rPr>
          <w:rFonts w:ascii="Verdana" w:hAnsi="Verdana"/>
          <w:sz w:val="18"/>
          <w:szCs w:val="18"/>
        </w:rPr>
        <w:t>Tot 1 januari 2012 was de inspectie slechts bevoegd om te handhaven als achteraf niet de voorwaarden bleken ingevuld. Bevoegden waren evenwel wel verplicht om het afleveren van een geregistreerd geneesmiddel te melden aan de inspectie. Over het jaar 2011 heeft de inspectie bijgehouden hoeveel aanmeldingen voor aflevering van ongeregistreerde geneesmiddelen zijn ontvangen. In de tabel is het aantal aanmeldingen (van ongeregistreerde geneesmiddelen op artsenverklaring) opgenomen.</w:t>
      </w:r>
      <w:r>
        <w:rPr>
          <w:rFonts w:ascii="Verdana" w:hAnsi="Verdana"/>
          <w:sz w:val="18"/>
          <w:szCs w:val="18"/>
        </w:rPr>
        <w:t xml:space="preserve"> </w:t>
      </w:r>
      <w:r w:rsidRPr="001D3CBB">
        <w:rPr>
          <w:rFonts w:ascii="Verdana" w:hAnsi="Verdana"/>
          <w:sz w:val="18"/>
          <w:szCs w:val="18"/>
        </w:rPr>
        <w:t>In totaal zijn er 84 aanmeldingen van verschillende geneesmiddelen bij de inspectie binnen gekomen. In 69 van de gevallen voldeed de aflevering van deze ongeregistreerde geneesmiddelen aan de voorwaarden. In 15 gevallen was de aangeleverde informatie van de kant van de aanvrager niet afdoende, hetgeen gecommuniceerd werd met de aanmelder. In sommige gevallen heeft de aanmelder afgezien om medicijnen op artsenverklaring te verstrekken, en in andere gevallen wacht de IGZ nog op aanvullende informatie alvorens de verklaring goed te keuren. De gemiddelde doorlooptijd van de aanmeldingen die de inspectie nodig heeft om te toetsen aan de voorwaarden was 36 dagen.</w:t>
      </w:r>
      <w:r>
        <w:rPr>
          <w:rFonts w:ascii="Verdana" w:hAnsi="Verdana"/>
          <w:sz w:val="18"/>
          <w:szCs w:val="18"/>
        </w:rPr>
        <w:t xml:space="preserve"> </w:t>
      </w:r>
    </w:p>
    <w:p w:rsidR="00543E2A" w:rsidP="001D3CBB" w:rsidRDefault="00543E2A">
      <w:pPr>
        <w:spacing w:after="0" w:line="240" w:lineRule="atLeast"/>
        <w:jc w:val="both"/>
        <w:rPr>
          <w:rFonts w:ascii="Verdana" w:hAnsi="Verdana"/>
          <w:sz w:val="18"/>
          <w:szCs w:val="18"/>
        </w:rPr>
      </w:pPr>
    </w:p>
    <w:tbl>
      <w:tblPr>
        <w:tblpPr w:leftFromText="141" w:rightFromText="141" w:vertAnchor="text"/>
        <w:tblW w:w="0" w:type="auto"/>
        <w:tblCellMar>
          <w:left w:w="0" w:type="dxa"/>
          <w:right w:w="0" w:type="dxa"/>
        </w:tblCellMar>
        <w:tblLook w:val="00A0"/>
      </w:tblPr>
      <w:tblGrid>
        <w:gridCol w:w="3332"/>
        <w:gridCol w:w="1665"/>
        <w:gridCol w:w="1850"/>
        <w:gridCol w:w="2343"/>
      </w:tblGrid>
      <w:tr w:rsidR="00543E2A" w:rsidTr="001D0932">
        <w:tc>
          <w:tcPr>
            <w:tcW w:w="0" w:type="auto"/>
            <w:tcBorders>
              <w:top w:val="single" w:color="000000" w:sz="8" w:space="0"/>
              <w:left w:val="single" w:color="000000" w:sz="8" w:space="0"/>
              <w:bottom w:val="single" w:color="000000" w:sz="8" w:space="0"/>
              <w:right w:val="single" w:color="auto" w:sz="8" w:space="0"/>
            </w:tcBorders>
          </w:tcPr>
          <w:p w:rsidR="00543E2A" w:rsidP="001D0932" w:rsidRDefault="00543E2A">
            <w:pPr>
              <w:spacing w:after="0" w:line="240" w:lineRule="atLeast"/>
              <w:rPr>
                <w:rFonts w:ascii="Verdana" w:hAnsi="Verdana"/>
                <w:sz w:val="16"/>
                <w:szCs w:val="16"/>
              </w:rPr>
            </w:pPr>
            <w:r>
              <w:rPr>
                <w:rFonts w:ascii="Verdana" w:hAnsi="Verdana"/>
                <w:b/>
                <w:bCs/>
                <w:sz w:val="16"/>
                <w:szCs w:val="16"/>
              </w:rPr>
              <w:t>Bevoegden voor het afleveren van een ongeregistreerd geneesmiddel op artsenverklaring</w:t>
            </w:r>
          </w:p>
        </w:tc>
        <w:tc>
          <w:tcPr>
            <w:tcW w:w="0" w:type="auto"/>
            <w:tcBorders>
              <w:top w:val="single" w:color="auto" w:sz="8" w:space="0"/>
              <w:left w:val="nil"/>
              <w:bottom w:val="single" w:color="auto" w:sz="8" w:space="0"/>
              <w:right w:val="single" w:color="auto" w:sz="8" w:space="0"/>
            </w:tcBorders>
          </w:tcPr>
          <w:p w:rsidR="00543E2A" w:rsidP="001D0932" w:rsidRDefault="00543E2A">
            <w:pPr>
              <w:spacing w:after="0" w:line="240" w:lineRule="atLeast"/>
              <w:ind w:left="38"/>
              <w:rPr>
                <w:rFonts w:ascii="Verdana" w:hAnsi="Verdana"/>
                <w:b/>
                <w:bCs/>
                <w:sz w:val="16"/>
                <w:szCs w:val="16"/>
              </w:rPr>
            </w:pPr>
            <w:r>
              <w:rPr>
                <w:rFonts w:ascii="Verdana" w:hAnsi="Verdana"/>
                <w:b/>
                <w:bCs/>
                <w:sz w:val="16"/>
                <w:szCs w:val="16"/>
              </w:rPr>
              <w:t>Aantal aanmeldingen (2010)</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tcPr>
          <w:p w:rsidR="00543E2A" w:rsidP="001D0932" w:rsidRDefault="00543E2A">
            <w:pPr>
              <w:spacing w:after="0" w:line="240" w:lineRule="atLeast"/>
              <w:rPr>
                <w:rFonts w:ascii="Verdana" w:hAnsi="Verdana"/>
                <w:b/>
                <w:bCs/>
                <w:sz w:val="16"/>
                <w:szCs w:val="16"/>
              </w:rPr>
            </w:pPr>
            <w:r>
              <w:rPr>
                <w:rFonts w:ascii="Verdana" w:hAnsi="Verdana"/>
                <w:b/>
                <w:bCs/>
                <w:sz w:val="16"/>
                <w:szCs w:val="16"/>
              </w:rPr>
              <w:t>Aantal aanmeldingen (2011)</w:t>
            </w:r>
          </w:p>
        </w:tc>
        <w:tc>
          <w:tcPr>
            <w:tcW w:w="0" w:type="auto"/>
            <w:tcBorders>
              <w:top w:val="single" w:color="000000" w:sz="8" w:space="0"/>
              <w:left w:val="nil"/>
              <w:bottom w:val="single" w:color="000000" w:sz="8" w:space="0"/>
              <w:right w:val="single" w:color="000000" w:sz="8" w:space="0"/>
            </w:tcBorders>
            <w:tcMar>
              <w:top w:w="0" w:type="dxa"/>
              <w:left w:w="108" w:type="dxa"/>
              <w:bottom w:w="0" w:type="dxa"/>
              <w:right w:w="108" w:type="dxa"/>
            </w:tcMar>
          </w:tcPr>
          <w:p w:rsidR="00543E2A" w:rsidP="001D0932" w:rsidRDefault="00543E2A">
            <w:pPr>
              <w:pStyle w:val="Default"/>
              <w:spacing w:line="240" w:lineRule="atLeast"/>
              <w:rPr>
                <w:b/>
                <w:bCs/>
                <w:color w:val="auto"/>
                <w:sz w:val="16"/>
                <w:szCs w:val="16"/>
              </w:rPr>
            </w:pPr>
            <w:r>
              <w:rPr>
                <w:b/>
                <w:bCs/>
                <w:color w:val="auto"/>
                <w:sz w:val="16"/>
                <w:szCs w:val="16"/>
              </w:rPr>
              <w:t>Gemiddelde afhandelingstermijn</w:t>
            </w:r>
          </w:p>
        </w:tc>
      </w:tr>
      <w:tr w:rsidR="00543E2A" w:rsidTr="001D3CBB">
        <w:tc>
          <w:tcPr>
            <w:tcW w:w="0" w:type="auto"/>
            <w:tcBorders>
              <w:top w:val="nil"/>
              <w:left w:val="single" w:color="000000" w:sz="8" w:space="0"/>
              <w:bottom w:val="single" w:color="000000" w:sz="8" w:space="0"/>
              <w:right w:val="single" w:color="auto" w:sz="8" w:space="0"/>
            </w:tcBorders>
          </w:tcPr>
          <w:p w:rsidRPr="001D0932" w:rsidR="00543E2A" w:rsidP="001D3CBB" w:rsidRDefault="00543E2A">
            <w:pPr>
              <w:spacing w:after="0" w:line="240" w:lineRule="atLeast"/>
              <w:rPr>
                <w:rFonts w:ascii="Verdana" w:hAnsi="Verdana"/>
                <w:b/>
                <w:sz w:val="16"/>
                <w:szCs w:val="16"/>
              </w:rPr>
            </w:pPr>
            <w:r w:rsidRPr="001D0932">
              <w:rPr>
                <w:rFonts w:ascii="Verdana" w:hAnsi="Verdana"/>
                <w:b/>
                <w:sz w:val="16"/>
                <w:szCs w:val="16"/>
              </w:rPr>
              <w:t>Totaal</w:t>
            </w:r>
          </w:p>
        </w:tc>
        <w:tc>
          <w:tcPr>
            <w:tcW w:w="0" w:type="auto"/>
            <w:tcBorders>
              <w:top w:val="nil"/>
              <w:left w:val="nil"/>
              <w:bottom w:val="single" w:color="auto" w:sz="8" w:space="0"/>
              <w:right w:val="single" w:color="auto" w:sz="8" w:space="0"/>
            </w:tcBorders>
          </w:tcPr>
          <w:p w:rsidR="00543E2A" w:rsidP="001D3CBB" w:rsidRDefault="00543E2A">
            <w:pPr>
              <w:spacing w:after="0" w:line="240" w:lineRule="atLeast"/>
              <w:rPr>
                <w:rFonts w:ascii="Verdana" w:hAnsi="Verdana"/>
                <w:sz w:val="16"/>
                <w:szCs w:val="16"/>
              </w:rPr>
            </w:pPr>
            <w:r>
              <w:rPr>
                <w:rFonts w:ascii="Verdana" w:hAnsi="Verdana"/>
                <w:sz w:val="16"/>
                <w:szCs w:val="16"/>
              </w:rPr>
              <w:t>123</w:t>
            </w:r>
          </w:p>
        </w:tc>
        <w:tc>
          <w:tcPr>
            <w:tcW w:w="0" w:type="auto"/>
            <w:tcBorders>
              <w:top w:val="nil"/>
              <w:left w:val="nil"/>
              <w:bottom w:val="single" w:color="auto" w:sz="8" w:space="0"/>
              <w:right w:val="single" w:color="auto" w:sz="8" w:space="0"/>
            </w:tcBorders>
            <w:tcMar>
              <w:top w:w="0" w:type="dxa"/>
              <w:left w:w="108" w:type="dxa"/>
              <w:bottom w:w="0" w:type="dxa"/>
              <w:right w:w="108" w:type="dxa"/>
            </w:tcMar>
          </w:tcPr>
          <w:p w:rsidR="00543E2A" w:rsidP="001D3CBB" w:rsidRDefault="00543E2A">
            <w:pPr>
              <w:spacing w:after="0" w:line="240" w:lineRule="atLeast"/>
              <w:rPr>
                <w:rFonts w:ascii="Verdana" w:hAnsi="Verdana"/>
                <w:sz w:val="16"/>
                <w:szCs w:val="16"/>
              </w:rPr>
            </w:pPr>
            <w:r>
              <w:rPr>
                <w:rFonts w:ascii="Verdana" w:hAnsi="Verdana"/>
                <w:sz w:val="16"/>
                <w:szCs w:val="16"/>
              </w:rPr>
              <w:t>84</w:t>
            </w:r>
          </w:p>
        </w:tc>
        <w:tc>
          <w:tcPr>
            <w:tcW w:w="0" w:type="auto"/>
            <w:tcBorders>
              <w:top w:val="nil"/>
              <w:left w:val="nil"/>
              <w:bottom w:val="single" w:color="000000" w:sz="8" w:space="0"/>
              <w:right w:val="single" w:color="000000" w:sz="8" w:space="0"/>
            </w:tcBorders>
            <w:tcMar>
              <w:top w:w="0" w:type="dxa"/>
              <w:left w:w="108" w:type="dxa"/>
              <w:bottom w:w="0" w:type="dxa"/>
              <w:right w:w="108" w:type="dxa"/>
            </w:tcMar>
          </w:tcPr>
          <w:p w:rsidRPr="00D40F7D" w:rsidR="00543E2A" w:rsidP="001D3CBB" w:rsidRDefault="00543E2A">
            <w:pPr>
              <w:pStyle w:val="ListParagraph"/>
              <w:spacing w:after="0" w:line="240" w:lineRule="atLeast"/>
              <w:ind w:left="34"/>
              <w:rPr>
                <w:rFonts w:ascii="Verdana" w:hAnsi="Verdana"/>
                <w:sz w:val="16"/>
                <w:szCs w:val="16"/>
              </w:rPr>
            </w:pPr>
            <w:r w:rsidRPr="00D40F7D">
              <w:rPr>
                <w:rFonts w:ascii="Verdana" w:hAnsi="Verdana"/>
                <w:sz w:val="16"/>
                <w:szCs w:val="16"/>
              </w:rPr>
              <w:t>36 dagen</w:t>
            </w:r>
          </w:p>
        </w:tc>
      </w:tr>
    </w:tbl>
    <w:p w:rsidRPr="001D3CBB" w:rsidR="00543E2A" w:rsidP="001D3CBB" w:rsidRDefault="00543E2A">
      <w:pPr>
        <w:jc w:val="both"/>
        <w:rPr>
          <w:rFonts w:ascii="Verdana" w:hAnsi="Verdana"/>
          <w:color w:val="1F497D"/>
          <w:sz w:val="20"/>
          <w:szCs w:val="20"/>
        </w:rPr>
      </w:pPr>
      <w:r>
        <w:rPr>
          <w:rFonts w:ascii="Verdana" w:hAnsi="Verdana"/>
          <w:sz w:val="18"/>
          <w:szCs w:val="18"/>
        </w:rPr>
        <w:t>Bij wijziging van de Geneesmiddelenwet die op 1 januari 2012 in werking is getreden, heeft de inspectie de bevoegdheid gekregen om vooraf toestemming te geven voor het afleveren van ongeregistreerde geneesmiddelen op artsenverklaring. Bevoegden zijn vanaf 1 januari 2012 verplicht om</w:t>
      </w:r>
      <w:r>
        <w:rPr>
          <w:rFonts w:ascii="Verdana" w:hAnsi="Verdana"/>
          <w:color w:val="1F497D"/>
          <w:sz w:val="18"/>
          <w:szCs w:val="18"/>
        </w:rPr>
        <w:t xml:space="preserve"> </w:t>
      </w:r>
      <w:r>
        <w:rPr>
          <w:rFonts w:ascii="Verdana" w:hAnsi="Verdana"/>
          <w:sz w:val="18"/>
          <w:szCs w:val="18"/>
        </w:rPr>
        <w:t>een verzoek tot toestemming vooraf bij de IGZ in te dienen. De IGZ verwacht vanaf 2012 dan ook een zeer aanzienlijke stijging</w:t>
      </w:r>
      <w:r>
        <w:rPr>
          <w:rFonts w:ascii="Verdana" w:hAnsi="Verdana"/>
          <w:color w:val="1F497D"/>
          <w:sz w:val="18"/>
          <w:szCs w:val="18"/>
        </w:rPr>
        <w:t xml:space="preserve">. </w:t>
      </w:r>
    </w:p>
    <w:p w:rsidRPr="00B65A19" w:rsidR="00543E2A" w:rsidP="00F44A1C" w:rsidRDefault="00543E2A">
      <w:pPr>
        <w:pStyle w:val="Default"/>
        <w:spacing w:line="240" w:lineRule="atLeast"/>
        <w:rPr>
          <w:rFonts w:cs="Arial"/>
          <w:b/>
          <w:iCs/>
          <w:sz w:val="18"/>
          <w:szCs w:val="18"/>
        </w:rPr>
      </w:pPr>
      <w:r w:rsidRPr="00B65A19">
        <w:rPr>
          <w:rFonts w:cs="Arial"/>
          <w:b/>
          <w:iCs/>
          <w:sz w:val="18"/>
          <w:szCs w:val="18"/>
        </w:rPr>
        <w:t>Bezwaarschriften</w:t>
      </w:r>
    </w:p>
    <w:p w:rsidRPr="00B65A19" w:rsidR="00543E2A" w:rsidP="00F44A1C" w:rsidRDefault="00543E2A">
      <w:pPr>
        <w:pStyle w:val="Default"/>
        <w:spacing w:line="240" w:lineRule="atLeast"/>
        <w:rPr>
          <w:rFonts w:cs="Arial"/>
          <w:b/>
          <w:iCs/>
          <w:sz w:val="18"/>
          <w:szCs w:val="18"/>
        </w:rPr>
      </w:pPr>
    </w:p>
    <w:p w:rsidR="00543E2A" w:rsidP="00AD1DAE" w:rsidRDefault="00543E2A">
      <w:pPr>
        <w:pStyle w:val="Default"/>
        <w:spacing w:line="240" w:lineRule="atLeast"/>
        <w:jc w:val="both"/>
        <w:rPr>
          <w:color w:val="auto"/>
          <w:sz w:val="18"/>
          <w:szCs w:val="18"/>
        </w:rPr>
      </w:pPr>
      <w:r w:rsidRPr="00B65A19">
        <w:rPr>
          <w:sz w:val="18"/>
          <w:szCs w:val="18"/>
        </w:rPr>
        <w:t>De behandeling van bezwaarschriften, inclusief bezwaarschriften gericht aan de uitvoeringsdiensten en de inspecties, wordt centraal gecoördineerd door de directie Wetgeving en Juridische Zaken van VWS</w:t>
      </w:r>
      <w:r w:rsidRPr="00B65A19">
        <w:rPr>
          <w:color w:val="auto"/>
          <w:sz w:val="18"/>
          <w:szCs w:val="18"/>
        </w:rPr>
        <w:t xml:space="preserve">. Het aantal </w:t>
      </w:r>
      <w:r>
        <w:rPr>
          <w:color w:val="auto"/>
          <w:sz w:val="18"/>
          <w:szCs w:val="18"/>
        </w:rPr>
        <w:t xml:space="preserve">ontvangen </w:t>
      </w:r>
      <w:r w:rsidRPr="00B65A19">
        <w:rPr>
          <w:color w:val="auto"/>
          <w:sz w:val="18"/>
          <w:szCs w:val="18"/>
        </w:rPr>
        <w:t xml:space="preserve">bezwaarschriften is al jaren ongeveer gelijk. </w:t>
      </w:r>
      <w:r>
        <w:rPr>
          <w:color w:val="auto"/>
          <w:sz w:val="18"/>
          <w:szCs w:val="18"/>
        </w:rPr>
        <w:t xml:space="preserve">VWS ontving in 2011 in totaal 1080 bezwaarschriften. </w:t>
      </w:r>
    </w:p>
    <w:p w:rsidRPr="00B65A19" w:rsidR="00543E2A" w:rsidP="00AD1DAE" w:rsidRDefault="00543E2A">
      <w:pPr>
        <w:pStyle w:val="Default"/>
        <w:spacing w:line="240" w:lineRule="atLeast"/>
        <w:jc w:val="both"/>
        <w:rPr>
          <w:color w:val="auto"/>
          <w:sz w:val="18"/>
          <w:szCs w:val="18"/>
        </w:rPr>
      </w:pPr>
    </w:p>
    <w:p w:rsidRPr="009F1987" w:rsidR="00543E2A" w:rsidP="00AD1DAE" w:rsidRDefault="00543E2A">
      <w:pPr>
        <w:spacing w:after="0" w:line="240" w:lineRule="atLeast"/>
        <w:jc w:val="both"/>
        <w:rPr>
          <w:rFonts w:ascii="Verdana" w:hAnsi="Verdana"/>
          <w:sz w:val="18"/>
          <w:szCs w:val="18"/>
        </w:rPr>
      </w:pPr>
      <w:r w:rsidRPr="00B65A19">
        <w:rPr>
          <w:rFonts w:ascii="Verdana" w:hAnsi="Verdana"/>
          <w:sz w:val="18"/>
          <w:szCs w:val="18"/>
        </w:rPr>
        <w:t>In de tweede helft van 2011 is met succes het plan van aanpak versnelling afdoening bezwaarschriften uitgevoerd. De gemiddelde behandelduur is</w:t>
      </w:r>
      <w:r>
        <w:rPr>
          <w:rFonts w:ascii="Verdana" w:hAnsi="Verdana"/>
          <w:sz w:val="18"/>
          <w:szCs w:val="18"/>
        </w:rPr>
        <w:t xml:space="preserve"> daarmee</w:t>
      </w:r>
      <w:r w:rsidRPr="00B65A19">
        <w:rPr>
          <w:rFonts w:ascii="Verdana" w:hAnsi="Verdana"/>
          <w:sz w:val="18"/>
          <w:szCs w:val="18"/>
        </w:rPr>
        <w:t xml:space="preserve"> sterk verkort tot </w:t>
      </w:r>
      <w:r>
        <w:rPr>
          <w:rFonts w:ascii="Verdana" w:hAnsi="Verdana"/>
          <w:sz w:val="18"/>
          <w:szCs w:val="18"/>
        </w:rPr>
        <w:t>tien</w:t>
      </w:r>
      <w:r w:rsidRPr="00B65A19">
        <w:rPr>
          <w:rFonts w:ascii="Verdana" w:hAnsi="Verdana"/>
          <w:sz w:val="18"/>
          <w:szCs w:val="18"/>
        </w:rPr>
        <w:t xml:space="preserve"> weken. Het percentage bezwaarschriften dat in 2011 op tijd werd afgehandeld is door de invoering van deze nieuwe werkwijze aanzienlijk toegenomen ten opzichte van 2010 (2010: 30%). </w:t>
      </w:r>
      <w:r>
        <w:rPr>
          <w:rFonts w:ascii="Verdana" w:hAnsi="Verdana"/>
          <w:sz w:val="18"/>
          <w:szCs w:val="18"/>
        </w:rPr>
        <w:t xml:space="preserve">Vooralsnog staat het percentage gemeten over heel 2011 op 77%. </w:t>
      </w:r>
      <w:r w:rsidRPr="00B65A19">
        <w:rPr>
          <w:rFonts w:ascii="Verdana" w:hAnsi="Verdana"/>
          <w:sz w:val="18"/>
          <w:szCs w:val="18"/>
        </w:rPr>
        <w:t>Over het laatste kwartaal van 2011 staat het percentage op 98%.</w:t>
      </w:r>
      <w:r w:rsidRPr="005C0AF1">
        <w:rPr>
          <w:rFonts w:ascii="Verdana" w:hAnsi="Verdana"/>
          <w:sz w:val="18"/>
          <w:szCs w:val="18"/>
        </w:rPr>
        <w:t xml:space="preserve"> </w:t>
      </w:r>
      <w:r w:rsidRPr="009F1987">
        <w:rPr>
          <w:rFonts w:ascii="Verdana" w:hAnsi="Verdana"/>
          <w:sz w:val="18"/>
          <w:szCs w:val="18"/>
        </w:rPr>
        <w:t xml:space="preserve">Er wordt geen onderscheid gemaakt tussen de eerste termijn (zonder opschorting) en de tweede termijn. </w:t>
      </w:r>
    </w:p>
    <w:p w:rsidRPr="00B65A19" w:rsidR="00543E2A" w:rsidP="00B65A19" w:rsidRDefault="00543E2A">
      <w:pPr>
        <w:pStyle w:val="Default"/>
        <w:spacing w:line="240" w:lineRule="atLeast"/>
        <w:jc w:val="both"/>
        <w:rPr>
          <w:b/>
          <w:bCs/>
          <w:sz w:val="18"/>
          <w:szCs w:val="18"/>
        </w:rPr>
      </w:pPr>
    </w:p>
    <w:tbl>
      <w:tblPr>
        <w:tblW w:w="0" w:type="auto"/>
        <w:tblCellMar>
          <w:left w:w="0" w:type="dxa"/>
          <w:right w:w="0" w:type="dxa"/>
        </w:tblCellMar>
        <w:tblLook w:val="00A0"/>
      </w:tblPr>
      <w:tblGrid>
        <w:gridCol w:w="1255"/>
        <w:gridCol w:w="849"/>
        <w:gridCol w:w="849"/>
        <w:gridCol w:w="1995"/>
        <w:gridCol w:w="1670"/>
        <w:gridCol w:w="1361"/>
        <w:gridCol w:w="1309"/>
      </w:tblGrid>
      <w:tr w:rsidRPr="00B65A19" w:rsidR="00543E2A" w:rsidTr="00B65A19">
        <w:trPr>
          <w:trHeight w:val="1551"/>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Pr="00B65A19" w:rsidR="00543E2A" w:rsidP="00B65A19" w:rsidRDefault="00543E2A">
            <w:pPr>
              <w:pStyle w:val="Default"/>
              <w:spacing w:line="240" w:lineRule="atLeast"/>
              <w:rPr>
                <w:b/>
                <w:bCs/>
                <w:sz w:val="16"/>
                <w:szCs w:val="16"/>
              </w:rPr>
            </w:pPr>
            <w:r w:rsidRPr="00B65A19">
              <w:rPr>
                <w:b/>
                <w:bCs/>
                <w:sz w:val="16"/>
                <w:szCs w:val="16"/>
              </w:rPr>
              <w:t xml:space="preserve">Organisatie </w:t>
            </w:r>
          </w:p>
        </w:tc>
        <w:tc>
          <w:tcPr>
            <w:tcW w:w="0" w:type="auto"/>
            <w:tcBorders>
              <w:top w:val="single" w:color="000000" w:sz="8" w:space="0"/>
              <w:left w:val="nil"/>
              <w:bottom w:val="single" w:color="000000" w:sz="8" w:space="0"/>
              <w:right w:val="single" w:color="000000" w:sz="8" w:space="0"/>
            </w:tcBorders>
            <w:tcMar>
              <w:top w:w="0" w:type="dxa"/>
              <w:left w:w="108" w:type="dxa"/>
              <w:bottom w:w="0" w:type="dxa"/>
              <w:right w:w="108" w:type="dxa"/>
            </w:tcMar>
          </w:tcPr>
          <w:p w:rsidRPr="00B65A19" w:rsidR="00543E2A" w:rsidP="00B65A19" w:rsidRDefault="00543E2A">
            <w:pPr>
              <w:pStyle w:val="Default"/>
              <w:spacing w:line="240" w:lineRule="atLeast"/>
              <w:rPr>
                <w:b/>
                <w:bCs/>
                <w:color w:val="auto"/>
                <w:sz w:val="16"/>
                <w:szCs w:val="16"/>
              </w:rPr>
            </w:pPr>
            <w:r w:rsidRPr="00B65A19">
              <w:rPr>
                <w:b/>
                <w:bCs/>
                <w:color w:val="auto"/>
                <w:sz w:val="16"/>
                <w:szCs w:val="16"/>
              </w:rPr>
              <w:t xml:space="preserve">Aantal 2010 </w:t>
            </w:r>
          </w:p>
        </w:tc>
        <w:tc>
          <w:tcPr>
            <w:tcW w:w="0" w:type="auto"/>
            <w:tcBorders>
              <w:top w:val="single" w:color="000000" w:sz="8" w:space="0"/>
              <w:left w:val="nil"/>
              <w:bottom w:val="single" w:color="000000" w:sz="8" w:space="0"/>
              <w:right w:val="single" w:color="000000" w:sz="8" w:space="0"/>
            </w:tcBorders>
            <w:tcMar>
              <w:top w:w="0" w:type="dxa"/>
              <w:left w:w="108" w:type="dxa"/>
              <w:bottom w:w="0" w:type="dxa"/>
              <w:right w:w="108" w:type="dxa"/>
            </w:tcMar>
          </w:tcPr>
          <w:p w:rsidRPr="00B65A19" w:rsidR="00543E2A" w:rsidP="00B65A19" w:rsidRDefault="00543E2A">
            <w:pPr>
              <w:pStyle w:val="Default"/>
              <w:spacing w:line="240" w:lineRule="atLeast"/>
              <w:rPr>
                <w:b/>
                <w:bCs/>
                <w:color w:val="auto"/>
                <w:sz w:val="16"/>
                <w:szCs w:val="16"/>
              </w:rPr>
            </w:pPr>
            <w:r w:rsidRPr="00B65A19">
              <w:rPr>
                <w:b/>
                <w:bCs/>
                <w:color w:val="auto"/>
                <w:sz w:val="16"/>
                <w:szCs w:val="16"/>
              </w:rPr>
              <w:t xml:space="preserve">Aantal 2011 </w:t>
            </w:r>
          </w:p>
        </w:tc>
        <w:tc>
          <w:tcPr>
            <w:tcW w:w="0" w:type="auto"/>
            <w:tcBorders>
              <w:top w:val="single" w:color="000000" w:sz="8" w:space="0"/>
              <w:left w:val="nil"/>
              <w:bottom w:val="single" w:color="000000" w:sz="8" w:space="0"/>
              <w:right w:val="single" w:color="000000" w:sz="8" w:space="0"/>
            </w:tcBorders>
            <w:tcMar>
              <w:top w:w="0" w:type="dxa"/>
              <w:left w:w="108" w:type="dxa"/>
              <w:bottom w:w="0" w:type="dxa"/>
              <w:right w:w="108" w:type="dxa"/>
            </w:tcMar>
          </w:tcPr>
          <w:p w:rsidRPr="00B65A19" w:rsidR="00543E2A" w:rsidP="00B65A19" w:rsidRDefault="00543E2A">
            <w:pPr>
              <w:pStyle w:val="Default"/>
              <w:spacing w:line="240" w:lineRule="atLeast"/>
              <w:rPr>
                <w:b/>
                <w:bCs/>
                <w:color w:val="auto"/>
                <w:sz w:val="16"/>
                <w:szCs w:val="16"/>
              </w:rPr>
            </w:pPr>
            <w:r w:rsidRPr="00B65A19">
              <w:rPr>
                <w:b/>
                <w:bCs/>
                <w:color w:val="auto"/>
                <w:sz w:val="16"/>
                <w:szCs w:val="16"/>
              </w:rPr>
              <w:t>Percentage binnen de basis wettelijke termijn (zonder opschorting) verslagjaar</w:t>
            </w:r>
          </w:p>
        </w:tc>
        <w:tc>
          <w:tcPr>
            <w:tcW w:w="0" w:type="auto"/>
            <w:tcBorders>
              <w:top w:val="single" w:color="000000" w:sz="8" w:space="0"/>
              <w:left w:val="nil"/>
              <w:bottom w:val="single" w:color="000000" w:sz="8" w:space="0"/>
              <w:right w:val="single" w:color="000000" w:sz="8" w:space="0"/>
            </w:tcBorders>
            <w:tcMar>
              <w:top w:w="0" w:type="dxa"/>
              <w:left w:w="108" w:type="dxa"/>
              <w:bottom w:w="0" w:type="dxa"/>
              <w:right w:w="108" w:type="dxa"/>
            </w:tcMar>
          </w:tcPr>
          <w:p w:rsidRPr="00B65A19" w:rsidR="00543E2A" w:rsidP="00B65A19" w:rsidRDefault="00543E2A">
            <w:pPr>
              <w:pStyle w:val="Default"/>
              <w:spacing w:line="240" w:lineRule="atLeast"/>
              <w:rPr>
                <w:b/>
                <w:bCs/>
                <w:color w:val="auto"/>
                <w:sz w:val="16"/>
                <w:szCs w:val="16"/>
              </w:rPr>
            </w:pPr>
            <w:r w:rsidRPr="00B65A19">
              <w:rPr>
                <w:b/>
                <w:bCs/>
                <w:color w:val="auto"/>
                <w:sz w:val="16"/>
                <w:szCs w:val="16"/>
              </w:rPr>
              <w:t>Percentage afgedaan binnen verdaagde wettelijke termijn</w:t>
            </w:r>
          </w:p>
        </w:tc>
        <w:tc>
          <w:tcPr>
            <w:tcW w:w="0" w:type="auto"/>
            <w:tcBorders>
              <w:top w:val="single" w:color="000000" w:sz="8" w:space="0"/>
              <w:left w:val="nil"/>
              <w:bottom w:val="single" w:color="000000" w:sz="8" w:space="0"/>
              <w:right w:val="single" w:color="000000" w:sz="8" w:space="0"/>
            </w:tcBorders>
            <w:tcMar>
              <w:top w:w="0" w:type="dxa"/>
              <w:left w:w="108" w:type="dxa"/>
              <w:bottom w:w="0" w:type="dxa"/>
              <w:right w:w="108" w:type="dxa"/>
            </w:tcMar>
          </w:tcPr>
          <w:p w:rsidRPr="00B65A19" w:rsidR="00543E2A" w:rsidP="00B65A19" w:rsidRDefault="00543E2A">
            <w:pPr>
              <w:pStyle w:val="Default"/>
              <w:spacing w:line="240" w:lineRule="atLeast"/>
              <w:rPr>
                <w:b/>
                <w:bCs/>
                <w:color w:val="auto"/>
                <w:sz w:val="16"/>
                <w:szCs w:val="16"/>
              </w:rPr>
            </w:pPr>
            <w:r w:rsidRPr="00B65A19">
              <w:rPr>
                <w:b/>
                <w:bCs/>
                <w:color w:val="auto"/>
                <w:sz w:val="16"/>
                <w:szCs w:val="16"/>
              </w:rPr>
              <w:t>Aantal ontvangen ingebreke-</w:t>
            </w:r>
          </w:p>
          <w:p w:rsidRPr="00B65A19" w:rsidR="00543E2A" w:rsidP="00B65A19" w:rsidRDefault="00543E2A">
            <w:pPr>
              <w:pStyle w:val="Default"/>
              <w:spacing w:line="240" w:lineRule="atLeast"/>
              <w:rPr>
                <w:b/>
                <w:bCs/>
                <w:color w:val="auto"/>
                <w:sz w:val="16"/>
                <w:szCs w:val="16"/>
              </w:rPr>
            </w:pPr>
            <w:r w:rsidRPr="00B65A19">
              <w:rPr>
                <w:b/>
                <w:bCs/>
                <w:color w:val="auto"/>
                <w:sz w:val="16"/>
                <w:szCs w:val="16"/>
              </w:rPr>
              <w:t>stellingen</w:t>
            </w:r>
          </w:p>
        </w:tc>
        <w:tc>
          <w:tcPr>
            <w:tcW w:w="0" w:type="auto"/>
            <w:tcBorders>
              <w:top w:val="single" w:color="000000" w:sz="8" w:space="0"/>
              <w:left w:val="nil"/>
              <w:bottom w:val="single" w:color="000000" w:sz="8" w:space="0"/>
              <w:right w:val="single" w:color="000000" w:sz="8" w:space="0"/>
            </w:tcBorders>
            <w:tcMar>
              <w:top w:w="0" w:type="dxa"/>
              <w:left w:w="108" w:type="dxa"/>
              <w:bottom w:w="0" w:type="dxa"/>
              <w:right w:w="108" w:type="dxa"/>
            </w:tcMar>
          </w:tcPr>
          <w:p w:rsidRPr="00B65A19" w:rsidR="00543E2A" w:rsidP="00B65A19" w:rsidRDefault="00543E2A">
            <w:pPr>
              <w:pStyle w:val="Default"/>
              <w:spacing w:line="240" w:lineRule="atLeast"/>
              <w:rPr>
                <w:b/>
                <w:bCs/>
                <w:color w:val="auto"/>
                <w:sz w:val="16"/>
                <w:szCs w:val="16"/>
              </w:rPr>
            </w:pPr>
            <w:r w:rsidRPr="00B65A19">
              <w:rPr>
                <w:b/>
                <w:bCs/>
                <w:color w:val="auto"/>
                <w:sz w:val="16"/>
                <w:szCs w:val="16"/>
              </w:rPr>
              <w:t>Aantal</w:t>
            </w:r>
          </w:p>
          <w:p w:rsidRPr="00B65A19" w:rsidR="00543E2A" w:rsidP="00B65A19" w:rsidRDefault="00543E2A">
            <w:pPr>
              <w:pStyle w:val="Default"/>
              <w:spacing w:line="240" w:lineRule="atLeast"/>
              <w:rPr>
                <w:b/>
                <w:bCs/>
                <w:color w:val="auto"/>
                <w:sz w:val="16"/>
                <w:szCs w:val="16"/>
              </w:rPr>
            </w:pPr>
            <w:r w:rsidRPr="00B65A19">
              <w:rPr>
                <w:b/>
                <w:bCs/>
                <w:color w:val="auto"/>
                <w:sz w:val="16"/>
                <w:szCs w:val="16"/>
              </w:rPr>
              <w:t>betaalde</w:t>
            </w:r>
          </w:p>
          <w:p w:rsidRPr="00B65A19" w:rsidR="00543E2A" w:rsidP="00B65A19" w:rsidRDefault="00543E2A">
            <w:pPr>
              <w:pStyle w:val="Default"/>
              <w:spacing w:line="240" w:lineRule="atLeast"/>
              <w:rPr>
                <w:b/>
                <w:bCs/>
                <w:color w:val="auto"/>
                <w:sz w:val="16"/>
                <w:szCs w:val="16"/>
              </w:rPr>
            </w:pPr>
            <w:r w:rsidRPr="00B65A19">
              <w:rPr>
                <w:b/>
                <w:bCs/>
                <w:color w:val="auto"/>
                <w:sz w:val="16"/>
                <w:szCs w:val="16"/>
              </w:rPr>
              <w:t xml:space="preserve">dwangsom-men </w:t>
            </w:r>
          </w:p>
        </w:tc>
      </w:tr>
      <w:tr w:rsidRPr="00B65A19" w:rsidR="00543E2A" w:rsidTr="00B65A19">
        <w:trPr>
          <w:trHeight w:val="268"/>
        </w:trPr>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B65A19" w:rsidR="00543E2A" w:rsidP="00B65A19" w:rsidRDefault="00543E2A">
            <w:pPr>
              <w:pStyle w:val="Default"/>
              <w:spacing w:line="240" w:lineRule="atLeast"/>
              <w:jc w:val="both"/>
              <w:rPr>
                <w:b/>
                <w:bCs/>
                <w:sz w:val="16"/>
                <w:szCs w:val="16"/>
              </w:rPr>
            </w:pPr>
            <w:r w:rsidRPr="00B65A19">
              <w:rPr>
                <w:b/>
                <w:bCs/>
                <w:sz w:val="16"/>
                <w:szCs w:val="16"/>
              </w:rPr>
              <w:t>VWS</w:t>
            </w:r>
          </w:p>
        </w:tc>
        <w:tc>
          <w:tcPr>
            <w:tcW w:w="0" w:type="auto"/>
            <w:tcBorders>
              <w:top w:val="nil"/>
              <w:left w:val="nil"/>
              <w:bottom w:val="single" w:color="auto" w:sz="8" w:space="0"/>
              <w:right w:val="single" w:color="auto" w:sz="8" w:space="0"/>
            </w:tcBorders>
            <w:tcMar>
              <w:top w:w="0" w:type="dxa"/>
              <w:left w:w="108" w:type="dxa"/>
              <w:bottom w:w="0" w:type="dxa"/>
              <w:right w:w="108" w:type="dxa"/>
            </w:tcMar>
          </w:tcPr>
          <w:p w:rsidRPr="00B65A19" w:rsidR="00543E2A" w:rsidP="00B65A19" w:rsidRDefault="00543E2A">
            <w:pPr>
              <w:pStyle w:val="Default"/>
              <w:spacing w:line="240" w:lineRule="atLeast"/>
              <w:jc w:val="both"/>
              <w:rPr>
                <w:sz w:val="16"/>
                <w:szCs w:val="16"/>
              </w:rPr>
            </w:pPr>
            <w:r w:rsidRPr="00B65A19">
              <w:rPr>
                <w:sz w:val="16"/>
                <w:szCs w:val="16"/>
              </w:rPr>
              <w:t>1128</w:t>
            </w:r>
          </w:p>
        </w:tc>
        <w:tc>
          <w:tcPr>
            <w:tcW w:w="0" w:type="auto"/>
            <w:tcBorders>
              <w:top w:val="nil"/>
              <w:left w:val="nil"/>
              <w:bottom w:val="single" w:color="auto" w:sz="8" w:space="0"/>
              <w:right w:val="single" w:color="auto" w:sz="8" w:space="0"/>
            </w:tcBorders>
            <w:tcMar>
              <w:top w:w="0" w:type="dxa"/>
              <w:left w:w="108" w:type="dxa"/>
              <w:bottom w:w="0" w:type="dxa"/>
              <w:right w:w="108" w:type="dxa"/>
            </w:tcMar>
          </w:tcPr>
          <w:p w:rsidRPr="00B65A19" w:rsidR="00543E2A" w:rsidP="00B65A19" w:rsidRDefault="00543E2A">
            <w:pPr>
              <w:pStyle w:val="Default"/>
              <w:spacing w:line="240" w:lineRule="atLeast"/>
              <w:jc w:val="both"/>
              <w:rPr>
                <w:sz w:val="16"/>
                <w:szCs w:val="16"/>
              </w:rPr>
            </w:pPr>
            <w:r w:rsidRPr="00B65A19">
              <w:rPr>
                <w:sz w:val="16"/>
                <w:szCs w:val="16"/>
              </w:rPr>
              <w:t>1080</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tcPr>
          <w:p w:rsidRPr="00B65A19" w:rsidR="00543E2A" w:rsidP="00B65A19" w:rsidRDefault="00543E2A">
            <w:pPr>
              <w:pStyle w:val="Default"/>
              <w:spacing w:line="240" w:lineRule="atLeast"/>
              <w:jc w:val="both"/>
              <w:rPr>
                <w:sz w:val="16"/>
                <w:szCs w:val="16"/>
              </w:rPr>
            </w:pPr>
            <w:r w:rsidRPr="00B65A19">
              <w:rPr>
                <w:sz w:val="16"/>
                <w:szCs w:val="16"/>
              </w:rPr>
              <w:t>77%</w:t>
            </w:r>
          </w:p>
        </w:tc>
        <w:tc>
          <w:tcPr>
            <w:tcW w:w="0" w:type="auto"/>
            <w:tcBorders>
              <w:top w:val="nil"/>
              <w:left w:val="nil"/>
              <w:bottom w:val="single" w:color="auto" w:sz="8" w:space="0"/>
              <w:right w:val="single" w:color="auto" w:sz="8" w:space="0"/>
            </w:tcBorders>
            <w:tcMar>
              <w:top w:w="0" w:type="dxa"/>
              <w:left w:w="108" w:type="dxa"/>
              <w:bottom w:w="0" w:type="dxa"/>
              <w:right w:w="108" w:type="dxa"/>
            </w:tcMar>
          </w:tcPr>
          <w:p w:rsidRPr="00B65A19" w:rsidR="00543E2A" w:rsidP="00B65A19" w:rsidRDefault="00543E2A">
            <w:pPr>
              <w:pStyle w:val="Default"/>
              <w:spacing w:line="240" w:lineRule="atLeast"/>
              <w:jc w:val="both"/>
              <w:rPr>
                <w:sz w:val="16"/>
                <w:szCs w:val="16"/>
              </w:rPr>
            </w:pPr>
            <w:r w:rsidRPr="00B65A19">
              <w:rPr>
                <w:sz w:val="16"/>
                <w:szCs w:val="16"/>
              </w:rPr>
              <w:t>15</w:t>
            </w:r>
          </w:p>
        </w:tc>
        <w:tc>
          <w:tcPr>
            <w:tcW w:w="0" w:type="auto"/>
            <w:tcBorders>
              <w:top w:val="nil"/>
              <w:left w:val="nil"/>
              <w:bottom w:val="single" w:color="auto" w:sz="8" w:space="0"/>
              <w:right w:val="single" w:color="auto" w:sz="8" w:space="0"/>
            </w:tcBorders>
            <w:tcMar>
              <w:top w:w="0" w:type="dxa"/>
              <w:left w:w="108" w:type="dxa"/>
              <w:bottom w:w="0" w:type="dxa"/>
              <w:right w:w="108" w:type="dxa"/>
            </w:tcMar>
          </w:tcPr>
          <w:p w:rsidRPr="00B65A19" w:rsidR="00543E2A" w:rsidP="00B65A19" w:rsidRDefault="00543E2A">
            <w:pPr>
              <w:pStyle w:val="Default"/>
              <w:spacing w:line="240" w:lineRule="atLeast"/>
              <w:jc w:val="both"/>
              <w:rPr>
                <w:sz w:val="16"/>
                <w:szCs w:val="16"/>
              </w:rPr>
            </w:pPr>
            <w:r w:rsidRPr="00B65A19">
              <w:rPr>
                <w:sz w:val="16"/>
                <w:szCs w:val="16"/>
              </w:rPr>
              <w:t>3</w:t>
            </w:r>
          </w:p>
        </w:tc>
      </w:tr>
    </w:tbl>
    <w:p w:rsidRPr="00B65A19" w:rsidR="00543E2A" w:rsidP="00B65A19" w:rsidRDefault="00543E2A">
      <w:pPr>
        <w:spacing w:after="0" w:line="240" w:lineRule="atLeast"/>
        <w:jc w:val="both"/>
        <w:rPr>
          <w:rFonts w:ascii="Verdana" w:hAnsi="Verdana"/>
          <w:color w:val="1F497D"/>
          <w:sz w:val="18"/>
          <w:szCs w:val="18"/>
        </w:rPr>
      </w:pPr>
    </w:p>
    <w:p w:rsidR="00543E2A" w:rsidP="005C0AF1" w:rsidRDefault="00543E2A">
      <w:pPr>
        <w:spacing w:after="0" w:line="240" w:lineRule="atLeast"/>
        <w:jc w:val="both"/>
        <w:rPr>
          <w:rFonts w:ascii="Verdana" w:hAnsi="Verdana"/>
          <w:sz w:val="18"/>
          <w:szCs w:val="18"/>
        </w:rPr>
      </w:pPr>
      <w:r w:rsidRPr="00B65A19">
        <w:rPr>
          <w:rFonts w:ascii="Verdana" w:hAnsi="Verdana"/>
          <w:sz w:val="18"/>
          <w:szCs w:val="18"/>
        </w:rPr>
        <w:t xml:space="preserve">Er zijn </w:t>
      </w:r>
      <w:r>
        <w:rPr>
          <w:rFonts w:ascii="Verdana" w:hAnsi="Verdana"/>
          <w:sz w:val="18"/>
          <w:szCs w:val="18"/>
        </w:rPr>
        <w:t>vijf</w:t>
      </w:r>
      <w:r w:rsidRPr="00B65A19">
        <w:rPr>
          <w:rFonts w:ascii="Verdana" w:hAnsi="Verdana"/>
          <w:sz w:val="18"/>
          <w:szCs w:val="18"/>
        </w:rPr>
        <w:t xml:space="preserve"> ingebrekestellingen ingediend tegen besluiten van het kerndepartement, </w:t>
      </w:r>
      <w:r>
        <w:rPr>
          <w:rFonts w:ascii="Verdana" w:hAnsi="Verdana"/>
          <w:sz w:val="18"/>
          <w:szCs w:val="18"/>
        </w:rPr>
        <w:t>twee</w:t>
      </w:r>
      <w:r w:rsidRPr="00B65A19">
        <w:rPr>
          <w:rFonts w:ascii="Verdana" w:hAnsi="Verdana"/>
          <w:sz w:val="18"/>
          <w:szCs w:val="18"/>
        </w:rPr>
        <w:t xml:space="preserve"> tegen besluiten van de uitvoerende diensten (CIBG en RIVM) en </w:t>
      </w:r>
      <w:r>
        <w:rPr>
          <w:rFonts w:ascii="Verdana" w:hAnsi="Verdana"/>
          <w:sz w:val="18"/>
          <w:szCs w:val="18"/>
        </w:rPr>
        <w:t>acht</w:t>
      </w:r>
      <w:r w:rsidRPr="00B65A19">
        <w:rPr>
          <w:rFonts w:ascii="Verdana" w:hAnsi="Verdana"/>
          <w:sz w:val="18"/>
          <w:szCs w:val="18"/>
        </w:rPr>
        <w:t xml:space="preserve"> tegen besluiten van de inspecties (IGZ en NVWA). In totaal zijn er </w:t>
      </w:r>
      <w:r>
        <w:rPr>
          <w:rFonts w:ascii="Verdana" w:hAnsi="Verdana"/>
          <w:sz w:val="18"/>
          <w:szCs w:val="18"/>
        </w:rPr>
        <w:t>drie</w:t>
      </w:r>
      <w:r w:rsidRPr="00B65A19">
        <w:rPr>
          <w:rFonts w:ascii="Verdana" w:hAnsi="Verdana"/>
          <w:sz w:val="18"/>
          <w:szCs w:val="18"/>
        </w:rPr>
        <w:t xml:space="preserve"> dwangsommen uitbetaald: </w:t>
      </w:r>
      <w:r>
        <w:rPr>
          <w:rFonts w:ascii="Verdana" w:hAnsi="Verdana"/>
          <w:sz w:val="18"/>
          <w:szCs w:val="18"/>
        </w:rPr>
        <w:t>een</w:t>
      </w:r>
      <w:r w:rsidRPr="00B65A19">
        <w:rPr>
          <w:rFonts w:ascii="Verdana" w:hAnsi="Verdana"/>
          <w:sz w:val="18"/>
          <w:szCs w:val="18"/>
        </w:rPr>
        <w:t xml:space="preserve"> voor het kernd</w:t>
      </w:r>
      <w:r>
        <w:rPr>
          <w:rFonts w:ascii="Verdana" w:hAnsi="Verdana"/>
          <w:sz w:val="18"/>
          <w:szCs w:val="18"/>
        </w:rPr>
        <w:t>epartement, een</w:t>
      </w:r>
      <w:r w:rsidRPr="00B65A19">
        <w:rPr>
          <w:rFonts w:ascii="Verdana" w:hAnsi="Verdana"/>
          <w:sz w:val="18"/>
          <w:szCs w:val="18"/>
        </w:rPr>
        <w:t xml:space="preserve"> voor een uitvoerende dienst en </w:t>
      </w:r>
      <w:r>
        <w:rPr>
          <w:rFonts w:ascii="Verdana" w:hAnsi="Verdana"/>
          <w:sz w:val="18"/>
          <w:szCs w:val="18"/>
        </w:rPr>
        <w:t>een</w:t>
      </w:r>
      <w:r w:rsidRPr="00B65A19">
        <w:rPr>
          <w:rFonts w:ascii="Verdana" w:hAnsi="Verdana"/>
          <w:sz w:val="18"/>
          <w:szCs w:val="18"/>
        </w:rPr>
        <w:t xml:space="preserve"> voor een inspectie. </w:t>
      </w:r>
    </w:p>
    <w:p w:rsidRPr="005C0AF1" w:rsidR="00543E2A" w:rsidP="005C0AF1" w:rsidRDefault="00543E2A">
      <w:pPr>
        <w:spacing w:after="0" w:line="240" w:lineRule="atLeast"/>
        <w:jc w:val="both"/>
        <w:rPr>
          <w:rFonts w:ascii="Verdana" w:hAnsi="Verdana"/>
          <w:sz w:val="18"/>
          <w:szCs w:val="18"/>
        </w:rPr>
      </w:pPr>
    </w:p>
    <w:p w:rsidRPr="009F1987" w:rsidR="00543E2A" w:rsidP="00F44A1C" w:rsidRDefault="00543E2A">
      <w:pPr>
        <w:spacing w:after="0" w:line="240" w:lineRule="atLeast"/>
        <w:rPr>
          <w:rFonts w:ascii="Verdana" w:hAnsi="Verdana"/>
          <w:b/>
          <w:sz w:val="18"/>
          <w:szCs w:val="18"/>
        </w:rPr>
      </w:pPr>
      <w:r w:rsidRPr="009F1987">
        <w:rPr>
          <w:rFonts w:ascii="Verdana" w:hAnsi="Verdana"/>
          <w:b/>
          <w:sz w:val="18"/>
          <w:szCs w:val="18"/>
        </w:rPr>
        <w:t>Klaagschriften</w:t>
      </w:r>
    </w:p>
    <w:p w:rsidRPr="009F1987" w:rsidR="00543E2A" w:rsidP="00F44A1C" w:rsidRDefault="00543E2A">
      <w:pPr>
        <w:spacing w:after="0" w:line="240" w:lineRule="atLeast"/>
        <w:rPr>
          <w:rFonts w:ascii="Verdana" w:hAnsi="Verdana"/>
          <w:b/>
          <w:sz w:val="18"/>
          <w:szCs w:val="18"/>
        </w:rPr>
      </w:pPr>
    </w:p>
    <w:p w:rsidRPr="009F1987" w:rsidR="00543E2A" w:rsidP="00C809E3" w:rsidRDefault="00543E2A">
      <w:pPr>
        <w:spacing w:after="0" w:line="240" w:lineRule="atLeast"/>
        <w:jc w:val="both"/>
        <w:rPr>
          <w:rFonts w:ascii="Verdana" w:hAnsi="Verdana"/>
          <w:sz w:val="18"/>
          <w:szCs w:val="18"/>
        </w:rPr>
      </w:pPr>
      <w:r w:rsidRPr="009F1987">
        <w:rPr>
          <w:rFonts w:ascii="Verdana" w:hAnsi="Verdana"/>
          <w:sz w:val="18"/>
          <w:szCs w:val="18"/>
        </w:rPr>
        <w:t xml:space="preserve">Alle kerndirecties evenals uitvoeringsdiensten en inspecties </w:t>
      </w:r>
      <w:r>
        <w:rPr>
          <w:rFonts w:ascii="Verdana" w:hAnsi="Verdana"/>
          <w:sz w:val="18"/>
          <w:szCs w:val="18"/>
        </w:rPr>
        <w:t xml:space="preserve">behandelen en registreren zelf de ontvangen klaagschriften. Hierbij wordt aan de </w:t>
      </w:r>
      <w:r w:rsidRPr="009F1987">
        <w:rPr>
          <w:rFonts w:ascii="Verdana" w:hAnsi="Verdana"/>
          <w:sz w:val="18"/>
          <w:szCs w:val="18"/>
        </w:rPr>
        <w:t>richtlijnen van de directie Wetgeving en Juridische Zaken (WJZ</w:t>
      </w:r>
      <w:r>
        <w:rPr>
          <w:rFonts w:ascii="Verdana" w:hAnsi="Verdana"/>
          <w:sz w:val="18"/>
          <w:szCs w:val="18"/>
        </w:rPr>
        <w:t>) gehouden.</w:t>
      </w:r>
    </w:p>
    <w:p w:rsidRPr="009F1987" w:rsidR="00543E2A" w:rsidP="00C809E3" w:rsidRDefault="00543E2A">
      <w:pPr>
        <w:spacing w:after="0" w:line="240" w:lineRule="atLeast"/>
        <w:jc w:val="both"/>
        <w:rPr>
          <w:rFonts w:ascii="Verdana" w:hAnsi="Verdana"/>
          <w:sz w:val="18"/>
          <w:szCs w:val="18"/>
        </w:rPr>
      </w:pPr>
    </w:p>
    <w:p w:rsidRPr="009F1987" w:rsidR="00543E2A" w:rsidP="00C809E3" w:rsidRDefault="00543E2A">
      <w:pPr>
        <w:spacing w:after="0" w:line="240" w:lineRule="atLeast"/>
        <w:jc w:val="both"/>
        <w:rPr>
          <w:rFonts w:ascii="Verdana" w:hAnsi="Verdana"/>
          <w:sz w:val="18"/>
          <w:szCs w:val="18"/>
        </w:rPr>
      </w:pPr>
      <w:r w:rsidRPr="009F1987">
        <w:rPr>
          <w:rFonts w:ascii="Verdana" w:hAnsi="Verdana"/>
          <w:sz w:val="18"/>
          <w:szCs w:val="18"/>
        </w:rPr>
        <w:t>VWS ontving in 2011 161 klachten. Hiervan werden er</w:t>
      </w:r>
      <w:r>
        <w:rPr>
          <w:rFonts w:ascii="Verdana" w:hAnsi="Verdana"/>
          <w:sz w:val="18"/>
          <w:szCs w:val="18"/>
        </w:rPr>
        <w:t xml:space="preserve"> 4</w:t>
      </w:r>
      <w:r w:rsidRPr="009F1987">
        <w:rPr>
          <w:rFonts w:ascii="Verdana" w:hAnsi="Verdana"/>
          <w:sz w:val="18"/>
          <w:szCs w:val="18"/>
        </w:rPr>
        <w:t xml:space="preserve"> ingediend bij het kerndepartement, 80 bij het CIBG, 28 bij het College Beoordeling Geneesmiddelen (CBG), 11 bij het Rijksinstituut voor Volksgezondheid en Milieu (RIVM) en 38 bij de IGZ. Ruim 90% van de klaagschriften is binnen de wettelijke termijn afgedaan.</w:t>
      </w:r>
    </w:p>
    <w:p w:rsidRPr="009F1987" w:rsidR="00543E2A" w:rsidP="00F44A1C" w:rsidRDefault="00543E2A">
      <w:pPr>
        <w:spacing w:after="0" w:line="240" w:lineRule="atLeast"/>
        <w:rPr>
          <w:rFonts w:ascii="Verdana" w:hAnsi="Verdana"/>
          <w:sz w:val="18"/>
          <w:szCs w:val="18"/>
        </w:rPr>
      </w:pP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A0"/>
      </w:tblPr>
      <w:tblGrid>
        <w:gridCol w:w="3586"/>
        <w:gridCol w:w="2851"/>
        <w:gridCol w:w="2851"/>
      </w:tblGrid>
      <w:tr w:rsidRPr="009F1987" w:rsidR="00543E2A" w:rsidTr="001D0932">
        <w:tc>
          <w:tcPr>
            <w:tcW w:w="1930" w:type="pct"/>
          </w:tcPr>
          <w:p w:rsidRPr="009F1987" w:rsidR="00543E2A" w:rsidP="00D94837" w:rsidRDefault="00543E2A">
            <w:pPr>
              <w:pStyle w:val="Default"/>
              <w:rPr>
                <w:rFonts w:cs="Arial"/>
                <w:b/>
                <w:sz w:val="16"/>
                <w:szCs w:val="16"/>
              </w:rPr>
            </w:pPr>
            <w:r w:rsidRPr="009F1987">
              <w:rPr>
                <w:rFonts w:cs="Arial"/>
                <w:b/>
                <w:sz w:val="16"/>
                <w:szCs w:val="16"/>
              </w:rPr>
              <w:t>Organisatie</w:t>
            </w:r>
          </w:p>
          <w:p w:rsidRPr="009F1987" w:rsidR="00543E2A" w:rsidP="00D94837" w:rsidRDefault="00543E2A">
            <w:pPr>
              <w:pStyle w:val="Default"/>
              <w:rPr>
                <w:rFonts w:cs="Arial"/>
                <w:b/>
                <w:sz w:val="16"/>
                <w:szCs w:val="16"/>
              </w:rPr>
            </w:pPr>
          </w:p>
        </w:tc>
        <w:tc>
          <w:tcPr>
            <w:tcW w:w="1535" w:type="pct"/>
          </w:tcPr>
          <w:p w:rsidRPr="009F1987" w:rsidR="00543E2A" w:rsidP="00582685" w:rsidRDefault="00543E2A">
            <w:pPr>
              <w:pStyle w:val="Default"/>
              <w:rPr>
                <w:rFonts w:cs="Arial"/>
                <w:b/>
                <w:sz w:val="16"/>
                <w:szCs w:val="16"/>
              </w:rPr>
            </w:pPr>
            <w:r w:rsidRPr="009F1987">
              <w:rPr>
                <w:rFonts w:cs="Arial"/>
                <w:b/>
                <w:sz w:val="16"/>
                <w:szCs w:val="16"/>
              </w:rPr>
              <w:t xml:space="preserve">Aantal (in 2010) </w:t>
            </w:r>
          </w:p>
        </w:tc>
        <w:tc>
          <w:tcPr>
            <w:tcW w:w="1535" w:type="pct"/>
          </w:tcPr>
          <w:p w:rsidRPr="009F1987" w:rsidR="00543E2A" w:rsidP="00582685" w:rsidRDefault="00543E2A">
            <w:pPr>
              <w:pStyle w:val="Default"/>
              <w:rPr>
                <w:rFonts w:cs="Arial"/>
                <w:b/>
                <w:sz w:val="16"/>
                <w:szCs w:val="16"/>
              </w:rPr>
            </w:pPr>
            <w:r w:rsidRPr="009F1987">
              <w:rPr>
                <w:rFonts w:cs="Arial"/>
                <w:b/>
                <w:sz w:val="16"/>
                <w:szCs w:val="16"/>
              </w:rPr>
              <w:t>Aantal (in 2011)</w:t>
            </w:r>
          </w:p>
        </w:tc>
      </w:tr>
      <w:tr w:rsidRPr="009F1987" w:rsidR="00543E2A" w:rsidTr="001D0932">
        <w:tc>
          <w:tcPr>
            <w:tcW w:w="1930" w:type="pct"/>
          </w:tcPr>
          <w:p w:rsidRPr="009F1987" w:rsidR="00543E2A" w:rsidP="00D94837" w:rsidRDefault="00543E2A">
            <w:pPr>
              <w:pStyle w:val="Default"/>
              <w:rPr>
                <w:rFonts w:cs="Arial"/>
                <w:b/>
                <w:sz w:val="16"/>
                <w:szCs w:val="16"/>
              </w:rPr>
            </w:pPr>
            <w:r w:rsidRPr="009F1987">
              <w:rPr>
                <w:rFonts w:cs="Arial"/>
                <w:b/>
                <w:sz w:val="16"/>
                <w:szCs w:val="16"/>
              </w:rPr>
              <w:t>Kerndepartement</w:t>
            </w:r>
          </w:p>
          <w:p w:rsidRPr="009F1987" w:rsidR="00543E2A" w:rsidP="00D94837" w:rsidRDefault="00543E2A">
            <w:pPr>
              <w:pStyle w:val="Default"/>
              <w:rPr>
                <w:rFonts w:cs="Arial"/>
                <w:b/>
                <w:sz w:val="16"/>
                <w:szCs w:val="16"/>
              </w:rPr>
            </w:pPr>
          </w:p>
        </w:tc>
        <w:tc>
          <w:tcPr>
            <w:tcW w:w="1535" w:type="pct"/>
          </w:tcPr>
          <w:p w:rsidRPr="009F1987" w:rsidR="00543E2A" w:rsidP="00D94837" w:rsidRDefault="00543E2A">
            <w:pPr>
              <w:pStyle w:val="Default"/>
              <w:rPr>
                <w:rFonts w:cs="Arial"/>
                <w:sz w:val="16"/>
                <w:szCs w:val="16"/>
              </w:rPr>
            </w:pPr>
            <w:r w:rsidRPr="009F1987">
              <w:rPr>
                <w:rFonts w:cs="Arial"/>
                <w:sz w:val="16"/>
                <w:szCs w:val="16"/>
              </w:rPr>
              <w:t>8</w:t>
            </w:r>
          </w:p>
        </w:tc>
        <w:tc>
          <w:tcPr>
            <w:tcW w:w="1535" w:type="pct"/>
          </w:tcPr>
          <w:p w:rsidRPr="009F1987" w:rsidR="00543E2A" w:rsidP="00D94837" w:rsidRDefault="00543E2A">
            <w:pPr>
              <w:pStyle w:val="Default"/>
              <w:rPr>
                <w:rFonts w:cs="Arial"/>
                <w:sz w:val="16"/>
                <w:szCs w:val="16"/>
              </w:rPr>
            </w:pPr>
            <w:r w:rsidRPr="009F1987">
              <w:rPr>
                <w:rFonts w:cs="Arial"/>
                <w:sz w:val="16"/>
                <w:szCs w:val="16"/>
              </w:rPr>
              <w:t>4</w:t>
            </w:r>
          </w:p>
        </w:tc>
      </w:tr>
      <w:tr w:rsidRPr="009F1987" w:rsidR="00543E2A" w:rsidTr="001D0932">
        <w:tc>
          <w:tcPr>
            <w:tcW w:w="1930" w:type="pct"/>
          </w:tcPr>
          <w:p w:rsidRPr="009F1987" w:rsidR="00543E2A" w:rsidP="00D94837" w:rsidRDefault="00543E2A">
            <w:pPr>
              <w:pStyle w:val="Default"/>
              <w:rPr>
                <w:rFonts w:cs="Arial"/>
                <w:b/>
                <w:sz w:val="16"/>
                <w:szCs w:val="16"/>
              </w:rPr>
            </w:pPr>
            <w:r w:rsidRPr="009F1987">
              <w:rPr>
                <w:rFonts w:cs="Arial"/>
                <w:b/>
                <w:sz w:val="16"/>
                <w:szCs w:val="16"/>
              </w:rPr>
              <w:t>Uitvoerende diensten</w:t>
            </w:r>
          </w:p>
          <w:p w:rsidRPr="009F1987" w:rsidR="00543E2A" w:rsidP="00D94837" w:rsidRDefault="00543E2A">
            <w:pPr>
              <w:pStyle w:val="Default"/>
              <w:rPr>
                <w:rFonts w:cs="Arial"/>
                <w:b/>
                <w:sz w:val="16"/>
                <w:szCs w:val="16"/>
              </w:rPr>
            </w:pPr>
          </w:p>
        </w:tc>
        <w:tc>
          <w:tcPr>
            <w:tcW w:w="1535" w:type="pct"/>
          </w:tcPr>
          <w:p w:rsidRPr="009F1987" w:rsidR="00543E2A" w:rsidP="00D94837" w:rsidRDefault="00543E2A">
            <w:pPr>
              <w:pStyle w:val="Default"/>
              <w:rPr>
                <w:rFonts w:cs="Arial"/>
                <w:sz w:val="16"/>
                <w:szCs w:val="16"/>
              </w:rPr>
            </w:pPr>
            <w:r w:rsidRPr="009F1987">
              <w:rPr>
                <w:rFonts w:cs="Arial"/>
                <w:sz w:val="16"/>
                <w:szCs w:val="16"/>
              </w:rPr>
              <w:t>106</w:t>
            </w:r>
          </w:p>
        </w:tc>
        <w:tc>
          <w:tcPr>
            <w:tcW w:w="1535" w:type="pct"/>
          </w:tcPr>
          <w:p w:rsidRPr="009F1987" w:rsidR="00543E2A" w:rsidP="00D94837" w:rsidRDefault="00543E2A">
            <w:pPr>
              <w:pStyle w:val="Default"/>
              <w:rPr>
                <w:rFonts w:cs="Arial"/>
                <w:sz w:val="16"/>
                <w:szCs w:val="16"/>
              </w:rPr>
            </w:pPr>
            <w:r w:rsidRPr="009F1987">
              <w:rPr>
                <w:rFonts w:cs="Arial"/>
                <w:sz w:val="16"/>
                <w:szCs w:val="16"/>
              </w:rPr>
              <w:t>119</w:t>
            </w:r>
          </w:p>
        </w:tc>
      </w:tr>
      <w:tr w:rsidRPr="009F1987" w:rsidR="00543E2A" w:rsidTr="001D0932">
        <w:tc>
          <w:tcPr>
            <w:tcW w:w="1930" w:type="pct"/>
          </w:tcPr>
          <w:p w:rsidRPr="009F1987" w:rsidR="00543E2A" w:rsidP="00D94837" w:rsidRDefault="00543E2A">
            <w:pPr>
              <w:pStyle w:val="Default"/>
              <w:rPr>
                <w:rFonts w:cs="Arial"/>
                <w:b/>
                <w:sz w:val="16"/>
                <w:szCs w:val="16"/>
              </w:rPr>
            </w:pPr>
            <w:r w:rsidRPr="009F1987">
              <w:rPr>
                <w:rFonts w:cs="Arial"/>
                <w:b/>
                <w:sz w:val="16"/>
                <w:szCs w:val="16"/>
              </w:rPr>
              <w:t>Inspecties</w:t>
            </w:r>
          </w:p>
          <w:p w:rsidRPr="009F1987" w:rsidR="00543E2A" w:rsidP="00D94837" w:rsidRDefault="00543E2A">
            <w:pPr>
              <w:pStyle w:val="Default"/>
              <w:rPr>
                <w:rFonts w:cs="Arial"/>
                <w:b/>
                <w:sz w:val="16"/>
                <w:szCs w:val="16"/>
              </w:rPr>
            </w:pPr>
          </w:p>
        </w:tc>
        <w:tc>
          <w:tcPr>
            <w:tcW w:w="1535" w:type="pct"/>
          </w:tcPr>
          <w:p w:rsidRPr="009F1987" w:rsidR="00543E2A" w:rsidP="00D94837" w:rsidRDefault="00543E2A">
            <w:pPr>
              <w:pStyle w:val="Default"/>
              <w:rPr>
                <w:rFonts w:cs="Arial"/>
                <w:sz w:val="16"/>
                <w:szCs w:val="16"/>
              </w:rPr>
            </w:pPr>
            <w:r w:rsidRPr="009F1987">
              <w:rPr>
                <w:rFonts w:cs="Arial"/>
                <w:sz w:val="16"/>
                <w:szCs w:val="16"/>
              </w:rPr>
              <w:t>27</w:t>
            </w:r>
          </w:p>
        </w:tc>
        <w:tc>
          <w:tcPr>
            <w:tcW w:w="1535" w:type="pct"/>
          </w:tcPr>
          <w:p w:rsidRPr="009F1987" w:rsidR="00543E2A" w:rsidP="00D94837" w:rsidRDefault="00543E2A">
            <w:pPr>
              <w:pStyle w:val="Default"/>
              <w:rPr>
                <w:rFonts w:cs="Arial"/>
                <w:sz w:val="16"/>
                <w:szCs w:val="16"/>
              </w:rPr>
            </w:pPr>
            <w:r w:rsidRPr="009F1987">
              <w:rPr>
                <w:rFonts w:cs="Arial"/>
                <w:sz w:val="16"/>
                <w:szCs w:val="16"/>
              </w:rPr>
              <w:t>38</w:t>
            </w:r>
          </w:p>
        </w:tc>
      </w:tr>
      <w:tr w:rsidRPr="009F1987" w:rsidR="00543E2A" w:rsidTr="001D0932">
        <w:tc>
          <w:tcPr>
            <w:tcW w:w="1930" w:type="pct"/>
          </w:tcPr>
          <w:p w:rsidRPr="009F1987" w:rsidR="00543E2A" w:rsidP="00D94837" w:rsidRDefault="00543E2A">
            <w:pPr>
              <w:pStyle w:val="Default"/>
              <w:rPr>
                <w:rFonts w:cs="Arial"/>
                <w:b/>
                <w:sz w:val="16"/>
                <w:szCs w:val="16"/>
              </w:rPr>
            </w:pPr>
            <w:r w:rsidRPr="009F1987">
              <w:rPr>
                <w:rFonts w:cs="Arial"/>
                <w:b/>
                <w:sz w:val="16"/>
                <w:szCs w:val="16"/>
              </w:rPr>
              <w:t>Totaal</w:t>
            </w:r>
          </w:p>
        </w:tc>
        <w:tc>
          <w:tcPr>
            <w:tcW w:w="1535" w:type="pct"/>
          </w:tcPr>
          <w:p w:rsidRPr="009F1987" w:rsidR="00543E2A" w:rsidP="00D94837" w:rsidRDefault="00543E2A">
            <w:pPr>
              <w:pStyle w:val="Default"/>
              <w:rPr>
                <w:rFonts w:cs="Arial"/>
                <w:sz w:val="16"/>
                <w:szCs w:val="16"/>
              </w:rPr>
            </w:pPr>
            <w:r w:rsidRPr="009F1987">
              <w:rPr>
                <w:rFonts w:cs="Arial"/>
                <w:sz w:val="16"/>
                <w:szCs w:val="16"/>
              </w:rPr>
              <w:t>141</w:t>
            </w:r>
          </w:p>
        </w:tc>
        <w:tc>
          <w:tcPr>
            <w:tcW w:w="1535" w:type="pct"/>
          </w:tcPr>
          <w:p w:rsidRPr="009F1987" w:rsidR="00543E2A" w:rsidP="00D94837" w:rsidRDefault="00543E2A">
            <w:pPr>
              <w:pStyle w:val="Default"/>
              <w:rPr>
                <w:rFonts w:cs="Arial"/>
                <w:sz w:val="16"/>
                <w:szCs w:val="16"/>
              </w:rPr>
            </w:pPr>
            <w:r w:rsidRPr="009F1987">
              <w:rPr>
                <w:rFonts w:cs="Arial"/>
                <w:sz w:val="16"/>
                <w:szCs w:val="16"/>
              </w:rPr>
              <w:t>161</w:t>
            </w:r>
          </w:p>
        </w:tc>
      </w:tr>
    </w:tbl>
    <w:p w:rsidRPr="009F1987" w:rsidR="00543E2A" w:rsidP="00D94837" w:rsidRDefault="00543E2A">
      <w:pPr>
        <w:rPr>
          <w:rFonts w:ascii="Verdana" w:hAnsi="Verdana"/>
          <w:b/>
          <w:sz w:val="18"/>
          <w:szCs w:val="18"/>
          <w:highlight w:val="yellow"/>
        </w:rPr>
      </w:pPr>
    </w:p>
    <w:p w:rsidRPr="009F1987" w:rsidR="00543E2A" w:rsidP="00F70087" w:rsidRDefault="00543E2A">
      <w:pPr>
        <w:spacing w:after="0" w:line="240" w:lineRule="atLeast"/>
        <w:jc w:val="both"/>
        <w:rPr>
          <w:rFonts w:ascii="Verdana" w:hAnsi="Verdana"/>
          <w:b/>
          <w:sz w:val="18"/>
          <w:szCs w:val="18"/>
        </w:rPr>
      </w:pPr>
    </w:p>
    <w:p w:rsidRPr="009F1987" w:rsidR="00543E2A" w:rsidP="00F70087" w:rsidRDefault="00543E2A">
      <w:pPr>
        <w:spacing w:after="0" w:line="240" w:lineRule="atLeast"/>
        <w:jc w:val="both"/>
        <w:rPr>
          <w:rFonts w:ascii="Verdana" w:hAnsi="Verdana"/>
          <w:b/>
          <w:sz w:val="18"/>
          <w:szCs w:val="18"/>
        </w:rPr>
      </w:pPr>
    </w:p>
    <w:p w:rsidRPr="009F1987" w:rsidR="00543E2A" w:rsidP="00F70087" w:rsidRDefault="00543E2A">
      <w:pPr>
        <w:spacing w:after="0" w:line="240" w:lineRule="atLeast"/>
        <w:jc w:val="both"/>
        <w:rPr>
          <w:rFonts w:ascii="Verdana" w:hAnsi="Verdana"/>
          <w:b/>
          <w:sz w:val="18"/>
          <w:szCs w:val="18"/>
        </w:rPr>
      </w:pPr>
    </w:p>
    <w:p w:rsidRPr="009F1987" w:rsidR="00543E2A" w:rsidP="00F70087" w:rsidRDefault="00543E2A">
      <w:pPr>
        <w:spacing w:after="0" w:line="240" w:lineRule="atLeast"/>
        <w:jc w:val="both"/>
        <w:rPr>
          <w:rFonts w:ascii="Verdana" w:hAnsi="Verdana"/>
          <w:b/>
          <w:sz w:val="18"/>
          <w:szCs w:val="18"/>
        </w:rPr>
      </w:pPr>
      <w:r w:rsidRPr="009F1987">
        <w:rPr>
          <w:rFonts w:ascii="Verdana" w:hAnsi="Verdana"/>
          <w:b/>
          <w:sz w:val="18"/>
          <w:szCs w:val="18"/>
        </w:rPr>
        <w:t>Overige brieven</w:t>
      </w:r>
    </w:p>
    <w:p w:rsidRPr="009F1987" w:rsidR="00543E2A" w:rsidP="00F70087" w:rsidRDefault="00543E2A">
      <w:pPr>
        <w:spacing w:after="0" w:line="240" w:lineRule="atLeast"/>
        <w:jc w:val="both"/>
        <w:rPr>
          <w:rFonts w:ascii="Verdana" w:hAnsi="Verdana"/>
          <w:b/>
          <w:sz w:val="18"/>
          <w:szCs w:val="18"/>
        </w:rPr>
      </w:pPr>
    </w:p>
    <w:p w:rsidRPr="009F1987" w:rsidR="00543E2A" w:rsidP="00F70087" w:rsidRDefault="00543E2A">
      <w:pPr>
        <w:spacing w:after="0" w:line="240" w:lineRule="atLeast"/>
        <w:jc w:val="both"/>
        <w:rPr>
          <w:rFonts w:ascii="Verdana" w:hAnsi="Verdana"/>
          <w:i/>
          <w:sz w:val="18"/>
          <w:szCs w:val="18"/>
        </w:rPr>
      </w:pPr>
      <w:r w:rsidRPr="009F1987">
        <w:rPr>
          <w:rFonts w:ascii="Verdana" w:hAnsi="Verdana"/>
          <w:i/>
          <w:sz w:val="18"/>
          <w:szCs w:val="18"/>
        </w:rPr>
        <w:t>VWS kern</w:t>
      </w:r>
    </w:p>
    <w:p w:rsidRPr="009F1987" w:rsidR="00543E2A" w:rsidP="00F70087" w:rsidRDefault="00543E2A">
      <w:pPr>
        <w:spacing w:after="0" w:line="240" w:lineRule="atLeast"/>
        <w:jc w:val="both"/>
        <w:rPr>
          <w:rFonts w:ascii="Verdana" w:hAnsi="Verdana"/>
          <w:i/>
          <w:sz w:val="18"/>
          <w:szCs w:val="18"/>
        </w:rPr>
      </w:pPr>
    </w:p>
    <w:p w:rsidRPr="009F1987" w:rsidR="00543E2A" w:rsidP="00F70087" w:rsidRDefault="00543E2A">
      <w:pPr>
        <w:spacing w:after="0" w:line="240" w:lineRule="atLeast"/>
        <w:jc w:val="both"/>
        <w:rPr>
          <w:rFonts w:ascii="Verdana" w:hAnsi="Verdana"/>
          <w:sz w:val="18"/>
          <w:szCs w:val="18"/>
        </w:rPr>
      </w:pPr>
      <w:r w:rsidRPr="009F1987">
        <w:rPr>
          <w:rFonts w:ascii="Verdana" w:hAnsi="Verdana"/>
          <w:sz w:val="18"/>
          <w:szCs w:val="18"/>
        </w:rPr>
        <w:t>In 2010 ontving het kerndepartement 2885 burgerbrieven. In 2011 waren dat er 2899, de aantallen zijn in vergelijking met het voorgaande jaar vrijwel gelijk gebleven. Wel is de gemiddelde beantwoording</w:t>
      </w:r>
      <w:r>
        <w:rPr>
          <w:rFonts w:ascii="Verdana" w:hAnsi="Verdana"/>
          <w:sz w:val="18"/>
          <w:szCs w:val="18"/>
        </w:rPr>
        <w:t>s</w:t>
      </w:r>
      <w:r w:rsidRPr="009F1987">
        <w:rPr>
          <w:rFonts w:ascii="Verdana" w:hAnsi="Verdana"/>
          <w:sz w:val="18"/>
          <w:szCs w:val="18"/>
        </w:rPr>
        <w:t xml:space="preserve">termijn versneld met ongeveer 10 dagen, van 42 dagen in 2010 naar 32 dagen in 2011. Hiermee is bijna 70% van de brieven binnen de door de Nationale Ombudsman vastgestelde maximum termijn van drie weken is beantwoord. In 2010 stond het percentage aanzienlijk lager. Bij een maximum termijn van zes weken is meer dan 90% van de brieven beantwoord. </w:t>
      </w:r>
    </w:p>
    <w:p w:rsidRPr="009F1987" w:rsidR="00543E2A" w:rsidP="00F70087" w:rsidRDefault="00543E2A">
      <w:pPr>
        <w:spacing w:after="0" w:line="240" w:lineRule="atLeast"/>
        <w:jc w:val="both"/>
        <w:rPr>
          <w:rFonts w:ascii="Verdana" w:hAnsi="Verdana" w:cs="Arial"/>
          <w:sz w:val="18"/>
          <w:szCs w:val="18"/>
        </w:rPr>
      </w:pPr>
    </w:p>
    <w:p w:rsidRPr="009F1987" w:rsidR="00543E2A" w:rsidP="00EE6A6D" w:rsidRDefault="00543E2A">
      <w:pPr>
        <w:spacing w:after="0" w:line="240" w:lineRule="atLeast"/>
        <w:jc w:val="both"/>
        <w:rPr>
          <w:rFonts w:ascii="Verdana" w:hAnsi="Verdana" w:cs="Arial"/>
          <w:sz w:val="18"/>
          <w:szCs w:val="18"/>
        </w:rPr>
      </w:pPr>
      <w:r w:rsidRPr="009F1987">
        <w:rPr>
          <w:rFonts w:ascii="Verdana" w:hAnsi="Verdana" w:cs="Arial"/>
          <w:sz w:val="18"/>
          <w:szCs w:val="18"/>
        </w:rPr>
        <w:t xml:space="preserve">De burgerbrieven worden vrijwel direct na ontvangst in behandeling genomen, voorafgaand aan schriftelijke beantwoording vindt soms telefonisch contact plaats. Reden van vertraging en het niet halen van de afdoeningstermijn ligt vaak aan de afstemming met de politieke besluitvorming en afhankelijkheid (bijvoorbeeld door informatieopvraag) van derden. </w:t>
      </w:r>
      <w:r w:rsidRPr="009F1987">
        <w:rPr>
          <w:rFonts w:ascii="Verdana" w:hAnsi="Verdana"/>
          <w:sz w:val="18"/>
          <w:szCs w:val="18"/>
        </w:rPr>
        <w:t>Daarnaast geldt dat brieven gericht aan de Koningin op het terrein van het Ministerie van VWS een langere afhandelingduur vragen. Deze worden namens de Koningin beantwoord door de bewindspersonen, hetgeen gezien de administratieve procedures meer tijd kost dan een burgerbrief gericht aan een bewindspersoon van VWS.</w:t>
      </w:r>
    </w:p>
    <w:p w:rsidRPr="007F5252" w:rsidR="00543E2A" w:rsidP="00EE6A6D" w:rsidRDefault="00543E2A">
      <w:pPr>
        <w:spacing w:after="0" w:line="240" w:lineRule="atLeast"/>
        <w:jc w:val="both"/>
        <w:rPr>
          <w:rFonts w:ascii="Verdana" w:hAnsi="Verdana"/>
          <w:sz w:val="18"/>
          <w:szCs w:val="18"/>
        </w:rPr>
      </w:pPr>
    </w:p>
    <w:p w:rsidRPr="007F5252" w:rsidR="00543E2A" w:rsidP="00EE6A6D" w:rsidRDefault="00543E2A">
      <w:pPr>
        <w:spacing w:after="0" w:line="240" w:lineRule="atLeast"/>
        <w:jc w:val="both"/>
        <w:rPr>
          <w:rFonts w:ascii="Verdana" w:hAnsi="Verdana"/>
          <w:i/>
          <w:sz w:val="18"/>
          <w:szCs w:val="18"/>
        </w:rPr>
      </w:pPr>
      <w:r w:rsidRPr="007F5252">
        <w:rPr>
          <w:rFonts w:ascii="Verdana" w:hAnsi="Verdana"/>
          <w:i/>
          <w:sz w:val="18"/>
          <w:szCs w:val="18"/>
        </w:rPr>
        <w:t>Uitvoeringsdiensten</w:t>
      </w:r>
    </w:p>
    <w:p w:rsidRPr="007F5252" w:rsidR="00543E2A" w:rsidP="00EE6A6D" w:rsidRDefault="00543E2A">
      <w:pPr>
        <w:spacing w:after="0" w:line="240" w:lineRule="atLeast"/>
        <w:jc w:val="both"/>
        <w:rPr>
          <w:rFonts w:ascii="Verdana" w:hAnsi="Verdana"/>
          <w:i/>
          <w:sz w:val="18"/>
          <w:szCs w:val="18"/>
        </w:rPr>
      </w:pPr>
    </w:p>
    <w:p w:rsidRPr="009F1987" w:rsidR="00543E2A" w:rsidP="00EE6A6D" w:rsidRDefault="00543E2A">
      <w:pPr>
        <w:spacing w:after="0" w:line="240" w:lineRule="atLeast"/>
        <w:jc w:val="both"/>
        <w:rPr>
          <w:rFonts w:ascii="Verdana" w:hAnsi="Verdana"/>
          <w:sz w:val="18"/>
          <w:szCs w:val="18"/>
        </w:rPr>
      </w:pPr>
      <w:r w:rsidRPr="007F5252">
        <w:rPr>
          <w:rFonts w:ascii="Verdana" w:hAnsi="Verdana"/>
          <w:sz w:val="18"/>
          <w:szCs w:val="18"/>
        </w:rPr>
        <w:t>De uitvoeringsdiensten hebben in 2011 gezamenlijk een beperkt aantal overige burgerbrieven ontvangen. Het</w:t>
      </w:r>
      <w:r w:rsidRPr="007F5252">
        <w:rPr>
          <w:rStyle w:val="st1"/>
          <w:rFonts w:ascii="Verdana" w:hAnsi="Verdana" w:cs="Arial"/>
          <w:sz w:val="18"/>
          <w:szCs w:val="18"/>
        </w:rPr>
        <w:t xml:space="preserve"> College ter Beoordeling van Geneesmiddelen (CBG)</w:t>
      </w:r>
      <w:r w:rsidRPr="007F5252">
        <w:rPr>
          <w:rFonts w:ascii="Verdana" w:hAnsi="Verdana"/>
          <w:sz w:val="18"/>
          <w:szCs w:val="18"/>
        </w:rPr>
        <w:t xml:space="preserve"> en het Nederlands Vaccin Instituut (NVI) geven aan geen burgerbrieven te hebben ontvangen in 2011. De Gezondheidsraad (GR) en het Rijksinstituut voor Volksgezondheid en Milieu (RIVM) hebben tezamen 16 burgerbrieven ontvangen. Het Sociaal Cultureel Planbureau (SCP) ontving 24 brieven in 2011.</w:t>
      </w:r>
      <w:r w:rsidRPr="009F1987">
        <w:rPr>
          <w:rFonts w:ascii="Verdana" w:hAnsi="Verdana"/>
          <w:sz w:val="18"/>
          <w:szCs w:val="18"/>
        </w:rPr>
        <w:t xml:space="preserve"> </w:t>
      </w:r>
    </w:p>
    <w:p w:rsidR="00543E2A" w:rsidP="002013D4" w:rsidRDefault="00543E2A">
      <w:pPr>
        <w:spacing w:after="0" w:line="240" w:lineRule="atLeast"/>
        <w:jc w:val="both"/>
        <w:rPr>
          <w:rFonts w:ascii="Verdana" w:hAnsi="Verdana"/>
          <w:i/>
          <w:sz w:val="18"/>
          <w:szCs w:val="18"/>
        </w:rPr>
      </w:pPr>
    </w:p>
    <w:p w:rsidRPr="007F5252" w:rsidR="00543E2A" w:rsidP="002013D4" w:rsidRDefault="00543E2A">
      <w:pPr>
        <w:spacing w:after="0" w:line="240" w:lineRule="atLeast"/>
        <w:jc w:val="both"/>
        <w:rPr>
          <w:rFonts w:ascii="Verdana" w:hAnsi="Verdana"/>
          <w:i/>
          <w:sz w:val="18"/>
          <w:szCs w:val="18"/>
        </w:rPr>
      </w:pPr>
      <w:r w:rsidRPr="007F5252">
        <w:rPr>
          <w:rFonts w:ascii="Verdana" w:hAnsi="Verdana"/>
          <w:i/>
          <w:sz w:val="18"/>
          <w:szCs w:val="18"/>
        </w:rPr>
        <w:t>Inspecties</w:t>
      </w:r>
    </w:p>
    <w:p w:rsidRPr="007F5252" w:rsidR="00543E2A" w:rsidP="002013D4" w:rsidRDefault="00543E2A">
      <w:pPr>
        <w:spacing w:after="0" w:line="240" w:lineRule="atLeast"/>
        <w:jc w:val="both"/>
        <w:rPr>
          <w:rFonts w:ascii="Verdana" w:hAnsi="Verdana"/>
          <w:i/>
          <w:sz w:val="18"/>
          <w:szCs w:val="18"/>
        </w:rPr>
      </w:pPr>
    </w:p>
    <w:p w:rsidRPr="00EF6237" w:rsidR="00543E2A" w:rsidP="00E648E6" w:rsidRDefault="00543E2A">
      <w:pPr>
        <w:rPr>
          <w:rFonts w:ascii="Verdana" w:hAnsi="Verdana" w:cs="Arial"/>
          <w:sz w:val="18"/>
          <w:szCs w:val="18"/>
        </w:rPr>
      </w:pPr>
      <w:r>
        <w:rPr>
          <w:rFonts w:ascii="Verdana" w:hAnsi="Verdana"/>
          <w:sz w:val="18"/>
          <w:szCs w:val="18"/>
        </w:rPr>
        <w:t xml:space="preserve">In 2011 ontving de IGZ 7 brieven die als (overige) burgerbrief werden geregistreerd. Net als bij de inventarisatie in 2010 (waarin de IGZ 9 brieven ontving), zijn alle andere berichten die de inspectie van burgers ontving zoals de meldingen, klaagschriften, aanvragen of bezwaarschriften, niet in de selectie opgenomen. Van de 7 brieven zijn er 3 binnen de vastgestelde termijn beantwoord. De overige 4 brieven zijn, onder andere in verband met benodigd informatie(onderzoek) door derden, buiten de vastgestelde termijn beantwoord. </w:t>
      </w:r>
    </w:p>
    <w:p w:rsidR="00543E2A" w:rsidP="002013D4" w:rsidRDefault="00543E2A">
      <w:pPr>
        <w:spacing w:after="0" w:line="240" w:lineRule="atLeast"/>
        <w:jc w:val="both"/>
        <w:rPr>
          <w:rFonts w:ascii="Verdana" w:hAnsi="Verdana"/>
          <w:sz w:val="18"/>
          <w:szCs w:val="18"/>
        </w:rPr>
      </w:pPr>
      <w:r w:rsidRPr="007F5252">
        <w:rPr>
          <w:rFonts w:ascii="Verdana" w:hAnsi="Verdana"/>
          <w:sz w:val="18"/>
          <w:szCs w:val="18"/>
        </w:rPr>
        <w:t xml:space="preserve">De Inspectie Jeugdzorg (IJZ) heeft in 2011 in totaal 31 brieven ontvangen. De gemiddelde beantwoordingstermijn van de IJZ is van 41 dagen in 2010 verkort tot 10 dagen in 2011. Hiermee zijn ook alle brieven beantwoord binnen de vastgestelde termijn. </w:t>
      </w:r>
    </w:p>
    <w:p w:rsidRPr="007F5252" w:rsidR="00543E2A" w:rsidP="002013D4" w:rsidRDefault="00543E2A">
      <w:pPr>
        <w:spacing w:after="0" w:line="240" w:lineRule="atLeast"/>
        <w:jc w:val="both"/>
        <w:rPr>
          <w:rFonts w:ascii="Verdana" w:hAnsi="Verdana"/>
          <w:sz w:val="18"/>
          <w:szCs w:val="18"/>
        </w:rPr>
      </w:pPr>
    </w:p>
    <w:p w:rsidRPr="009F1987" w:rsidR="00543E2A" w:rsidP="002013D4" w:rsidRDefault="00543E2A">
      <w:pPr>
        <w:spacing w:after="0" w:line="240" w:lineRule="atLeast"/>
        <w:rPr>
          <w:rFonts w:ascii="Verdana" w:hAnsi="Verdana"/>
          <w:sz w:val="18"/>
          <w:szCs w:val="18"/>
          <w:highlight w:val="yellow"/>
        </w:rPr>
      </w:pPr>
    </w:p>
    <w:tbl>
      <w:tblP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tblPr>
      <w:tblGrid>
        <w:gridCol w:w="2141"/>
        <w:gridCol w:w="1703"/>
        <w:gridCol w:w="1703"/>
        <w:gridCol w:w="3534"/>
      </w:tblGrid>
      <w:tr w:rsidRPr="009F1987" w:rsidR="00543E2A" w:rsidTr="001D0932">
        <w:trPr>
          <w:trHeight w:val="1051"/>
        </w:trPr>
        <w:tc>
          <w:tcPr>
            <w:tcW w:w="0" w:type="auto"/>
          </w:tcPr>
          <w:p w:rsidRPr="009F1987" w:rsidR="00543E2A" w:rsidP="002013D4" w:rsidRDefault="00543E2A">
            <w:pPr>
              <w:pStyle w:val="Default"/>
              <w:spacing w:line="240" w:lineRule="atLeast"/>
              <w:rPr>
                <w:rFonts w:cs="Arial"/>
                <w:b/>
                <w:sz w:val="16"/>
                <w:szCs w:val="16"/>
              </w:rPr>
            </w:pPr>
            <w:r w:rsidRPr="009F1987">
              <w:rPr>
                <w:rFonts w:cs="Arial"/>
                <w:b/>
                <w:sz w:val="16"/>
                <w:szCs w:val="16"/>
              </w:rPr>
              <w:t xml:space="preserve">Organisatie </w:t>
            </w:r>
          </w:p>
        </w:tc>
        <w:tc>
          <w:tcPr>
            <w:tcW w:w="0" w:type="auto"/>
          </w:tcPr>
          <w:p w:rsidRPr="009F1987" w:rsidR="00543E2A" w:rsidP="002013D4" w:rsidRDefault="00543E2A">
            <w:pPr>
              <w:pStyle w:val="Default"/>
              <w:spacing w:line="240" w:lineRule="atLeast"/>
              <w:rPr>
                <w:rFonts w:cs="Arial"/>
                <w:b/>
                <w:sz w:val="16"/>
                <w:szCs w:val="16"/>
              </w:rPr>
            </w:pPr>
            <w:r w:rsidRPr="009F1987">
              <w:rPr>
                <w:rFonts w:cs="Arial"/>
                <w:b/>
                <w:sz w:val="16"/>
                <w:szCs w:val="16"/>
              </w:rPr>
              <w:t>Aantal (in 2010)</w:t>
            </w:r>
          </w:p>
        </w:tc>
        <w:tc>
          <w:tcPr>
            <w:tcW w:w="0" w:type="auto"/>
          </w:tcPr>
          <w:p w:rsidRPr="009F1987" w:rsidR="00543E2A" w:rsidP="002013D4" w:rsidRDefault="00543E2A">
            <w:pPr>
              <w:pStyle w:val="Default"/>
              <w:spacing w:line="240" w:lineRule="atLeast"/>
              <w:rPr>
                <w:rFonts w:cs="Arial"/>
                <w:b/>
                <w:sz w:val="16"/>
                <w:szCs w:val="16"/>
              </w:rPr>
            </w:pPr>
            <w:r w:rsidRPr="009F1987">
              <w:rPr>
                <w:rFonts w:cs="Arial"/>
                <w:b/>
                <w:sz w:val="16"/>
                <w:szCs w:val="16"/>
              </w:rPr>
              <w:t>Aantal (in 2011)</w:t>
            </w:r>
          </w:p>
        </w:tc>
        <w:tc>
          <w:tcPr>
            <w:tcW w:w="0" w:type="auto"/>
          </w:tcPr>
          <w:p w:rsidRPr="009F1987" w:rsidR="00543E2A" w:rsidP="002013D4" w:rsidRDefault="00543E2A">
            <w:pPr>
              <w:pStyle w:val="Default"/>
              <w:spacing w:line="240" w:lineRule="atLeast"/>
              <w:rPr>
                <w:rFonts w:cs="Arial"/>
                <w:b/>
                <w:sz w:val="16"/>
                <w:szCs w:val="16"/>
              </w:rPr>
            </w:pPr>
            <w:r w:rsidRPr="009F1987">
              <w:rPr>
                <w:rFonts w:cs="Arial"/>
                <w:b/>
                <w:sz w:val="16"/>
                <w:szCs w:val="16"/>
              </w:rPr>
              <w:t xml:space="preserve">Gemiddelde behandeltijd verslagjaar </w:t>
            </w:r>
          </w:p>
        </w:tc>
      </w:tr>
      <w:tr w:rsidRPr="009F1987" w:rsidR="00543E2A" w:rsidTr="001D0932">
        <w:tblPrEx>
          <w:tblLook w:val="00A0"/>
        </w:tblPrEx>
        <w:trPr>
          <w:trHeight w:val="463"/>
        </w:trPr>
        <w:tc>
          <w:tcPr>
            <w:tcW w:w="0" w:type="auto"/>
            <w:vAlign w:val="center"/>
          </w:tcPr>
          <w:p w:rsidRPr="009F1987" w:rsidR="00543E2A" w:rsidP="002013D4" w:rsidRDefault="00543E2A">
            <w:pPr>
              <w:pStyle w:val="Default"/>
              <w:spacing w:line="276" w:lineRule="auto"/>
              <w:rPr>
                <w:rFonts w:cs="Arial"/>
                <w:b/>
                <w:sz w:val="16"/>
                <w:szCs w:val="16"/>
              </w:rPr>
            </w:pPr>
            <w:r w:rsidRPr="009F1987">
              <w:rPr>
                <w:rFonts w:cs="Arial"/>
                <w:b/>
                <w:sz w:val="16"/>
                <w:szCs w:val="16"/>
              </w:rPr>
              <w:t>Kern</w:t>
            </w:r>
          </w:p>
          <w:p w:rsidRPr="009F1987" w:rsidR="00543E2A" w:rsidP="002013D4" w:rsidRDefault="00543E2A">
            <w:pPr>
              <w:pStyle w:val="Default"/>
              <w:spacing w:line="276" w:lineRule="auto"/>
              <w:rPr>
                <w:rFonts w:cs="Arial"/>
                <w:b/>
                <w:sz w:val="16"/>
                <w:szCs w:val="16"/>
              </w:rPr>
            </w:pPr>
            <w:r w:rsidRPr="009F1987">
              <w:rPr>
                <w:rFonts w:cs="Arial"/>
                <w:b/>
                <w:sz w:val="16"/>
                <w:szCs w:val="16"/>
              </w:rPr>
              <w:t>departement</w:t>
            </w:r>
          </w:p>
        </w:tc>
        <w:tc>
          <w:tcPr>
            <w:tcW w:w="0" w:type="auto"/>
            <w:vAlign w:val="center"/>
          </w:tcPr>
          <w:p w:rsidRPr="009F1987" w:rsidR="00543E2A" w:rsidP="002013D4" w:rsidRDefault="00543E2A">
            <w:pPr>
              <w:pStyle w:val="Default"/>
              <w:spacing w:line="276" w:lineRule="auto"/>
              <w:jc w:val="center"/>
              <w:rPr>
                <w:rFonts w:cs="Arial"/>
                <w:sz w:val="16"/>
                <w:szCs w:val="16"/>
              </w:rPr>
            </w:pPr>
            <w:r w:rsidRPr="009F1987">
              <w:rPr>
                <w:rFonts w:cs="Arial"/>
                <w:sz w:val="16"/>
                <w:szCs w:val="16"/>
              </w:rPr>
              <w:t>2885</w:t>
            </w:r>
          </w:p>
        </w:tc>
        <w:tc>
          <w:tcPr>
            <w:tcW w:w="0" w:type="auto"/>
            <w:vAlign w:val="center"/>
          </w:tcPr>
          <w:p w:rsidRPr="009F1987" w:rsidR="00543E2A" w:rsidP="002013D4" w:rsidRDefault="00543E2A">
            <w:pPr>
              <w:pStyle w:val="Default"/>
              <w:spacing w:line="276" w:lineRule="auto"/>
              <w:jc w:val="center"/>
              <w:rPr>
                <w:rFonts w:cs="Arial"/>
                <w:iCs/>
                <w:sz w:val="16"/>
                <w:szCs w:val="16"/>
              </w:rPr>
            </w:pPr>
            <w:r w:rsidRPr="009F1987">
              <w:rPr>
                <w:rFonts w:cs="Arial"/>
                <w:iCs/>
                <w:sz w:val="16"/>
                <w:szCs w:val="16"/>
              </w:rPr>
              <w:t>2899</w:t>
            </w:r>
          </w:p>
        </w:tc>
        <w:tc>
          <w:tcPr>
            <w:tcW w:w="0" w:type="auto"/>
            <w:vAlign w:val="center"/>
          </w:tcPr>
          <w:p w:rsidRPr="009F1987" w:rsidR="00543E2A" w:rsidP="002013D4" w:rsidRDefault="00543E2A">
            <w:pPr>
              <w:pStyle w:val="Default"/>
              <w:spacing w:line="276" w:lineRule="auto"/>
              <w:jc w:val="center"/>
              <w:rPr>
                <w:rFonts w:cs="Arial"/>
                <w:iCs/>
                <w:sz w:val="16"/>
                <w:szCs w:val="16"/>
              </w:rPr>
            </w:pPr>
            <w:r w:rsidRPr="009F1987">
              <w:rPr>
                <w:rFonts w:cs="Arial"/>
                <w:iCs/>
                <w:sz w:val="16"/>
                <w:szCs w:val="16"/>
              </w:rPr>
              <w:t>32 dagen</w:t>
            </w:r>
          </w:p>
        </w:tc>
      </w:tr>
      <w:tr w:rsidRPr="009F1987" w:rsidR="00543E2A" w:rsidTr="001D0932">
        <w:tblPrEx>
          <w:tblLook w:val="00A0"/>
        </w:tblPrEx>
        <w:trPr>
          <w:trHeight w:val="378"/>
        </w:trPr>
        <w:tc>
          <w:tcPr>
            <w:tcW w:w="0" w:type="auto"/>
            <w:vAlign w:val="center"/>
          </w:tcPr>
          <w:p w:rsidRPr="009F1987" w:rsidR="00543E2A" w:rsidP="002013D4" w:rsidRDefault="00543E2A">
            <w:pPr>
              <w:pStyle w:val="Default"/>
              <w:spacing w:line="276" w:lineRule="auto"/>
              <w:rPr>
                <w:rFonts w:cs="Arial"/>
                <w:b/>
                <w:sz w:val="16"/>
                <w:szCs w:val="16"/>
              </w:rPr>
            </w:pPr>
            <w:r w:rsidRPr="009F1987">
              <w:rPr>
                <w:rFonts w:cs="Arial"/>
                <w:b/>
                <w:sz w:val="16"/>
                <w:szCs w:val="16"/>
              </w:rPr>
              <w:t xml:space="preserve">Uitvoerende diensten </w:t>
            </w:r>
          </w:p>
        </w:tc>
        <w:tc>
          <w:tcPr>
            <w:tcW w:w="0" w:type="auto"/>
            <w:vAlign w:val="center"/>
          </w:tcPr>
          <w:p w:rsidRPr="009F1987" w:rsidR="00543E2A" w:rsidP="002013D4" w:rsidRDefault="00543E2A">
            <w:pPr>
              <w:pStyle w:val="Default"/>
              <w:spacing w:line="276" w:lineRule="auto"/>
              <w:jc w:val="center"/>
              <w:rPr>
                <w:rFonts w:cs="Arial"/>
                <w:sz w:val="16"/>
                <w:szCs w:val="16"/>
              </w:rPr>
            </w:pPr>
            <w:r w:rsidRPr="009F1987">
              <w:rPr>
                <w:rFonts w:cs="Arial"/>
                <w:sz w:val="16"/>
                <w:szCs w:val="16"/>
              </w:rPr>
              <w:t>20</w:t>
            </w:r>
          </w:p>
        </w:tc>
        <w:tc>
          <w:tcPr>
            <w:tcW w:w="0" w:type="auto"/>
            <w:vAlign w:val="center"/>
          </w:tcPr>
          <w:p w:rsidRPr="009F1987" w:rsidR="00543E2A" w:rsidP="002013D4" w:rsidRDefault="00543E2A">
            <w:pPr>
              <w:pStyle w:val="Default"/>
              <w:spacing w:line="276" w:lineRule="auto"/>
              <w:jc w:val="center"/>
              <w:rPr>
                <w:rFonts w:cs="Arial"/>
                <w:iCs/>
                <w:sz w:val="16"/>
                <w:szCs w:val="16"/>
              </w:rPr>
            </w:pPr>
            <w:r w:rsidRPr="009F1987">
              <w:rPr>
                <w:rFonts w:cs="Arial"/>
                <w:iCs/>
                <w:sz w:val="16"/>
                <w:szCs w:val="16"/>
              </w:rPr>
              <w:t>40</w:t>
            </w:r>
          </w:p>
        </w:tc>
        <w:tc>
          <w:tcPr>
            <w:tcW w:w="0" w:type="auto"/>
            <w:vAlign w:val="center"/>
          </w:tcPr>
          <w:p w:rsidRPr="009F1987" w:rsidR="00543E2A" w:rsidP="002013D4" w:rsidRDefault="00543E2A">
            <w:pPr>
              <w:pStyle w:val="Default"/>
              <w:spacing w:line="276" w:lineRule="auto"/>
              <w:jc w:val="center"/>
              <w:rPr>
                <w:rFonts w:cs="Arial"/>
                <w:iCs/>
                <w:sz w:val="16"/>
                <w:szCs w:val="16"/>
              </w:rPr>
            </w:pPr>
            <w:r w:rsidRPr="009F1987">
              <w:rPr>
                <w:rFonts w:cs="Arial"/>
                <w:iCs/>
                <w:sz w:val="16"/>
                <w:szCs w:val="16"/>
              </w:rPr>
              <w:t>8,5 dagen</w:t>
            </w:r>
          </w:p>
        </w:tc>
      </w:tr>
      <w:tr w:rsidRPr="009F1987" w:rsidR="00543E2A" w:rsidTr="001D0932">
        <w:tblPrEx>
          <w:tblLook w:val="00A0"/>
        </w:tblPrEx>
        <w:trPr>
          <w:trHeight w:val="412"/>
        </w:trPr>
        <w:tc>
          <w:tcPr>
            <w:tcW w:w="0" w:type="auto"/>
            <w:vAlign w:val="center"/>
          </w:tcPr>
          <w:p w:rsidRPr="002013D4" w:rsidR="00543E2A" w:rsidP="002013D4" w:rsidRDefault="00543E2A">
            <w:pPr>
              <w:pStyle w:val="Default"/>
              <w:spacing w:line="276" w:lineRule="auto"/>
              <w:rPr>
                <w:rFonts w:cs="Arial"/>
                <w:b/>
                <w:sz w:val="16"/>
                <w:szCs w:val="16"/>
              </w:rPr>
            </w:pPr>
            <w:r>
              <w:rPr>
                <w:rFonts w:cs="Arial"/>
                <w:b/>
                <w:sz w:val="16"/>
                <w:szCs w:val="16"/>
              </w:rPr>
              <w:t>I</w:t>
            </w:r>
            <w:r w:rsidRPr="009F1987">
              <w:rPr>
                <w:rFonts w:cs="Arial"/>
                <w:b/>
                <w:sz w:val="16"/>
                <w:szCs w:val="16"/>
              </w:rPr>
              <w:t xml:space="preserve">nspecties </w:t>
            </w:r>
          </w:p>
        </w:tc>
        <w:tc>
          <w:tcPr>
            <w:tcW w:w="0" w:type="auto"/>
            <w:vAlign w:val="center"/>
          </w:tcPr>
          <w:p w:rsidRPr="009F1987" w:rsidR="00543E2A" w:rsidP="002013D4" w:rsidRDefault="00543E2A">
            <w:pPr>
              <w:pStyle w:val="Default"/>
              <w:spacing w:line="276" w:lineRule="auto"/>
              <w:jc w:val="center"/>
              <w:rPr>
                <w:rFonts w:cs="Arial"/>
                <w:sz w:val="16"/>
                <w:szCs w:val="16"/>
              </w:rPr>
            </w:pPr>
            <w:r w:rsidRPr="009F1987">
              <w:rPr>
                <w:rFonts w:cs="Arial"/>
                <w:sz w:val="16"/>
                <w:szCs w:val="16"/>
              </w:rPr>
              <w:t>51</w:t>
            </w:r>
          </w:p>
        </w:tc>
        <w:tc>
          <w:tcPr>
            <w:tcW w:w="0" w:type="auto"/>
            <w:vAlign w:val="center"/>
          </w:tcPr>
          <w:p w:rsidRPr="009F1987" w:rsidR="00543E2A" w:rsidP="002013D4" w:rsidRDefault="00543E2A">
            <w:pPr>
              <w:pStyle w:val="Default"/>
              <w:spacing w:line="276" w:lineRule="auto"/>
              <w:jc w:val="center"/>
              <w:rPr>
                <w:rFonts w:cs="Arial"/>
                <w:iCs/>
                <w:sz w:val="16"/>
                <w:szCs w:val="16"/>
              </w:rPr>
            </w:pPr>
            <w:r w:rsidRPr="009F1987">
              <w:rPr>
                <w:rFonts w:cs="Arial"/>
                <w:iCs/>
                <w:sz w:val="16"/>
                <w:szCs w:val="16"/>
              </w:rPr>
              <w:t>38</w:t>
            </w:r>
          </w:p>
        </w:tc>
        <w:tc>
          <w:tcPr>
            <w:tcW w:w="0" w:type="auto"/>
            <w:vAlign w:val="center"/>
          </w:tcPr>
          <w:p w:rsidRPr="009F1987" w:rsidR="00543E2A" w:rsidP="002013D4" w:rsidRDefault="00543E2A">
            <w:pPr>
              <w:pStyle w:val="Default"/>
              <w:spacing w:line="276" w:lineRule="auto"/>
              <w:jc w:val="center"/>
              <w:rPr>
                <w:rFonts w:cs="Arial"/>
                <w:iCs/>
                <w:sz w:val="16"/>
                <w:szCs w:val="16"/>
              </w:rPr>
            </w:pPr>
            <w:r w:rsidRPr="009F1987">
              <w:rPr>
                <w:rFonts w:cs="Arial"/>
                <w:iCs/>
                <w:sz w:val="16"/>
                <w:szCs w:val="16"/>
              </w:rPr>
              <w:t>23 dagen</w:t>
            </w:r>
          </w:p>
        </w:tc>
      </w:tr>
    </w:tbl>
    <w:p w:rsidR="00543E2A" w:rsidP="002013D4" w:rsidRDefault="00543E2A">
      <w:pPr>
        <w:spacing w:after="0"/>
        <w:rPr>
          <w:rFonts w:ascii="Verdana" w:hAnsi="Verdana"/>
          <w:b/>
          <w:sz w:val="18"/>
          <w:szCs w:val="18"/>
        </w:rPr>
      </w:pPr>
    </w:p>
    <w:p w:rsidR="00543E2A" w:rsidP="002013D4" w:rsidRDefault="00543E2A">
      <w:pPr>
        <w:spacing w:after="0"/>
        <w:rPr>
          <w:rFonts w:ascii="Verdana" w:hAnsi="Verdana"/>
          <w:b/>
          <w:sz w:val="18"/>
          <w:szCs w:val="18"/>
        </w:rPr>
      </w:pPr>
    </w:p>
    <w:p w:rsidR="00543E2A" w:rsidP="002013D4" w:rsidRDefault="00543E2A">
      <w:pPr>
        <w:spacing w:after="0"/>
        <w:rPr>
          <w:rFonts w:ascii="Verdana" w:hAnsi="Verdana"/>
          <w:b/>
          <w:sz w:val="18"/>
          <w:szCs w:val="18"/>
        </w:rPr>
      </w:pPr>
    </w:p>
    <w:p w:rsidR="00543E2A" w:rsidP="002013D4" w:rsidRDefault="00543E2A">
      <w:pPr>
        <w:spacing w:after="0"/>
        <w:rPr>
          <w:rFonts w:ascii="Verdana" w:hAnsi="Verdana"/>
          <w:b/>
          <w:sz w:val="18"/>
          <w:szCs w:val="18"/>
        </w:rPr>
      </w:pPr>
    </w:p>
    <w:p w:rsidRPr="009F1987" w:rsidR="00543E2A" w:rsidP="002013D4" w:rsidRDefault="00543E2A">
      <w:pPr>
        <w:spacing w:after="0"/>
        <w:rPr>
          <w:rFonts w:ascii="Verdana" w:hAnsi="Verdana"/>
          <w:b/>
          <w:sz w:val="18"/>
          <w:szCs w:val="18"/>
        </w:rPr>
      </w:pPr>
    </w:p>
    <w:p w:rsidRPr="009F1987" w:rsidR="00543E2A" w:rsidP="002013D4" w:rsidRDefault="00543E2A">
      <w:pPr>
        <w:spacing w:after="0" w:line="240" w:lineRule="atLeast"/>
        <w:jc w:val="both"/>
        <w:rPr>
          <w:rFonts w:ascii="Verdana" w:hAnsi="Verdana"/>
          <w:b/>
          <w:sz w:val="18"/>
          <w:szCs w:val="18"/>
        </w:rPr>
      </w:pPr>
      <w:r w:rsidRPr="009F1987">
        <w:rPr>
          <w:rFonts w:ascii="Verdana" w:hAnsi="Verdana"/>
          <w:b/>
          <w:sz w:val="18"/>
          <w:szCs w:val="18"/>
        </w:rPr>
        <w:t>Wob-verzoeken</w:t>
      </w:r>
    </w:p>
    <w:p w:rsidRPr="009F1987" w:rsidR="00543E2A" w:rsidP="002013D4" w:rsidRDefault="00543E2A">
      <w:pPr>
        <w:spacing w:after="0" w:line="240" w:lineRule="atLeast"/>
        <w:jc w:val="both"/>
        <w:rPr>
          <w:rFonts w:ascii="Verdana" w:hAnsi="Verdana"/>
          <w:b/>
          <w:sz w:val="18"/>
          <w:szCs w:val="18"/>
        </w:rPr>
      </w:pPr>
    </w:p>
    <w:p w:rsidRPr="009F1987" w:rsidR="00543E2A" w:rsidP="002013D4" w:rsidRDefault="00543E2A">
      <w:pPr>
        <w:spacing w:after="0" w:line="240" w:lineRule="atLeast"/>
        <w:jc w:val="both"/>
        <w:rPr>
          <w:rFonts w:ascii="Verdana" w:hAnsi="Verdana"/>
          <w:sz w:val="18"/>
          <w:szCs w:val="18"/>
        </w:rPr>
      </w:pPr>
      <w:r w:rsidRPr="009F1987">
        <w:rPr>
          <w:rFonts w:ascii="Verdana" w:hAnsi="Verdana"/>
          <w:sz w:val="18"/>
          <w:szCs w:val="18"/>
        </w:rPr>
        <w:t>Wob-verzoeken worden bij VWS zowel voor de kern, uitvoeringsorganisaties als de inspecties geregistreerd door de directie Communicatie. In de onderstaande tabel zijn de percentages van verzoeken opgenomen dat binnen en buiten de wettelijke termijn is afgehandeld. In totaal heeft VWS in 2011 142 Wob-verzoeken ontvange</w:t>
      </w:r>
      <w:r w:rsidRPr="005C0AF1">
        <w:rPr>
          <w:rFonts w:ascii="Verdana" w:hAnsi="Verdana"/>
          <w:sz w:val="18"/>
          <w:szCs w:val="18"/>
        </w:rPr>
        <w:t>n. Er is in 2011 één dwangsom betaald voor het niet halen van de wettelijke beantwoordingtermijn.</w:t>
      </w:r>
      <w:r w:rsidRPr="009F1987">
        <w:rPr>
          <w:rFonts w:ascii="Verdana" w:hAnsi="Verdana"/>
          <w:sz w:val="18"/>
          <w:szCs w:val="18"/>
        </w:rPr>
        <w:t xml:space="preserve"> Dat is een zeer gering percentage van het totale aantal Wob-verzoeken, te weten 0,7 %</w:t>
      </w:r>
    </w:p>
    <w:p w:rsidRPr="009F1987" w:rsidR="00543E2A" w:rsidP="00976D73" w:rsidRDefault="00543E2A">
      <w:pPr>
        <w:spacing w:after="0" w:line="240" w:lineRule="atLeast"/>
        <w:jc w:val="both"/>
        <w:rPr>
          <w:rFonts w:ascii="Verdana" w:hAnsi="Verdana"/>
          <w:sz w:val="18"/>
          <w:szCs w:val="18"/>
        </w:rPr>
      </w:pPr>
    </w:p>
    <w:tbl>
      <w:tblPr>
        <w:tblW w:w="5000" w:type="pct"/>
        <w:tblCellMar>
          <w:left w:w="70" w:type="dxa"/>
          <w:right w:w="70" w:type="dxa"/>
        </w:tblCellMar>
        <w:tblLook w:val="00A0"/>
      </w:tblPr>
      <w:tblGrid>
        <w:gridCol w:w="1315"/>
        <w:gridCol w:w="755"/>
        <w:gridCol w:w="726"/>
        <w:gridCol w:w="1549"/>
        <w:gridCol w:w="1339"/>
        <w:gridCol w:w="1371"/>
        <w:gridCol w:w="976"/>
        <w:gridCol w:w="1181"/>
      </w:tblGrid>
      <w:tr w:rsidRPr="009F1987" w:rsidR="00543E2A" w:rsidTr="005474C1">
        <w:trPr>
          <w:trHeight w:val="900"/>
        </w:trPr>
        <w:tc>
          <w:tcPr>
            <w:tcW w:w="713" w:type="pct"/>
            <w:tcBorders>
              <w:top w:val="single" w:color="auto" w:sz="4" w:space="0"/>
              <w:left w:val="single" w:color="auto" w:sz="4" w:space="0"/>
              <w:bottom w:val="single" w:color="auto" w:sz="4" w:space="0"/>
              <w:right w:val="single" w:color="auto" w:sz="4" w:space="0"/>
            </w:tcBorders>
          </w:tcPr>
          <w:p w:rsidRPr="009F1987" w:rsidR="00543E2A" w:rsidP="00976D73" w:rsidRDefault="00543E2A">
            <w:pPr>
              <w:spacing w:after="0" w:line="240" w:lineRule="atLeast"/>
              <w:rPr>
                <w:rFonts w:ascii="Verdana" w:hAnsi="Verdana" w:cs="Arial"/>
                <w:b/>
                <w:color w:val="000000"/>
                <w:sz w:val="16"/>
                <w:szCs w:val="16"/>
                <w:lang w:eastAsia="nl-NL"/>
              </w:rPr>
            </w:pPr>
            <w:r w:rsidRPr="009F1987">
              <w:rPr>
                <w:rFonts w:ascii="Verdana" w:hAnsi="Verdana" w:cs="Arial"/>
                <w:b/>
                <w:color w:val="000000"/>
                <w:sz w:val="16"/>
                <w:szCs w:val="16"/>
                <w:lang w:eastAsia="nl-NL"/>
              </w:rPr>
              <w:t>Organisatie</w:t>
            </w:r>
          </w:p>
        </w:tc>
        <w:tc>
          <w:tcPr>
            <w:tcW w:w="410" w:type="pct"/>
            <w:tcBorders>
              <w:top w:val="single" w:color="auto" w:sz="4" w:space="0"/>
              <w:left w:val="single" w:color="auto" w:sz="4" w:space="0"/>
              <w:bottom w:val="single" w:color="auto" w:sz="4" w:space="0"/>
              <w:right w:val="single" w:color="auto" w:sz="4" w:space="0"/>
            </w:tcBorders>
          </w:tcPr>
          <w:p w:rsidRPr="009F1987" w:rsidR="00543E2A" w:rsidP="00976D73" w:rsidRDefault="00543E2A">
            <w:pPr>
              <w:spacing w:after="0" w:line="240" w:lineRule="atLeast"/>
              <w:rPr>
                <w:rFonts w:ascii="Verdana" w:hAnsi="Verdana" w:cs="Arial"/>
                <w:b/>
                <w:color w:val="000000"/>
                <w:sz w:val="16"/>
                <w:szCs w:val="16"/>
                <w:lang w:eastAsia="nl-NL"/>
              </w:rPr>
            </w:pPr>
            <w:r w:rsidRPr="009F1987">
              <w:rPr>
                <w:rFonts w:ascii="Verdana" w:hAnsi="Verdana" w:cs="Arial"/>
                <w:b/>
                <w:color w:val="000000"/>
                <w:sz w:val="16"/>
                <w:szCs w:val="16"/>
                <w:lang w:eastAsia="nl-NL"/>
              </w:rPr>
              <w:t>Aantal (in 2010)</w:t>
            </w:r>
          </w:p>
        </w:tc>
        <w:tc>
          <w:tcPr>
            <w:tcW w:w="394" w:type="pct"/>
            <w:tcBorders>
              <w:top w:val="single" w:color="auto" w:sz="4" w:space="0"/>
              <w:left w:val="single" w:color="auto" w:sz="4" w:space="0"/>
              <w:bottom w:val="single" w:color="auto" w:sz="4" w:space="0"/>
              <w:right w:val="single" w:color="auto" w:sz="4" w:space="0"/>
            </w:tcBorders>
          </w:tcPr>
          <w:p w:rsidRPr="009F1987" w:rsidR="00543E2A" w:rsidP="00976D73" w:rsidRDefault="00543E2A">
            <w:pPr>
              <w:spacing w:after="0" w:line="240" w:lineRule="atLeast"/>
              <w:rPr>
                <w:rFonts w:ascii="Verdana" w:hAnsi="Verdana" w:cs="Arial"/>
                <w:b/>
                <w:color w:val="000000"/>
                <w:sz w:val="16"/>
                <w:szCs w:val="16"/>
                <w:lang w:eastAsia="nl-NL"/>
              </w:rPr>
            </w:pPr>
            <w:r w:rsidRPr="009F1987">
              <w:rPr>
                <w:rFonts w:ascii="Verdana" w:hAnsi="Verdana" w:cs="Arial"/>
                <w:b/>
                <w:color w:val="000000"/>
                <w:sz w:val="16"/>
                <w:szCs w:val="16"/>
                <w:lang w:eastAsia="nl-NL"/>
              </w:rPr>
              <w:t>Aantal</w:t>
            </w:r>
          </w:p>
          <w:p w:rsidRPr="009F1987" w:rsidR="00543E2A" w:rsidP="00976D73" w:rsidRDefault="00543E2A">
            <w:pPr>
              <w:spacing w:after="0" w:line="240" w:lineRule="atLeast"/>
              <w:rPr>
                <w:rFonts w:ascii="Verdana" w:hAnsi="Verdana" w:cs="Arial"/>
                <w:b/>
                <w:color w:val="000000"/>
                <w:sz w:val="16"/>
                <w:szCs w:val="16"/>
                <w:lang w:eastAsia="nl-NL"/>
              </w:rPr>
            </w:pPr>
            <w:r w:rsidRPr="009F1987">
              <w:rPr>
                <w:rFonts w:ascii="Verdana" w:hAnsi="Verdana" w:cs="Arial"/>
                <w:b/>
                <w:color w:val="000000"/>
                <w:sz w:val="16"/>
                <w:szCs w:val="16"/>
                <w:lang w:eastAsia="nl-NL"/>
              </w:rPr>
              <w:t>(in 2011)</w:t>
            </w:r>
          </w:p>
        </w:tc>
        <w:tc>
          <w:tcPr>
            <w:tcW w:w="841" w:type="pct"/>
            <w:tcBorders>
              <w:top w:val="single" w:color="auto" w:sz="4" w:space="0"/>
              <w:left w:val="single" w:color="auto" w:sz="4" w:space="0"/>
              <w:bottom w:val="single" w:color="auto" w:sz="4" w:space="0"/>
              <w:right w:val="single" w:color="auto" w:sz="4" w:space="0"/>
            </w:tcBorders>
          </w:tcPr>
          <w:p w:rsidRPr="009F1987" w:rsidR="00543E2A" w:rsidP="00976D73" w:rsidRDefault="00543E2A">
            <w:pPr>
              <w:spacing w:after="0" w:line="240" w:lineRule="atLeast"/>
              <w:rPr>
                <w:rFonts w:ascii="Verdana" w:hAnsi="Verdana" w:cs="Arial"/>
                <w:b/>
                <w:color w:val="000000"/>
                <w:sz w:val="16"/>
                <w:szCs w:val="16"/>
                <w:lang w:eastAsia="nl-NL"/>
              </w:rPr>
            </w:pPr>
            <w:r w:rsidRPr="009F1987">
              <w:rPr>
                <w:rFonts w:ascii="Verdana" w:hAnsi="Verdana" w:cs="Arial"/>
                <w:b/>
                <w:sz w:val="16"/>
                <w:szCs w:val="16"/>
              </w:rPr>
              <w:t>Percentage afgedaan binnen de basis wettelijke termijn (zonder opschorting)</w:t>
            </w:r>
          </w:p>
        </w:tc>
        <w:tc>
          <w:tcPr>
            <w:tcW w:w="727" w:type="pct"/>
            <w:tcBorders>
              <w:top w:val="single" w:color="auto" w:sz="4" w:space="0"/>
              <w:left w:val="single" w:color="auto" w:sz="4" w:space="0"/>
              <w:bottom w:val="single" w:color="auto" w:sz="4" w:space="0"/>
              <w:right w:val="single" w:color="auto" w:sz="4" w:space="0"/>
            </w:tcBorders>
          </w:tcPr>
          <w:p w:rsidRPr="009F1987" w:rsidR="00543E2A" w:rsidP="00976D73" w:rsidRDefault="00543E2A">
            <w:pPr>
              <w:spacing w:after="0" w:line="240" w:lineRule="atLeast"/>
              <w:rPr>
                <w:rFonts w:ascii="Verdana" w:hAnsi="Verdana" w:cs="Arial"/>
                <w:b/>
                <w:color w:val="000000"/>
                <w:sz w:val="16"/>
                <w:szCs w:val="16"/>
                <w:lang w:eastAsia="nl-NL"/>
              </w:rPr>
            </w:pPr>
            <w:r w:rsidRPr="009F1987">
              <w:rPr>
                <w:rFonts w:ascii="Verdana" w:hAnsi="Verdana" w:cs="Arial"/>
                <w:b/>
                <w:sz w:val="16"/>
                <w:szCs w:val="16"/>
              </w:rPr>
              <w:t>Percentage afgedaan binnen verdaagde wettelijke termijn</w:t>
            </w:r>
            <w:r w:rsidRPr="009F1987">
              <w:rPr>
                <w:rFonts w:ascii="Verdana" w:hAnsi="Verdana" w:cs="Arial"/>
                <w:b/>
                <w:color w:val="000000"/>
                <w:sz w:val="16"/>
                <w:szCs w:val="16"/>
                <w:lang w:eastAsia="nl-NL"/>
              </w:rPr>
              <w:t xml:space="preserve"> </w:t>
            </w:r>
          </w:p>
        </w:tc>
        <w:tc>
          <w:tcPr>
            <w:tcW w:w="744" w:type="pct"/>
            <w:tcBorders>
              <w:top w:val="single" w:color="auto" w:sz="4" w:space="0"/>
              <w:left w:val="single" w:color="auto" w:sz="4" w:space="0"/>
              <w:bottom w:val="single" w:color="auto" w:sz="4" w:space="0"/>
              <w:right w:val="single" w:color="auto" w:sz="4" w:space="0"/>
            </w:tcBorders>
          </w:tcPr>
          <w:p w:rsidRPr="009F1987" w:rsidR="00543E2A" w:rsidP="00976D73" w:rsidRDefault="00543E2A">
            <w:pPr>
              <w:spacing w:after="0" w:line="240" w:lineRule="atLeast"/>
              <w:rPr>
                <w:rFonts w:ascii="Verdana" w:hAnsi="Verdana" w:cs="Arial"/>
                <w:b/>
                <w:color w:val="000000"/>
                <w:sz w:val="16"/>
                <w:szCs w:val="16"/>
                <w:lang w:eastAsia="nl-NL"/>
              </w:rPr>
            </w:pPr>
            <w:r w:rsidRPr="009F1987">
              <w:rPr>
                <w:rFonts w:ascii="Verdana" w:hAnsi="Verdana" w:cs="Arial"/>
                <w:b/>
                <w:sz w:val="16"/>
                <w:szCs w:val="16"/>
              </w:rPr>
              <w:t>Percentage afgedaan binnen verdaagde wettelijke tweede termijn</w:t>
            </w:r>
            <w:r w:rsidRPr="009F1987">
              <w:rPr>
                <w:rFonts w:ascii="Verdana" w:hAnsi="Verdana" w:cs="Arial"/>
                <w:b/>
                <w:color w:val="000000"/>
                <w:sz w:val="16"/>
                <w:szCs w:val="16"/>
                <w:lang w:eastAsia="nl-NL"/>
              </w:rPr>
              <w:t xml:space="preserve"> </w:t>
            </w:r>
          </w:p>
        </w:tc>
        <w:tc>
          <w:tcPr>
            <w:tcW w:w="530" w:type="pct"/>
            <w:tcBorders>
              <w:top w:val="single" w:color="auto" w:sz="4" w:space="0"/>
              <w:left w:val="single" w:color="auto" w:sz="4" w:space="0"/>
              <w:bottom w:val="single" w:color="auto" w:sz="4" w:space="0"/>
              <w:right w:val="single" w:color="auto" w:sz="4" w:space="0"/>
            </w:tcBorders>
          </w:tcPr>
          <w:p w:rsidRPr="009F1987" w:rsidR="00543E2A" w:rsidP="00976D73" w:rsidRDefault="00543E2A">
            <w:pPr>
              <w:spacing w:after="0" w:line="240" w:lineRule="atLeast"/>
              <w:rPr>
                <w:rFonts w:ascii="Verdana" w:hAnsi="Verdana" w:cs="Arial"/>
                <w:b/>
                <w:color w:val="000000"/>
                <w:sz w:val="16"/>
                <w:szCs w:val="16"/>
                <w:lang w:eastAsia="nl-NL"/>
              </w:rPr>
            </w:pPr>
            <w:r w:rsidRPr="009F1987">
              <w:rPr>
                <w:rFonts w:ascii="Verdana" w:hAnsi="Verdana" w:cs="Arial"/>
                <w:b/>
                <w:color w:val="000000"/>
                <w:sz w:val="16"/>
                <w:szCs w:val="16"/>
                <w:lang w:eastAsia="nl-NL"/>
              </w:rPr>
              <w:t>Nog niet afgerond</w:t>
            </w:r>
          </w:p>
        </w:tc>
        <w:tc>
          <w:tcPr>
            <w:tcW w:w="641" w:type="pct"/>
            <w:tcBorders>
              <w:top w:val="single" w:color="auto" w:sz="4" w:space="0"/>
              <w:left w:val="single" w:color="auto" w:sz="4" w:space="0"/>
              <w:bottom w:val="single" w:color="auto" w:sz="4" w:space="0"/>
              <w:right w:val="single" w:color="auto" w:sz="4" w:space="0"/>
            </w:tcBorders>
          </w:tcPr>
          <w:p w:rsidRPr="009F1987" w:rsidR="00543E2A" w:rsidP="00976D73" w:rsidRDefault="00543E2A">
            <w:pPr>
              <w:pStyle w:val="Default"/>
              <w:spacing w:line="240" w:lineRule="atLeast"/>
              <w:rPr>
                <w:rFonts w:cs="Arial"/>
                <w:b/>
                <w:sz w:val="16"/>
                <w:szCs w:val="16"/>
              </w:rPr>
            </w:pPr>
            <w:r w:rsidRPr="009F1987">
              <w:rPr>
                <w:rFonts w:cs="Arial"/>
                <w:b/>
                <w:sz w:val="16"/>
                <w:szCs w:val="16"/>
              </w:rPr>
              <w:t>Aantal ontvangen ingebreke-</w:t>
            </w:r>
          </w:p>
          <w:p w:rsidRPr="009F1987" w:rsidR="00543E2A" w:rsidP="00976D73" w:rsidRDefault="00543E2A">
            <w:pPr>
              <w:spacing w:after="0" w:line="240" w:lineRule="atLeast"/>
              <w:rPr>
                <w:rFonts w:ascii="Verdana" w:hAnsi="Verdana" w:cs="Arial"/>
                <w:b/>
                <w:color w:val="000000"/>
                <w:sz w:val="16"/>
                <w:szCs w:val="16"/>
                <w:lang w:eastAsia="nl-NL"/>
              </w:rPr>
            </w:pPr>
            <w:r w:rsidRPr="009F1987">
              <w:rPr>
                <w:rFonts w:ascii="Verdana" w:hAnsi="Verdana" w:cs="Arial"/>
                <w:b/>
                <w:sz w:val="16"/>
                <w:szCs w:val="16"/>
              </w:rPr>
              <w:t>stellingen</w:t>
            </w:r>
            <w:r w:rsidRPr="009F1987">
              <w:rPr>
                <w:rFonts w:ascii="Verdana" w:hAnsi="Verdana" w:cs="Arial"/>
                <w:b/>
                <w:color w:val="000000"/>
                <w:sz w:val="16"/>
                <w:szCs w:val="16"/>
                <w:lang w:eastAsia="nl-NL"/>
              </w:rPr>
              <w:t xml:space="preserve"> </w:t>
            </w:r>
          </w:p>
        </w:tc>
      </w:tr>
      <w:tr w:rsidRPr="009F1987" w:rsidR="00543E2A" w:rsidTr="005474C1">
        <w:trPr>
          <w:trHeight w:val="300"/>
        </w:trPr>
        <w:tc>
          <w:tcPr>
            <w:tcW w:w="713" w:type="pct"/>
            <w:tcBorders>
              <w:top w:val="single" w:color="auto" w:sz="4" w:space="0"/>
              <w:left w:val="single" w:color="auto" w:sz="4" w:space="0"/>
              <w:bottom w:val="single" w:color="auto" w:sz="4" w:space="0"/>
              <w:right w:val="single" w:color="auto" w:sz="4" w:space="0"/>
            </w:tcBorders>
            <w:vAlign w:val="center"/>
          </w:tcPr>
          <w:p w:rsidRPr="009F1987" w:rsidR="00543E2A" w:rsidP="00976D73" w:rsidRDefault="00543E2A">
            <w:pPr>
              <w:spacing w:after="0" w:line="240" w:lineRule="atLeast"/>
              <w:rPr>
                <w:rFonts w:ascii="Verdana" w:hAnsi="Verdana" w:cs="Arial"/>
                <w:b/>
                <w:bCs/>
                <w:iCs/>
                <w:color w:val="000000"/>
                <w:sz w:val="16"/>
                <w:szCs w:val="16"/>
                <w:lang w:eastAsia="nl-NL"/>
              </w:rPr>
            </w:pPr>
            <w:r w:rsidRPr="009F1987">
              <w:rPr>
                <w:rFonts w:ascii="Verdana" w:hAnsi="Verdana" w:cs="Arial"/>
                <w:b/>
                <w:bCs/>
                <w:iCs/>
                <w:color w:val="000000"/>
                <w:sz w:val="16"/>
                <w:szCs w:val="16"/>
                <w:lang w:eastAsia="nl-NL"/>
              </w:rPr>
              <w:t>Kern</w:t>
            </w:r>
          </w:p>
          <w:p w:rsidRPr="009F1987" w:rsidR="00543E2A" w:rsidP="00976D73" w:rsidRDefault="00543E2A">
            <w:pPr>
              <w:spacing w:after="0" w:line="240" w:lineRule="atLeast"/>
              <w:rPr>
                <w:rFonts w:ascii="Verdana" w:hAnsi="Verdana" w:cs="Arial"/>
                <w:b/>
                <w:bCs/>
                <w:iCs/>
                <w:color w:val="000000"/>
                <w:sz w:val="16"/>
                <w:szCs w:val="16"/>
                <w:lang w:eastAsia="nl-NL"/>
              </w:rPr>
            </w:pPr>
            <w:r w:rsidRPr="009F1987">
              <w:rPr>
                <w:rFonts w:ascii="Verdana" w:hAnsi="Verdana" w:cs="Arial"/>
                <w:b/>
                <w:bCs/>
                <w:iCs/>
                <w:color w:val="000000"/>
                <w:sz w:val="16"/>
                <w:szCs w:val="16"/>
                <w:lang w:eastAsia="nl-NL"/>
              </w:rPr>
              <w:t>departement</w:t>
            </w:r>
          </w:p>
        </w:tc>
        <w:tc>
          <w:tcPr>
            <w:tcW w:w="410" w:type="pct"/>
            <w:tcBorders>
              <w:top w:val="single" w:color="auto" w:sz="4" w:space="0"/>
              <w:left w:val="single" w:color="auto" w:sz="4" w:space="0"/>
              <w:bottom w:val="single" w:color="auto" w:sz="4" w:space="0"/>
              <w:right w:val="single" w:color="auto" w:sz="4" w:space="0"/>
            </w:tcBorders>
            <w:vAlign w:val="center"/>
          </w:tcPr>
          <w:p w:rsidRPr="009F1987" w:rsidR="00543E2A" w:rsidP="00976D73" w:rsidRDefault="00543E2A">
            <w:pPr>
              <w:spacing w:after="0" w:line="240" w:lineRule="atLeast"/>
              <w:jc w:val="center"/>
              <w:rPr>
                <w:rFonts w:ascii="Verdana" w:hAnsi="Verdana" w:cs="Arial"/>
                <w:b/>
                <w:bCs/>
                <w:i/>
                <w:iCs/>
                <w:color w:val="000000"/>
                <w:sz w:val="16"/>
                <w:szCs w:val="16"/>
                <w:lang w:eastAsia="nl-NL"/>
              </w:rPr>
            </w:pPr>
            <w:r w:rsidRPr="009F1987">
              <w:rPr>
                <w:rFonts w:ascii="Verdana" w:hAnsi="Verdana" w:cs="Arial"/>
                <w:color w:val="000000"/>
                <w:sz w:val="16"/>
                <w:szCs w:val="16"/>
                <w:lang w:eastAsia="nl-NL"/>
              </w:rPr>
              <w:t>72</w:t>
            </w:r>
          </w:p>
        </w:tc>
        <w:tc>
          <w:tcPr>
            <w:tcW w:w="394" w:type="pct"/>
            <w:tcBorders>
              <w:top w:val="single" w:color="auto" w:sz="4" w:space="0"/>
              <w:left w:val="single" w:color="auto" w:sz="4" w:space="0"/>
              <w:bottom w:val="single" w:color="auto" w:sz="4" w:space="0"/>
              <w:right w:val="single" w:color="auto" w:sz="4" w:space="0"/>
            </w:tcBorders>
            <w:vAlign w:val="center"/>
          </w:tcPr>
          <w:p w:rsidRPr="009F1987" w:rsidR="00543E2A" w:rsidP="00976D73" w:rsidRDefault="00543E2A">
            <w:pPr>
              <w:spacing w:after="0" w:line="240" w:lineRule="atLeast"/>
              <w:jc w:val="center"/>
              <w:rPr>
                <w:rFonts w:ascii="Verdana" w:hAnsi="Verdana" w:cs="Arial"/>
                <w:color w:val="000000"/>
                <w:sz w:val="16"/>
                <w:szCs w:val="16"/>
                <w:lang w:eastAsia="nl-NL"/>
              </w:rPr>
            </w:pPr>
            <w:r w:rsidRPr="009F1987">
              <w:rPr>
                <w:rFonts w:ascii="Verdana" w:hAnsi="Verdana" w:cs="Arial"/>
                <w:color w:val="000000"/>
                <w:sz w:val="16"/>
                <w:szCs w:val="16"/>
                <w:lang w:eastAsia="nl-NL"/>
              </w:rPr>
              <w:t>52</w:t>
            </w:r>
          </w:p>
        </w:tc>
        <w:tc>
          <w:tcPr>
            <w:tcW w:w="841" w:type="pct"/>
            <w:tcBorders>
              <w:top w:val="single" w:color="auto" w:sz="4" w:space="0"/>
              <w:left w:val="single" w:color="auto" w:sz="4" w:space="0"/>
              <w:bottom w:val="single" w:color="auto" w:sz="4" w:space="0"/>
              <w:right w:val="single" w:color="auto" w:sz="4" w:space="0"/>
            </w:tcBorders>
            <w:vAlign w:val="center"/>
          </w:tcPr>
          <w:p w:rsidRPr="009F1987" w:rsidR="00543E2A" w:rsidP="00976D73" w:rsidRDefault="00543E2A">
            <w:pPr>
              <w:spacing w:after="0" w:line="240" w:lineRule="atLeast"/>
              <w:jc w:val="center"/>
              <w:rPr>
                <w:rFonts w:ascii="Verdana" w:hAnsi="Verdana" w:cs="Arial"/>
                <w:color w:val="000000"/>
                <w:sz w:val="16"/>
                <w:szCs w:val="16"/>
                <w:lang w:eastAsia="nl-NL"/>
              </w:rPr>
            </w:pPr>
            <w:r w:rsidRPr="009F1987">
              <w:rPr>
                <w:rFonts w:ascii="Verdana" w:hAnsi="Verdana" w:cs="Arial"/>
                <w:color w:val="000000"/>
                <w:sz w:val="16"/>
                <w:szCs w:val="16"/>
                <w:lang w:eastAsia="nl-NL"/>
              </w:rPr>
              <w:t>34%</w:t>
            </w:r>
          </w:p>
        </w:tc>
        <w:tc>
          <w:tcPr>
            <w:tcW w:w="727" w:type="pct"/>
            <w:tcBorders>
              <w:top w:val="single" w:color="auto" w:sz="4" w:space="0"/>
              <w:left w:val="single" w:color="auto" w:sz="4" w:space="0"/>
              <w:bottom w:val="single" w:color="auto" w:sz="4" w:space="0"/>
              <w:right w:val="single" w:color="auto" w:sz="4" w:space="0"/>
            </w:tcBorders>
            <w:vAlign w:val="center"/>
          </w:tcPr>
          <w:p w:rsidRPr="009F1987" w:rsidR="00543E2A" w:rsidP="00976D73" w:rsidRDefault="00543E2A">
            <w:pPr>
              <w:spacing w:after="0" w:line="240" w:lineRule="atLeast"/>
              <w:jc w:val="center"/>
              <w:rPr>
                <w:rFonts w:ascii="Verdana" w:hAnsi="Verdana" w:cs="Arial"/>
                <w:color w:val="000000"/>
                <w:sz w:val="16"/>
                <w:szCs w:val="16"/>
                <w:lang w:eastAsia="nl-NL"/>
              </w:rPr>
            </w:pPr>
            <w:r w:rsidRPr="009F1987">
              <w:rPr>
                <w:rFonts w:ascii="Verdana" w:hAnsi="Verdana" w:cs="Arial"/>
                <w:color w:val="000000"/>
                <w:sz w:val="16"/>
                <w:szCs w:val="16"/>
                <w:lang w:eastAsia="nl-NL"/>
              </w:rPr>
              <w:t>46%</w:t>
            </w:r>
          </w:p>
        </w:tc>
        <w:tc>
          <w:tcPr>
            <w:tcW w:w="744" w:type="pct"/>
            <w:tcBorders>
              <w:top w:val="single" w:color="auto" w:sz="4" w:space="0"/>
              <w:left w:val="single" w:color="auto" w:sz="4" w:space="0"/>
              <w:bottom w:val="single" w:color="auto" w:sz="4" w:space="0"/>
              <w:right w:val="single" w:color="auto" w:sz="4" w:space="0"/>
            </w:tcBorders>
            <w:vAlign w:val="center"/>
          </w:tcPr>
          <w:p w:rsidRPr="009F1987" w:rsidR="00543E2A" w:rsidP="00976D73" w:rsidRDefault="00543E2A">
            <w:pPr>
              <w:spacing w:after="0" w:line="240" w:lineRule="atLeast"/>
              <w:jc w:val="center"/>
              <w:rPr>
                <w:rFonts w:ascii="Verdana" w:hAnsi="Verdana" w:cs="Arial"/>
                <w:color w:val="000000"/>
                <w:sz w:val="16"/>
                <w:szCs w:val="16"/>
                <w:lang w:eastAsia="nl-NL"/>
              </w:rPr>
            </w:pPr>
            <w:r w:rsidRPr="009F1987">
              <w:rPr>
                <w:rFonts w:ascii="Verdana" w:hAnsi="Verdana" w:cs="Arial"/>
                <w:color w:val="000000"/>
                <w:sz w:val="16"/>
                <w:szCs w:val="16"/>
                <w:lang w:eastAsia="nl-NL"/>
              </w:rPr>
              <w:t>14%</w:t>
            </w:r>
          </w:p>
        </w:tc>
        <w:tc>
          <w:tcPr>
            <w:tcW w:w="530" w:type="pct"/>
            <w:tcBorders>
              <w:top w:val="single" w:color="auto" w:sz="4" w:space="0"/>
              <w:left w:val="single" w:color="auto" w:sz="4" w:space="0"/>
              <w:bottom w:val="single" w:color="auto" w:sz="4" w:space="0"/>
              <w:right w:val="single" w:color="auto" w:sz="4" w:space="0"/>
            </w:tcBorders>
            <w:vAlign w:val="center"/>
          </w:tcPr>
          <w:p w:rsidRPr="009F1987" w:rsidR="00543E2A" w:rsidP="00976D73" w:rsidRDefault="00543E2A">
            <w:pPr>
              <w:spacing w:after="0" w:line="240" w:lineRule="atLeast"/>
              <w:jc w:val="center"/>
              <w:rPr>
                <w:rFonts w:ascii="Verdana" w:hAnsi="Verdana" w:cs="Arial"/>
                <w:color w:val="000000"/>
                <w:sz w:val="16"/>
                <w:szCs w:val="16"/>
                <w:lang w:eastAsia="nl-NL"/>
              </w:rPr>
            </w:pPr>
            <w:r w:rsidRPr="009F1987">
              <w:rPr>
                <w:rFonts w:ascii="Verdana" w:hAnsi="Verdana" w:cs="Arial"/>
                <w:color w:val="000000"/>
                <w:sz w:val="16"/>
                <w:szCs w:val="16"/>
                <w:lang w:eastAsia="nl-NL"/>
              </w:rPr>
              <w:t>6%</w:t>
            </w:r>
          </w:p>
        </w:tc>
        <w:tc>
          <w:tcPr>
            <w:tcW w:w="641" w:type="pct"/>
            <w:tcBorders>
              <w:top w:val="single" w:color="auto" w:sz="4" w:space="0"/>
              <w:left w:val="single" w:color="auto" w:sz="4" w:space="0"/>
              <w:bottom w:val="single" w:color="auto" w:sz="4" w:space="0"/>
              <w:right w:val="single" w:color="auto" w:sz="4" w:space="0"/>
            </w:tcBorders>
            <w:vAlign w:val="center"/>
          </w:tcPr>
          <w:p w:rsidRPr="009F1987" w:rsidR="00543E2A" w:rsidP="00976D73" w:rsidRDefault="00543E2A">
            <w:pPr>
              <w:spacing w:after="0" w:line="240" w:lineRule="atLeast"/>
              <w:jc w:val="center"/>
              <w:rPr>
                <w:rFonts w:ascii="Verdana" w:hAnsi="Verdana" w:cs="Arial"/>
                <w:color w:val="000000"/>
                <w:sz w:val="16"/>
                <w:szCs w:val="16"/>
                <w:lang w:eastAsia="nl-NL"/>
              </w:rPr>
            </w:pPr>
            <w:r w:rsidRPr="009F1987">
              <w:rPr>
                <w:rFonts w:ascii="Verdana" w:hAnsi="Verdana" w:cs="Arial"/>
                <w:color w:val="000000"/>
                <w:sz w:val="16"/>
                <w:szCs w:val="16"/>
                <w:lang w:eastAsia="nl-NL"/>
              </w:rPr>
              <w:t>5</w:t>
            </w:r>
          </w:p>
        </w:tc>
      </w:tr>
      <w:tr w:rsidRPr="009F1987" w:rsidR="00543E2A" w:rsidTr="005474C1">
        <w:trPr>
          <w:trHeight w:val="300"/>
        </w:trPr>
        <w:tc>
          <w:tcPr>
            <w:tcW w:w="713" w:type="pct"/>
            <w:tcBorders>
              <w:top w:val="single" w:color="auto" w:sz="4" w:space="0"/>
              <w:left w:val="single" w:color="auto" w:sz="4" w:space="0"/>
              <w:bottom w:val="single" w:color="auto" w:sz="4" w:space="0"/>
              <w:right w:val="single" w:color="auto" w:sz="4" w:space="0"/>
            </w:tcBorders>
            <w:vAlign w:val="center"/>
          </w:tcPr>
          <w:p w:rsidRPr="009F1987" w:rsidR="00543E2A" w:rsidP="00976D73" w:rsidRDefault="00543E2A">
            <w:pPr>
              <w:spacing w:after="0" w:line="240" w:lineRule="atLeast"/>
              <w:rPr>
                <w:rFonts w:ascii="Verdana" w:hAnsi="Verdana" w:cs="Arial"/>
                <w:b/>
                <w:bCs/>
                <w:iCs/>
                <w:color w:val="000000"/>
                <w:sz w:val="16"/>
                <w:szCs w:val="16"/>
                <w:lang w:eastAsia="nl-NL"/>
              </w:rPr>
            </w:pPr>
            <w:r w:rsidRPr="009F1987">
              <w:rPr>
                <w:rFonts w:ascii="Verdana" w:hAnsi="Verdana" w:cs="Arial"/>
                <w:b/>
                <w:bCs/>
                <w:iCs/>
                <w:color w:val="000000"/>
                <w:sz w:val="16"/>
                <w:szCs w:val="16"/>
                <w:lang w:eastAsia="nl-NL"/>
              </w:rPr>
              <w:t>Uitvoerende dienst</w:t>
            </w:r>
          </w:p>
        </w:tc>
        <w:tc>
          <w:tcPr>
            <w:tcW w:w="410" w:type="pct"/>
            <w:tcBorders>
              <w:top w:val="single" w:color="auto" w:sz="4" w:space="0"/>
              <w:left w:val="single" w:color="auto" w:sz="4" w:space="0"/>
              <w:bottom w:val="single" w:color="auto" w:sz="4" w:space="0"/>
              <w:right w:val="single" w:color="auto" w:sz="4" w:space="0"/>
            </w:tcBorders>
            <w:vAlign w:val="center"/>
          </w:tcPr>
          <w:p w:rsidRPr="009F1987" w:rsidR="00543E2A" w:rsidP="00976D73" w:rsidRDefault="00543E2A">
            <w:pPr>
              <w:spacing w:after="0" w:line="240" w:lineRule="atLeast"/>
              <w:jc w:val="center"/>
              <w:rPr>
                <w:rFonts w:ascii="Verdana" w:hAnsi="Verdana" w:cs="Arial"/>
                <w:bCs/>
                <w:iCs/>
                <w:color w:val="000000"/>
                <w:sz w:val="16"/>
                <w:szCs w:val="16"/>
                <w:lang w:eastAsia="nl-NL"/>
              </w:rPr>
            </w:pPr>
            <w:r w:rsidRPr="009F1987">
              <w:rPr>
                <w:rFonts w:ascii="Verdana" w:hAnsi="Verdana" w:cs="Arial"/>
                <w:bCs/>
                <w:iCs/>
                <w:color w:val="000000"/>
                <w:sz w:val="16"/>
                <w:szCs w:val="16"/>
                <w:lang w:eastAsia="nl-NL"/>
              </w:rPr>
              <w:t>12</w:t>
            </w:r>
          </w:p>
        </w:tc>
        <w:tc>
          <w:tcPr>
            <w:tcW w:w="394" w:type="pct"/>
            <w:tcBorders>
              <w:top w:val="single" w:color="auto" w:sz="4" w:space="0"/>
              <w:left w:val="single" w:color="auto" w:sz="4" w:space="0"/>
              <w:bottom w:val="single" w:color="auto" w:sz="4" w:space="0"/>
              <w:right w:val="single" w:color="auto" w:sz="4" w:space="0"/>
            </w:tcBorders>
            <w:vAlign w:val="center"/>
          </w:tcPr>
          <w:p w:rsidRPr="009F1987" w:rsidR="00543E2A" w:rsidP="00976D73" w:rsidRDefault="00543E2A">
            <w:pPr>
              <w:spacing w:after="0" w:line="240" w:lineRule="atLeast"/>
              <w:jc w:val="center"/>
              <w:rPr>
                <w:rFonts w:ascii="Verdana" w:hAnsi="Verdana" w:cs="Arial"/>
                <w:color w:val="000000"/>
                <w:sz w:val="16"/>
                <w:szCs w:val="16"/>
                <w:lang w:eastAsia="nl-NL"/>
              </w:rPr>
            </w:pPr>
            <w:r w:rsidRPr="009F1987">
              <w:rPr>
                <w:rFonts w:ascii="Verdana" w:hAnsi="Verdana" w:cs="Arial"/>
                <w:color w:val="000000"/>
                <w:sz w:val="16"/>
                <w:szCs w:val="16"/>
                <w:lang w:eastAsia="nl-NL"/>
              </w:rPr>
              <w:t>5</w:t>
            </w:r>
          </w:p>
        </w:tc>
        <w:tc>
          <w:tcPr>
            <w:tcW w:w="841" w:type="pct"/>
            <w:tcBorders>
              <w:top w:val="single" w:color="auto" w:sz="4" w:space="0"/>
              <w:left w:val="single" w:color="auto" w:sz="4" w:space="0"/>
              <w:bottom w:val="single" w:color="auto" w:sz="4" w:space="0"/>
              <w:right w:val="single" w:color="auto" w:sz="4" w:space="0"/>
            </w:tcBorders>
            <w:vAlign w:val="center"/>
          </w:tcPr>
          <w:p w:rsidRPr="009F1987" w:rsidR="00543E2A" w:rsidP="00976D73" w:rsidRDefault="00543E2A">
            <w:pPr>
              <w:spacing w:after="0" w:line="240" w:lineRule="atLeast"/>
              <w:jc w:val="center"/>
              <w:rPr>
                <w:rFonts w:ascii="Verdana" w:hAnsi="Verdana" w:cs="Arial"/>
                <w:color w:val="000000"/>
                <w:sz w:val="16"/>
                <w:szCs w:val="16"/>
                <w:lang w:eastAsia="nl-NL"/>
              </w:rPr>
            </w:pPr>
            <w:r w:rsidRPr="009F1987">
              <w:rPr>
                <w:rFonts w:ascii="Verdana" w:hAnsi="Verdana" w:cs="Arial"/>
                <w:color w:val="000000"/>
                <w:sz w:val="16"/>
                <w:szCs w:val="16"/>
                <w:lang w:eastAsia="nl-NL"/>
              </w:rPr>
              <w:t>20%</w:t>
            </w:r>
          </w:p>
        </w:tc>
        <w:tc>
          <w:tcPr>
            <w:tcW w:w="727" w:type="pct"/>
            <w:tcBorders>
              <w:top w:val="single" w:color="auto" w:sz="4" w:space="0"/>
              <w:left w:val="single" w:color="auto" w:sz="4" w:space="0"/>
              <w:bottom w:val="single" w:color="auto" w:sz="4" w:space="0"/>
              <w:right w:val="single" w:color="auto" w:sz="4" w:space="0"/>
            </w:tcBorders>
            <w:vAlign w:val="center"/>
          </w:tcPr>
          <w:p w:rsidRPr="009F1987" w:rsidR="00543E2A" w:rsidP="00976D73" w:rsidRDefault="00543E2A">
            <w:pPr>
              <w:spacing w:after="0" w:line="240" w:lineRule="atLeast"/>
              <w:jc w:val="center"/>
              <w:rPr>
                <w:rFonts w:ascii="Verdana" w:hAnsi="Verdana" w:cs="Arial"/>
                <w:color w:val="000000"/>
                <w:sz w:val="16"/>
                <w:szCs w:val="16"/>
                <w:lang w:eastAsia="nl-NL"/>
              </w:rPr>
            </w:pPr>
            <w:r w:rsidRPr="009F1987">
              <w:rPr>
                <w:rFonts w:ascii="Verdana" w:hAnsi="Verdana" w:cs="Arial"/>
                <w:color w:val="000000"/>
                <w:sz w:val="16"/>
                <w:szCs w:val="16"/>
                <w:lang w:eastAsia="nl-NL"/>
              </w:rPr>
              <w:t>40%</w:t>
            </w:r>
          </w:p>
        </w:tc>
        <w:tc>
          <w:tcPr>
            <w:tcW w:w="744" w:type="pct"/>
            <w:tcBorders>
              <w:top w:val="single" w:color="auto" w:sz="4" w:space="0"/>
              <w:left w:val="nil"/>
              <w:bottom w:val="single" w:color="auto" w:sz="4" w:space="0"/>
              <w:right w:val="single" w:color="auto" w:sz="4" w:space="0"/>
            </w:tcBorders>
            <w:vAlign w:val="center"/>
          </w:tcPr>
          <w:p w:rsidRPr="009F1987" w:rsidR="00543E2A" w:rsidP="00976D73" w:rsidRDefault="00543E2A">
            <w:pPr>
              <w:spacing w:after="0" w:line="240" w:lineRule="atLeast"/>
              <w:jc w:val="center"/>
              <w:rPr>
                <w:rFonts w:ascii="Verdana" w:hAnsi="Verdana" w:cs="Arial"/>
                <w:color w:val="000000"/>
                <w:sz w:val="16"/>
                <w:szCs w:val="16"/>
                <w:lang w:eastAsia="nl-NL"/>
              </w:rPr>
            </w:pPr>
            <w:r w:rsidRPr="009F1987">
              <w:rPr>
                <w:rFonts w:ascii="Verdana" w:hAnsi="Verdana" w:cs="Arial"/>
                <w:color w:val="000000"/>
                <w:sz w:val="16"/>
                <w:szCs w:val="16"/>
                <w:lang w:eastAsia="nl-NL"/>
              </w:rPr>
              <w:t>0%</w:t>
            </w:r>
          </w:p>
        </w:tc>
        <w:tc>
          <w:tcPr>
            <w:tcW w:w="530" w:type="pct"/>
            <w:tcBorders>
              <w:top w:val="single" w:color="auto" w:sz="4" w:space="0"/>
              <w:left w:val="nil"/>
              <w:bottom w:val="single" w:color="auto" w:sz="4" w:space="0"/>
              <w:right w:val="single" w:color="auto" w:sz="4" w:space="0"/>
            </w:tcBorders>
            <w:vAlign w:val="center"/>
          </w:tcPr>
          <w:p w:rsidRPr="009F1987" w:rsidR="00543E2A" w:rsidP="00976D73" w:rsidRDefault="00543E2A">
            <w:pPr>
              <w:spacing w:after="0" w:line="240" w:lineRule="atLeast"/>
              <w:jc w:val="center"/>
              <w:rPr>
                <w:rFonts w:ascii="Verdana" w:hAnsi="Verdana" w:cs="Arial"/>
                <w:color w:val="000000"/>
                <w:sz w:val="16"/>
                <w:szCs w:val="16"/>
                <w:lang w:eastAsia="nl-NL"/>
              </w:rPr>
            </w:pPr>
            <w:r w:rsidRPr="009F1987">
              <w:rPr>
                <w:rFonts w:ascii="Verdana" w:hAnsi="Verdana" w:cs="Arial"/>
                <w:color w:val="000000"/>
                <w:sz w:val="16"/>
                <w:szCs w:val="16"/>
                <w:lang w:eastAsia="nl-NL"/>
              </w:rPr>
              <w:t>40%</w:t>
            </w:r>
          </w:p>
        </w:tc>
        <w:tc>
          <w:tcPr>
            <w:tcW w:w="641" w:type="pct"/>
            <w:tcBorders>
              <w:top w:val="single" w:color="auto" w:sz="4" w:space="0"/>
              <w:left w:val="nil"/>
              <w:bottom w:val="single" w:color="auto" w:sz="4" w:space="0"/>
              <w:right w:val="single" w:color="auto" w:sz="4" w:space="0"/>
            </w:tcBorders>
            <w:vAlign w:val="center"/>
          </w:tcPr>
          <w:p w:rsidRPr="009F1987" w:rsidR="00543E2A" w:rsidP="00976D73" w:rsidRDefault="00543E2A">
            <w:pPr>
              <w:spacing w:after="0" w:line="240" w:lineRule="atLeast"/>
              <w:jc w:val="center"/>
              <w:rPr>
                <w:rFonts w:ascii="Verdana" w:hAnsi="Verdana" w:cs="Arial"/>
                <w:color w:val="000000"/>
                <w:sz w:val="16"/>
                <w:szCs w:val="16"/>
                <w:lang w:eastAsia="nl-NL"/>
              </w:rPr>
            </w:pPr>
            <w:r w:rsidRPr="009F1987">
              <w:rPr>
                <w:rFonts w:ascii="Verdana" w:hAnsi="Verdana" w:cs="Arial"/>
                <w:color w:val="000000"/>
                <w:sz w:val="16"/>
                <w:szCs w:val="16"/>
                <w:lang w:eastAsia="nl-NL"/>
              </w:rPr>
              <w:t>1</w:t>
            </w:r>
          </w:p>
        </w:tc>
      </w:tr>
      <w:tr w:rsidRPr="009F1987" w:rsidR="00543E2A" w:rsidTr="005474C1">
        <w:trPr>
          <w:trHeight w:val="300"/>
        </w:trPr>
        <w:tc>
          <w:tcPr>
            <w:tcW w:w="713" w:type="pct"/>
            <w:tcBorders>
              <w:top w:val="single" w:color="auto" w:sz="4" w:space="0"/>
              <w:left w:val="single" w:color="auto" w:sz="4" w:space="0"/>
              <w:bottom w:val="single" w:color="auto" w:sz="4" w:space="0"/>
              <w:right w:val="single" w:color="auto" w:sz="4" w:space="0"/>
            </w:tcBorders>
            <w:vAlign w:val="center"/>
          </w:tcPr>
          <w:p w:rsidRPr="009F1987" w:rsidR="00543E2A" w:rsidP="00976D73" w:rsidRDefault="00543E2A">
            <w:pPr>
              <w:spacing w:after="0" w:line="240" w:lineRule="atLeast"/>
              <w:rPr>
                <w:rFonts w:ascii="Verdana" w:hAnsi="Verdana" w:cs="Arial"/>
                <w:b/>
                <w:bCs/>
                <w:iCs/>
                <w:color w:val="000000"/>
                <w:sz w:val="16"/>
                <w:szCs w:val="16"/>
                <w:lang w:eastAsia="nl-NL"/>
              </w:rPr>
            </w:pPr>
            <w:r w:rsidRPr="009F1987">
              <w:rPr>
                <w:rFonts w:ascii="Verdana" w:hAnsi="Verdana" w:cs="Arial"/>
                <w:b/>
                <w:bCs/>
                <w:iCs/>
                <w:color w:val="000000"/>
                <w:sz w:val="16"/>
                <w:szCs w:val="16"/>
                <w:lang w:eastAsia="nl-NL"/>
              </w:rPr>
              <w:t>Inspectie</w:t>
            </w:r>
          </w:p>
        </w:tc>
        <w:tc>
          <w:tcPr>
            <w:tcW w:w="410" w:type="pct"/>
            <w:tcBorders>
              <w:top w:val="single" w:color="auto" w:sz="4" w:space="0"/>
              <w:left w:val="single" w:color="auto" w:sz="4" w:space="0"/>
              <w:bottom w:val="single" w:color="auto" w:sz="4" w:space="0"/>
              <w:right w:val="single" w:color="auto" w:sz="4" w:space="0"/>
            </w:tcBorders>
            <w:vAlign w:val="center"/>
          </w:tcPr>
          <w:p w:rsidRPr="009F1987" w:rsidR="00543E2A" w:rsidP="00976D73" w:rsidRDefault="00543E2A">
            <w:pPr>
              <w:spacing w:after="0" w:line="240" w:lineRule="atLeast"/>
              <w:jc w:val="center"/>
              <w:rPr>
                <w:rFonts w:ascii="Verdana" w:hAnsi="Verdana" w:cs="Arial"/>
                <w:bCs/>
                <w:iCs/>
                <w:color w:val="000000"/>
                <w:sz w:val="16"/>
                <w:szCs w:val="16"/>
                <w:lang w:eastAsia="nl-NL"/>
              </w:rPr>
            </w:pPr>
            <w:r w:rsidRPr="009F1987">
              <w:rPr>
                <w:rFonts w:ascii="Verdana" w:hAnsi="Verdana" w:cs="Arial"/>
                <w:bCs/>
                <w:iCs/>
                <w:color w:val="000000"/>
                <w:sz w:val="16"/>
                <w:szCs w:val="16"/>
                <w:lang w:eastAsia="nl-NL"/>
              </w:rPr>
              <w:t>83</w:t>
            </w:r>
          </w:p>
        </w:tc>
        <w:tc>
          <w:tcPr>
            <w:tcW w:w="394" w:type="pct"/>
            <w:tcBorders>
              <w:top w:val="single" w:color="auto" w:sz="4" w:space="0"/>
              <w:left w:val="single" w:color="auto" w:sz="4" w:space="0"/>
              <w:bottom w:val="single" w:color="auto" w:sz="4" w:space="0"/>
              <w:right w:val="single" w:color="auto" w:sz="4" w:space="0"/>
            </w:tcBorders>
            <w:vAlign w:val="center"/>
          </w:tcPr>
          <w:p w:rsidRPr="009F1987" w:rsidR="00543E2A" w:rsidP="00976D73" w:rsidRDefault="00543E2A">
            <w:pPr>
              <w:spacing w:after="0" w:line="240" w:lineRule="atLeast"/>
              <w:jc w:val="center"/>
              <w:rPr>
                <w:rFonts w:ascii="Verdana" w:hAnsi="Verdana" w:cs="Arial"/>
                <w:color w:val="000000"/>
                <w:sz w:val="16"/>
                <w:szCs w:val="16"/>
                <w:lang w:eastAsia="nl-NL"/>
              </w:rPr>
            </w:pPr>
            <w:r w:rsidRPr="009F1987">
              <w:rPr>
                <w:rFonts w:ascii="Verdana" w:hAnsi="Verdana" w:cs="Arial"/>
                <w:color w:val="000000"/>
                <w:sz w:val="16"/>
                <w:szCs w:val="16"/>
                <w:lang w:eastAsia="nl-NL"/>
              </w:rPr>
              <w:t>85</w:t>
            </w:r>
          </w:p>
        </w:tc>
        <w:tc>
          <w:tcPr>
            <w:tcW w:w="841" w:type="pct"/>
            <w:tcBorders>
              <w:top w:val="single" w:color="auto" w:sz="4" w:space="0"/>
              <w:left w:val="single" w:color="auto" w:sz="4" w:space="0"/>
              <w:bottom w:val="single" w:color="auto" w:sz="4" w:space="0"/>
              <w:right w:val="single" w:color="auto" w:sz="4" w:space="0"/>
            </w:tcBorders>
            <w:vAlign w:val="center"/>
          </w:tcPr>
          <w:p w:rsidRPr="009F1987" w:rsidR="00543E2A" w:rsidP="00976D73" w:rsidRDefault="00543E2A">
            <w:pPr>
              <w:spacing w:after="0" w:line="240" w:lineRule="atLeast"/>
              <w:jc w:val="center"/>
              <w:rPr>
                <w:rFonts w:ascii="Verdana" w:hAnsi="Verdana" w:cs="Arial"/>
                <w:color w:val="000000"/>
                <w:sz w:val="16"/>
                <w:szCs w:val="16"/>
                <w:lang w:eastAsia="nl-NL"/>
              </w:rPr>
            </w:pPr>
            <w:r w:rsidRPr="009F1987">
              <w:rPr>
                <w:rFonts w:ascii="Verdana" w:hAnsi="Verdana" w:cs="Arial"/>
                <w:color w:val="000000"/>
                <w:sz w:val="16"/>
                <w:szCs w:val="16"/>
                <w:lang w:eastAsia="nl-NL"/>
              </w:rPr>
              <w:t>26%</w:t>
            </w:r>
          </w:p>
        </w:tc>
        <w:tc>
          <w:tcPr>
            <w:tcW w:w="727" w:type="pct"/>
            <w:tcBorders>
              <w:top w:val="nil"/>
              <w:left w:val="single" w:color="auto" w:sz="4" w:space="0"/>
              <w:bottom w:val="single" w:color="auto" w:sz="4" w:space="0"/>
              <w:right w:val="single" w:color="auto" w:sz="4" w:space="0"/>
            </w:tcBorders>
            <w:vAlign w:val="center"/>
          </w:tcPr>
          <w:p w:rsidRPr="009F1987" w:rsidR="00543E2A" w:rsidP="00976D73" w:rsidRDefault="00543E2A">
            <w:pPr>
              <w:spacing w:after="0" w:line="240" w:lineRule="atLeast"/>
              <w:jc w:val="center"/>
              <w:rPr>
                <w:rFonts w:ascii="Verdana" w:hAnsi="Verdana" w:cs="Arial"/>
                <w:color w:val="000000"/>
                <w:sz w:val="16"/>
                <w:szCs w:val="16"/>
                <w:lang w:eastAsia="nl-NL"/>
              </w:rPr>
            </w:pPr>
            <w:r w:rsidRPr="009F1987">
              <w:rPr>
                <w:rFonts w:ascii="Verdana" w:hAnsi="Verdana" w:cs="Arial"/>
                <w:color w:val="000000"/>
                <w:sz w:val="16"/>
                <w:szCs w:val="16"/>
                <w:lang w:eastAsia="nl-NL"/>
              </w:rPr>
              <w:t>47%</w:t>
            </w:r>
          </w:p>
        </w:tc>
        <w:tc>
          <w:tcPr>
            <w:tcW w:w="744" w:type="pct"/>
            <w:tcBorders>
              <w:top w:val="nil"/>
              <w:left w:val="nil"/>
              <w:bottom w:val="single" w:color="auto" w:sz="4" w:space="0"/>
              <w:right w:val="single" w:color="auto" w:sz="4" w:space="0"/>
            </w:tcBorders>
            <w:vAlign w:val="center"/>
          </w:tcPr>
          <w:p w:rsidRPr="009F1987" w:rsidR="00543E2A" w:rsidP="00976D73" w:rsidRDefault="00543E2A">
            <w:pPr>
              <w:spacing w:after="0" w:line="240" w:lineRule="atLeast"/>
              <w:jc w:val="center"/>
              <w:rPr>
                <w:rFonts w:ascii="Verdana" w:hAnsi="Verdana" w:cs="Arial"/>
                <w:color w:val="000000"/>
                <w:sz w:val="16"/>
                <w:szCs w:val="16"/>
                <w:lang w:eastAsia="nl-NL"/>
              </w:rPr>
            </w:pPr>
            <w:r w:rsidRPr="009F1987">
              <w:rPr>
                <w:rFonts w:ascii="Verdana" w:hAnsi="Verdana" w:cs="Arial"/>
                <w:color w:val="000000"/>
                <w:sz w:val="16"/>
                <w:szCs w:val="16"/>
                <w:lang w:eastAsia="nl-NL"/>
              </w:rPr>
              <w:t>17%</w:t>
            </w:r>
          </w:p>
        </w:tc>
        <w:tc>
          <w:tcPr>
            <w:tcW w:w="530" w:type="pct"/>
            <w:tcBorders>
              <w:top w:val="nil"/>
              <w:left w:val="nil"/>
              <w:bottom w:val="single" w:color="auto" w:sz="4" w:space="0"/>
              <w:right w:val="single" w:color="auto" w:sz="4" w:space="0"/>
            </w:tcBorders>
            <w:vAlign w:val="center"/>
          </w:tcPr>
          <w:p w:rsidRPr="009F1987" w:rsidR="00543E2A" w:rsidP="00976D73" w:rsidRDefault="00543E2A">
            <w:pPr>
              <w:spacing w:after="0" w:line="240" w:lineRule="atLeast"/>
              <w:jc w:val="center"/>
              <w:rPr>
                <w:rFonts w:ascii="Verdana" w:hAnsi="Verdana" w:cs="Arial"/>
                <w:color w:val="000000"/>
                <w:sz w:val="16"/>
                <w:szCs w:val="16"/>
                <w:lang w:eastAsia="nl-NL"/>
              </w:rPr>
            </w:pPr>
            <w:r w:rsidRPr="009F1987">
              <w:rPr>
                <w:rFonts w:ascii="Verdana" w:hAnsi="Verdana" w:cs="Arial"/>
                <w:color w:val="000000"/>
                <w:sz w:val="16"/>
                <w:szCs w:val="16"/>
                <w:lang w:eastAsia="nl-NL"/>
              </w:rPr>
              <w:t>10%</w:t>
            </w:r>
          </w:p>
        </w:tc>
        <w:tc>
          <w:tcPr>
            <w:tcW w:w="641" w:type="pct"/>
            <w:tcBorders>
              <w:top w:val="nil"/>
              <w:left w:val="nil"/>
              <w:bottom w:val="single" w:color="auto" w:sz="4" w:space="0"/>
              <w:right w:val="single" w:color="auto" w:sz="4" w:space="0"/>
            </w:tcBorders>
            <w:vAlign w:val="center"/>
          </w:tcPr>
          <w:p w:rsidRPr="009F1987" w:rsidR="00543E2A" w:rsidP="00976D73" w:rsidRDefault="00543E2A">
            <w:pPr>
              <w:spacing w:after="0" w:line="240" w:lineRule="atLeast"/>
              <w:jc w:val="center"/>
              <w:rPr>
                <w:rFonts w:ascii="Verdana" w:hAnsi="Verdana" w:cs="Arial"/>
                <w:color w:val="000000"/>
                <w:sz w:val="16"/>
                <w:szCs w:val="16"/>
                <w:lang w:eastAsia="nl-NL"/>
              </w:rPr>
            </w:pPr>
            <w:r w:rsidRPr="009F1987">
              <w:rPr>
                <w:rFonts w:ascii="Verdana" w:hAnsi="Verdana" w:cs="Arial"/>
                <w:color w:val="000000"/>
                <w:sz w:val="16"/>
                <w:szCs w:val="16"/>
                <w:lang w:eastAsia="nl-NL"/>
              </w:rPr>
              <w:t>1</w:t>
            </w:r>
          </w:p>
        </w:tc>
      </w:tr>
      <w:tr w:rsidRPr="009F1987" w:rsidR="00543E2A" w:rsidTr="005474C1">
        <w:trPr>
          <w:trHeight w:val="300"/>
        </w:trPr>
        <w:tc>
          <w:tcPr>
            <w:tcW w:w="713" w:type="pct"/>
            <w:tcBorders>
              <w:top w:val="single" w:color="auto" w:sz="4" w:space="0"/>
              <w:left w:val="single" w:color="auto" w:sz="4" w:space="0"/>
              <w:bottom w:val="single" w:color="auto" w:sz="4" w:space="0"/>
              <w:right w:val="single" w:color="auto" w:sz="4" w:space="0"/>
            </w:tcBorders>
            <w:vAlign w:val="center"/>
          </w:tcPr>
          <w:p w:rsidRPr="009F1987" w:rsidR="00543E2A" w:rsidP="00976D73" w:rsidRDefault="00543E2A">
            <w:pPr>
              <w:spacing w:after="0" w:line="240" w:lineRule="atLeast"/>
              <w:rPr>
                <w:rFonts w:ascii="Verdana" w:hAnsi="Verdana" w:cs="Arial"/>
                <w:b/>
                <w:color w:val="000000"/>
                <w:sz w:val="16"/>
                <w:szCs w:val="16"/>
                <w:lang w:eastAsia="nl-NL"/>
              </w:rPr>
            </w:pPr>
            <w:r w:rsidRPr="009F1987">
              <w:rPr>
                <w:rFonts w:ascii="Verdana" w:hAnsi="Verdana" w:cs="Arial"/>
                <w:b/>
                <w:color w:val="000000"/>
                <w:sz w:val="16"/>
                <w:szCs w:val="16"/>
                <w:lang w:eastAsia="nl-NL"/>
              </w:rPr>
              <w:t>Totaal</w:t>
            </w:r>
          </w:p>
        </w:tc>
        <w:tc>
          <w:tcPr>
            <w:tcW w:w="410" w:type="pct"/>
            <w:tcBorders>
              <w:top w:val="single" w:color="auto" w:sz="4" w:space="0"/>
              <w:left w:val="single" w:color="auto" w:sz="4" w:space="0"/>
              <w:bottom w:val="single" w:color="auto" w:sz="4" w:space="0"/>
              <w:right w:val="single" w:color="auto" w:sz="4" w:space="0"/>
            </w:tcBorders>
            <w:vAlign w:val="center"/>
          </w:tcPr>
          <w:p w:rsidRPr="009F1987" w:rsidR="00543E2A" w:rsidP="00976D73" w:rsidRDefault="00543E2A">
            <w:pPr>
              <w:spacing w:after="0" w:line="240" w:lineRule="atLeast"/>
              <w:jc w:val="center"/>
              <w:rPr>
                <w:rFonts w:ascii="Verdana" w:hAnsi="Verdana" w:cs="Arial"/>
                <w:color w:val="000000"/>
                <w:sz w:val="16"/>
                <w:szCs w:val="16"/>
                <w:lang w:eastAsia="nl-NL"/>
              </w:rPr>
            </w:pPr>
            <w:r w:rsidRPr="009F1987">
              <w:rPr>
                <w:rFonts w:ascii="Verdana" w:hAnsi="Verdana" w:cs="Arial"/>
                <w:color w:val="000000"/>
                <w:sz w:val="16"/>
                <w:szCs w:val="16"/>
                <w:lang w:eastAsia="nl-NL"/>
              </w:rPr>
              <w:t>167</w:t>
            </w:r>
          </w:p>
        </w:tc>
        <w:tc>
          <w:tcPr>
            <w:tcW w:w="394" w:type="pct"/>
            <w:tcBorders>
              <w:top w:val="single" w:color="auto" w:sz="4" w:space="0"/>
              <w:left w:val="single" w:color="auto" w:sz="4" w:space="0"/>
              <w:bottom w:val="single" w:color="auto" w:sz="4" w:space="0"/>
              <w:right w:val="single" w:color="auto" w:sz="4" w:space="0"/>
            </w:tcBorders>
            <w:noWrap/>
            <w:vAlign w:val="center"/>
          </w:tcPr>
          <w:p w:rsidRPr="009F1987" w:rsidR="00543E2A" w:rsidP="00976D73" w:rsidRDefault="00543E2A">
            <w:pPr>
              <w:spacing w:after="0" w:line="240" w:lineRule="atLeast"/>
              <w:jc w:val="center"/>
              <w:rPr>
                <w:rFonts w:ascii="Verdana" w:hAnsi="Verdana" w:cs="Arial"/>
                <w:color w:val="000000"/>
                <w:sz w:val="16"/>
                <w:szCs w:val="16"/>
                <w:lang w:eastAsia="nl-NL"/>
              </w:rPr>
            </w:pPr>
            <w:r w:rsidRPr="009F1987">
              <w:rPr>
                <w:rFonts w:ascii="Verdana" w:hAnsi="Verdana" w:cs="Arial"/>
                <w:color w:val="000000"/>
                <w:sz w:val="16"/>
                <w:szCs w:val="16"/>
                <w:lang w:eastAsia="nl-NL"/>
              </w:rPr>
              <w:t>142</w:t>
            </w:r>
          </w:p>
        </w:tc>
        <w:tc>
          <w:tcPr>
            <w:tcW w:w="841" w:type="pct"/>
            <w:tcBorders>
              <w:top w:val="single" w:color="auto" w:sz="4" w:space="0"/>
              <w:left w:val="single" w:color="auto" w:sz="4" w:space="0"/>
              <w:bottom w:val="single" w:color="auto" w:sz="4" w:space="0"/>
              <w:right w:val="single" w:color="auto" w:sz="4" w:space="0"/>
            </w:tcBorders>
            <w:noWrap/>
            <w:vAlign w:val="center"/>
          </w:tcPr>
          <w:p w:rsidRPr="009F1987" w:rsidR="00543E2A" w:rsidP="00976D73" w:rsidRDefault="00543E2A">
            <w:pPr>
              <w:spacing w:after="0" w:line="240" w:lineRule="atLeast"/>
              <w:jc w:val="center"/>
              <w:rPr>
                <w:rFonts w:ascii="Verdana" w:hAnsi="Verdana" w:cs="Arial"/>
                <w:color w:val="000000"/>
                <w:sz w:val="16"/>
                <w:szCs w:val="16"/>
              </w:rPr>
            </w:pPr>
            <w:r w:rsidRPr="009F1987">
              <w:rPr>
                <w:rFonts w:ascii="Verdana" w:hAnsi="Verdana" w:cs="Arial"/>
                <w:color w:val="000000"/>
                <w:sz w:val="16"/>
                <w:szCs w:val="16"/>
                <w:lang w:eastAsia="nl-NL"/>
              </w:rPr>
              <w:t>29%</w:t>
            </w:r>
          </w:p>
        </w:tc>
        <w:tc>
          <w:tcPr>
            <w:tcW w:w="727" w:type="pct"/>
            <w:tcBorders>
              <w:top w:val="single" w:color="auto" w:sz="4" w:space="0"/>
              <w:left w:val="single" w:color="auto" w:sz="4" w:space="0"/>
              <w:bottom w:val="single" w:color="auto" w:sz="4" w:space="0"/>
              <w:right w:val="single" w:color="auto" w:sz="4" w:space="0"/>
            </w:tcBorders>
            <w:noWrap/>
            <w:vAlign w:val="center"/>
          </w:tcPr>
          <w:p w:rsidRPr="009F1987" w:rsidR="00543E2A" w:rsidP="00976D73" w:rsidRDefault="00543E2A">
            <w:pPr>
              <w:spacing w:after="0" w:line="240" w:lineRule="atLeast"/>
              <w:jc w:val="center"/>
              <w:rPr>
                <w:rFonts w:ascii="Verdana" w:hAnsi="Verdana" w:cs="Arial"/>
                <w:color w:val="000000"/>
                <w:sz w:val="16"/>
                <w:szCs w:val="16"/>
              </w:rPr>
            </w:pPr>
            <w:r w:rsidRPr="009F1987">
              <w:rPr>
                <w:rFonts w:ascii="Verdana" w:hAnsi="Verdana" w:cs="Arial"/>
                <w:color w:val="000000"/>
                <w:sz w:val="16"/>
                <w:szCs w:val="16"/>
                <w:lang w:eastAsia="nl-NL"/>
              </w:rPr>
              <w:t>46%</w:t>
            </w:r>
          </w:p>
        </w:tc>
        <w:tc>
          <w:tcPr>
            <w:tcW w:w="744" w:type="pct"/>
            <w:tcBorders>
              <w:top w:val="single" w:color="auto" w:sz="4" w:space="0"/>
              <w:left w:val="single" w:color="auto" w:sz="4" w:space="0"/>
              <w:bottom w:val="single" w:color="auto" w:sz="4" w:space="0"/>
              <w:right w:val="single" w:color="auto" w:sz="4" w:space="0"/>
            </w:tcBorders>
            <w:noWrap/>
            <w:vAlign w:val="center"/>
          </w:tcPr>
          <w:p w:rsidRPr="009F1987" w:rsidR="00543E2A" w:rsidP="00976D73" w:rsidRDefault="00543E2A">
            <w:pPr>
              <w:spacing w:after="0" w:line="240" w:lineRule="atLeast"/>
              <w:jc w:val="center"/>
              <w:rPr>
                <w:rFonts w:ascii="Verdana" w:hAnsi="Verdana" w:cs="Arial"/>
                <w:color w:val="000000"/>
                <w:sz w:val="16"/>
                <w:szCs w:val="16"/>
              </w:rPr>
            </w:pPr>
            <w:r w:rsidRPr="009F1987">
              <w:rPr>
                <w:rFonts w:ascii="Verdana" w:hAnsi="Verdana" w:cs="Arial"/>
                <w:color w:val="000000"/>
                <w:sz w:val="16"/>
                <w:szCs w:val="16"/>
                <w:lang w:eastAsia="nl-NL"/>
              </w:rPr>
              <w:t>15%</w:t>
            </w:r>
          </w:p>
        </w:tc>
        <w:tc>
          <w:tcPr>
            <w:tcW w:w="530" w:type="pct"/>
            <w:tcBorders>
              <w:top w:val="single" w:color="auto" w:sz="4" w:space="0"/>
              <w:left w:val="single" w:color="auto" w:sz="4" w:space="0"/>
              <w:bottom w:val="single" w:color="auto" w:sz="4" w:space="0"/>
              <w:right w:val="single" w:color="auto" w:sz="4" w:space="0"/>
            </w:tcBorders>
            <w:noWrap/>
            <w:vAlign w:val="center"/>
          </w:tcPr>
          <w:p w:rsidRPr="009F1987" w:rsidR="00543E2A" w:rsidP="00976D73" w:rsidRDefault="00543E2A">
            <w:pPr>
              <w:spacing w:after="0" w:line="240" w:lineRule="atLeast"/>
              <w:jc w:val="center"/>
              <w:rPr>
                <w:rFonts w:ascii="Verdana" w:hAnsi="Verdana" w:cs="Arial"/>
                <w:color w:val="000000"/>
                <w:sz w:val="16"/>
                <w:szCs w:val="16"/>
              </w:rPr>
            </w:pPr>
            <w:r w:rsidRPr="009F1987">
              <w:rPr>
                <w:rFonts w:ascii="Verdana" w:hAnsi="Verdana" w:cs="Arial"/>
                <w:color w:val="000000"/>
                <w:sz w:val="16"/>
                <w:szCs w:val="16"/>
                <w:lang w:eastAsia="nl-NL"/>
              </w:rPr>
              <w:t>10%</w:t>
            </w:r>
          </w:p>
        </w:tc>
        <w:tc>
          <w:tcPr>
            <w:tcW w:w="641" w:type="pct"/>
            <w:tcBorders>
              <w:top w:val="single" w:color="auto" w:sz="4" w:space="0"/>
              <w:left w:val="single" w:color="auto" w:sz="4" w:space="0"/>
              <w:bottom w:val="single" w:color="auto" w:sz="4" w:space="0"/>
              <w:right w:val="single" w:color="auto" w:sz="4" w:space="0"/>
            </w:tcBorders>
            <w:noWrap/>
            <w:vAlign w:val="center"/>
          </w:tcPr>
          <w:p w:rsidRPr="009F1987" w:rsidR="00543E2A" w:rsidP="00976D73" w:rsidRDefault="00543E2A">
            <w:pPr>
              <w:spacing w:after="0" w:line="240" w:lineRule="atLeast"/>
              <w:jc w:val="center"/>
              <w:rPr>
                <w:rFonts w:ascii="Verdana" w:hAnsi="Verdana" w:cs="Arial"/>
                <w:color w:val="000000"/>
                <w:sz w:val="16"/>
                <w:szCs w:val="16"/>
              </w:rPr>
            </w:pPr>
            <w:r w:rsidRPr="009F1987">
              <w:rPr>
                <w:rFonts w:ascii="Verdana" w:hAnsi="Verdana" w:cs="Arial"/>
                <w:color w:val="000000"/>
                <w:sz w:val="16"/>
                <w:szCs w:val="16"/>
              </w:rPr>
              <w:t>7</w:t>
            </w:r>
          </w:p>
        </w:tc>
      </w:tr>
    </w:tbl>
    <w:p w:rsidRPr="009F1987" w:rsidR="00543E2A" w:rsidP="00906A5B" w:rsidRDefault="00543E2A">
      <w:pPr>
        <w:spacing w:after="0" w:line="240" w:lineRule="atLeast"/>
        <w:rPr>
          <w:rFonts w:ascii="Verdana" w:hAnsi="Verdana" w:cs="Arial"/>
          <w:b/>
          <w:bCs/>
          <w:iCs/>
          <w:sz w:val="18"/>
          <w:szCs w:val="18"/>
        </w:rPr>
      </w:pPr>
    </w:p>
    <w:p w:rsidRPr="009F1987" w:rsidR="00543E2A" w:rsidP="00DA3BC7" w:rsidRDefault="00543E2A">
      <w:pPr>
        <w:spacing w:after="0" w:line="240" w:lineRule="atLeast"/>
        <w:jc w:val="both"/>
        <w:rPr>
          <w:rFonts w:ascii="Verdana" w:hAnsi="Verdana" w:cs="Arial"/>
          <w:b/>
          <w:bCs/>
          <w:iCs/>
          <w:sz w:val="18"/>
          <w:szCs w:val="18"/>
        </w:rPr>
      </w:pPr>
      <w:r w:rsidRPr="009F1987">
        <w:rPr>
          <w:rFonts w:ascii="Verdana" w:hAnsi="Verdana" w:cs="Arial"/>
          <w:b/>
          <w:bCs/>
          <w:iCs/>
          <w:sz w:val="18"/>
          <w:szCs w:val="18"/>
        </w:rPr>
        <w:t xml:space="preserve">E-mail (en telefonische oproepen) </w:t>
      </w:r>
    </w:p>
    <w:p w:rsidRPr="009F1987" w:rsidR="00543E2A" w:rsidP="00DA3BC7" w:rsidRDefault="00543E2A">
      <w:pPr>
        <w:spacing w:after="0" w:line="240" w:lineRule="atLeast"/>
        <w:jc w:val="both"/>
        <w:rPr>
          <w:rFonts w:ascii="Verdana" w:hAnsi="Verdana" w:cs="Arial"/>
          <w:b/>
          <w:bCs/>
          <w:iCs/>
          <w:sz w:val="18"/>
          <w:szCs w:val="18"/>
        </w:rPr>
      </w:pPr>
    </w:p>
    <w:p w:rsidRPr="009F1987" w:rsidR="00543E2A" w:rsidP="00DA3BC7" w:rsidRDefault="00543E2A">
      <w:pPr>
        <w:spacing w:after="0" w:line="240" w:lineRule="atLeast"/>
        <w:jc w:val="both"/>
        <w:rPr>
          <w:rFonts w:ascii="Verdana" w:hAnsi="Verdana"/>
          <w:b/>
          <w:bCs/>
          <w:sz w:val="18"/>
          <w:szCs w:val="18"/>
        </w:rPr>
      </w:pPr>
      <w:r w:rsidRPr="009F1987">
        <w:rPr>
          <w:rFonts w:ascii="Verdana" w:hAnsi="Verdana"/>
          <w:sz w:val="18"/>
          <w:szCs w:val="18"/>
        </w:rPr>
        <w:t xml:space="preserve">Tenslotte hierbij nog enige informatie over de door het kerndepartement ontvangen e-mailberichten en telefonische contacten met burgers. In 2011 heeft Postbus51 voor VWS 8.924 e-mails (en 26.193 telefonische oproepen) ontvangen. Hiervan zijn er 1.725 (e-mailberichten en telefoongesprekken) via de mail doorgestuurd naar VWS. Buiten de e-mails die Postbus51 heeft doorgestuurd, heeft de Afdeling Publieksvoorlichting van VWS nog 1.529 burgercontacten geregistreerd. Ook de laatste categorie is niet uitgesplitst naar soort contact (e-mail, telefoon). De contacten die via Publieksvoorlichting verlopen worden niet in een apart systeem geregistreerd, maar vooralsnog handmatig bijgehouden. </w:t>
      </w:r>
    </w:p>
    <w:p w:rsidRPr="009F1987" w:rsidR="00543E2A" w:rsidP="00906A5B" w:rsidRDefault="00543E2A">
      <w:pPr>
        <w:spacing w:after="0" w:line="240" w:lineRule="atLeast"/>
        <w:jc w:val="both"/>
        <w:rPr>
          <w:rFonts w:ascii="Verdana" w:hAnsi="Verdana"/>
          <w:b/>
          <w:sz w:val="18"/>
          <w:szCs w:val="18"/>
        </w:rPr>
      </w:pPr>
    </w:p>
    <w:p w:rsidRPr="009F1987" w:rsidR="00543E2A" w:rsidP="00906A5B" w:rsidRDefault="00543E2A">
      <w:pPr>
        <w:spacing w:after="0" w:line="240" w:lineRule="atLeast"/>
        <w:jc w:val="both"/>
        <w:rPr>
          <w:rFonts w:ascii="Verdana" w:hAnsi="Verdana"/>
          <w:sz w:val="18"/>
          <w:szCs w:val="18"/>
        </w:rPr>
      </w:pPr>
      <w:r w:rsidRPr="009F1987">
        <w:rPr>
          <w:rFonts w:ascii="Verdana" w:hAnsi="Verdana"/>
          <w:sz w:val="18"/>
          <w:szCs w:val="18"/>
        </w:rPr>
        <w:t xml:space="preserve">Ook enkele uitvoeringsdiensten van VWS zijn per e-mail benaderd door burgers. In het verslagjaar 2011 ontving het RIVM via Postbus51 </w:t>
      </w:r>
      <w:r>
        <w:rPr>
          <w:rFonts w:ascii="Verdana" w:hAnsi="Verdana"/>
          <w:sz w:val="18"/>
          <w:szCs w:val="18"/>
        </w:rPr>
        <w:t>één</w:t>
      </w:r>
      <w:r w:rsidRPr="009F1987">
        <w:rPr>
          <w:rFonts w:ascii="Verdana" w:hAnsi="Verdana"/>
          <w:sz w:val="18"/>
          <w:szCs w:val="18"/>
        </w:rPr>
        <w:t xml:space="preserve"> e-mail, terwijl rechtstreeks circa 2.700 e-mails werden ontvangen. Het CIBG ontving net als vorig jaar maar liefst ruim 20.000 e-mails en het CBG ontving 700 e-mails. Het SCP ontving naar schatting 1.100 e-mails. Bij de IGZ staat de teller voor het totaal ontvangen en verwerkte e-mailberichten in 2011 op 30.000. Hier is geen onderscheid gemaakt tussen de ontvangen berichten van burgers of Postbus 51. De Gezondheidsraad (55), de IJZ (81) en het NVI (21) ontvingen allen minder dan 100 e-mails in 2011. </w:t>
      </w:r>
    </w:p>
    <w:p w:rsidRPr="009F1987" w:rsidR="00543E2A" w:rsidP="00906A5B" w:rsidRDefault="00543E2A">
      <w:pPr>
        <w:spacing w:after="0" w:line="240" w:lineRule="atLeast"/>
        <w:rPr>
          <w:rFonts w:ascii="Verdana" w:hAnsi="Verdana"/>
          <w:sz w:val="18"/>
          <w:szCs w:val="18"/>
        </w:rPr>
      </w:pPr>
    </w:p>
    <w:p w:rsidRPr="009F1987" w:rsidR="00543E2A" w:rsidP="00077E81" w:rsidRDefault="00543E2A">
      <w:pPr>
        <w:rPr>
          <w:rFonts w:ascii="Verdana" w:hAnsi="Verdana"/>
          <w:sz w:val="18"/>
          <w:szCs w:val="18"/>
        </w:rPr>
      </w:pPr>
    </w:p>
    <w:sectPr w:rsidRPr="009F1987" w:rsidR="00543E2A" w:rsidSect="004E3306">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E2A" w:rsidRDefault="00543E2A" w:rsidP="00576C28">
      <w:pPr>
        <w:spacing w:after="0" w:line="240" w:lineRule="auto"/>
      </w:pPr>
      <w:r>
        <w:separator/>
      </w:r>
    </w:p>
  </w:endnote>
  <w:endnote w:type="continuationSeparator" w:id="0">
    <w:p w:rsidR="00543E2A" w:rsidRDefault="00543E2A" w:rsidP="00576C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BemboStd">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E2A" w:rsidRDefault="00543E2A">
    <w:pPr>
      <w:pStyle w:val="Footer"/>
      <w:jc w:val="right"/>
    </w:pPr>
    <w:fldSimple w:instr=" PAGE   \* MERGEFORMAT ">
      <w:r>
        <w:rPr>
          <w:noProof/>
        </w:rPr>
        <w:t>1</w:t>
      </w:r>
    </w:fldSimple>
  </w:p>
  <w:p w:rsidR="00543E2A" w:rsidRDefault="00543E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E2A" w:rsidRDefault="00543E2A" w:rsidP="00576C28">
      <w:pPr>
        <w:spacing w:after="0" w:line="240" w:lineRule="auto"/>
      </w:pPr>
      <w:r>
        <w:separator/>
      </w:r>
    </w:p>
  </w:footnote>
  <w:footnote w:type="continuationSeparator" w:id="0">
    <w:p w:rsidR="00543E2A" w:rsidRDefault="00543E2A" w:rsidP="00576C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30625"/>
    <w:multiLevelType w:val="hybridMultilevel"/>
    <w:tmpl w:val="1DCA188C"/>
    <w:lvl w:ilvl="0" w:tplc="65200A0C">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
    <w:nsid w:val="1BC04EC2"/>
    <w:multiLevelType w:val="multilevel"/>
    <w:tmpl w:val="62E67896"/>
    <w:lvl w:ilvl="0">
      <w:start w:val="1"/>
      <w:numFmt w:val="decimal"/>
      <w:lvlText w:val="%1."/>
      <w:lvlJc w:val="left"/>
      <w:pPr>
        <w:tabs>
          <w:tab w:val="num" w:pos="432"/>
        </w:tabs>
        <w:ind w:left="432" w:hanging="432"/>
      </w:pPr>
      <w:rPr>
        <w:rFonts w:ascii="Verdana" w:hAnsi="Verdana" w:cs="Times New Roman" w:hint="default"/>
        <w:b w:val="0"/>
        <w:i w:val="0"/>
        <w:sz w:val="18"/>
      </w:rPr>
    </w:lvl>
    <w:lvl w:ilvl="1">
      <w:start w:val="1"/>
      <w:numFmt w:val="decimal"/>
      <w:lvlText w:val="%1.%2."/>
      <w:lvlJc w:val="left"/>
      <w:pPr>
        <w:tabs>
          <w:tab w:val="num" w:pos="576"/>
        </w:tabs>
        <w:ind w:left="576" w:hanging="576"/>
      </w:pPr>
      <w:rPr>
        <w:rFonts w:ascii="Verdana" w:hAnsi="Verdana" w:cs="Times New Roman" w:hint="default"/>
        <w:b w:val="0"/>
        <w:i w:val="0"/>
        <w:sz w:val="1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23BD3F75"/>
    <w:multiLevelType w:val="hybridMultilevel"/>
    <w:tmpl w:val="42E2668E"/>
    <w:lvl w:ilvl="0" w:tplc="2DE06F2C">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76F30F6"/>
    <w:multiLevelType w:val="hybridMultilevel"/>
    <w:tmpl w:val="954E5802"/>
    <w:lvl w:ilvl="0" w:tplc="400429E4">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61803659"/>
    <w:multiLevelType w:val="hybridMultilevel"/>
    <w:tmpl w:val="1DCA188C"/>
    <w:lvl w:ilvl="0" w:tplc="65200A0C">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1FC8"/>
    <w:rsid w:val="000020FA"/>
    <w:rsid w:val="00010159"/>
    <w:rsid w:val="00012A71"/>
    <w:rsid w:val="00033B72"/>
    <w:rsid w:val="000347EF"/>
    <w:rsid w:val="000439FB"/>
    <w:rsid w:val="00047FF0"/>
    <w:rsid w:val="00053601"/>
    <w:rsid w:val="00070519"/>
    <w:rsid w:val="0007474A"/>
    <w:rsid w:val="00077E81"/>
    <w:rsid w:val="00090BB3"/>
    <w:rsid w:val="00093A4F"/>
    <w:rsid w:val="000A6F82"/>
    <w:rsid w:val="000B645B"/>
    <w:rsid w:val="000E0A7C"/>
    <w:rsid w:val="000E1295"/>
    <w:rsid w:val="000F3123"/>
    <w:rsid w:val="00130567"/>
    <w:rsid w:val="0014284D"/>
    <w:rsid w:val="00151F18"/>
    <w:rsid w:val="0015527A"/>
    <w:rsid w:val="00170723"/>
    <w:rsid w:val="0019008C"/>
    <w:rsid w:val="00190A10"/>
    <w:rsid w:val="001D0932"/>
    <w:rsid w:val="001D3CBB"/>
    <w:rsid w:val="001E1DEA"/>
    <w:rsid w:val="00201055"/>
    <w:rsid w:val="002013D4"/>
    <w:rsid w:val="0020565E"/>
    <w:rsid w:val="00212EE5"/>
    <w:rsid w:val="002204AD"/>
    <w:rsid w:val="002320AE"/>
    <w:rsid w:val="00240268"/>
    <w:rsid w:val="00244330"/>
    <w:rsid w:val="0026182A"/>
    <w:rsid w:val="0028278C"/>
    <w:rsid w:val="002870A8"/>
    <w:rsid w:val="002947D0"/>
    <w:rsid w:val="002C0314"/>
    <w:rsid w:val="002D06FC"/>
    <w:rsid w:val="002D23A3"/>
    <w:rsid w:val="002E2218"/>
    <w:rsid w:val="0030677F"/>
    <w:rsid w:val="003270F0"/>
    <w:rsid w:val="00327944"/>
    <w:rsid w:val="003370D7"/>
    <w:rsid w:val="003557BF"/>
    <w:rsid w:val="00356AD4"/>
    <w:rsid w:val="00361BCC"/>
    <w:rsid w:val="00394479"/>
    <w:rsid w:val="00395557"/>
    <w:rsid w:val="0039784E"/>
    <w:rsid w:val="003A2F8B"/>
    <w:rsid w:val="003A3C24"/>
    <w:rsid w:val="003A5DD3"/>
    <w:rsid w:val="003A6945"/>
    <w:rsid w:val="004148C7"/>
    <w:rsid w:val="004214BB"/>
    <w:rsid w:val="004255A7"/>
    <w:rsid w:val="0043008A"/>
    <w:rsid w:val="00430394"/>
    <w:rsid w:val="00436E2C"/>
    <w:rsid w:val="00442D51"/>
    <w:rsid w:val="00444D73"/>
    <w:rsid w:val="004735DA"/>
    <w:rsid w:val="00475E85"/>
    <w:rsid w:val="00475F32"/>
    <w:rsid w:val="004A5C30"/>
    <w:rsid w:val="004B6FD4"/>
    <w:rsid w:val="004E3306"/>
    <w:rsid w:val="004F3FA5"/>
    <w:rsid w:val="0050408B"/>
    <w:rsid w:val="00517CE5"/>
    <w:rsid w:val="0053231A"/>
    <w:rsid w:val="00532736"/>
    <w:rsid w:val="0053698E"/>
    <w:rsid w:val="005435E9"/>
    <w:rsid w:val="00543E2A"/>
    <w:rsid w:val="005473B0"/>
    <w:rsid w:val="005474C1"/>
    <w:rsid w:val="00547505"/>
    <w:rsid w:val="00554ABA"/>
    <w:rsid w:val="00555AE3"/>
    <w:rsid w:val="00564BCC"/>
    <w:rsid w:val="00565BA8"/>
    <w:rsid w:val="00576C28"/>
    <w:rsid w:val="00582685"/>
    <w:rsid w:val="0058622D"/>
    <w:rsid w:val="005C0AF1"/>
    <w:rsid w:val="005C170F"/>
    <w:rsid w:val="005C24BE"/>
    <w:rsid w:val="005D14F6"/>
    <w:rsid w:val="005D33A5"/>
    <w:rsid w:val="00600D24"/>
    <w:rsid w:val="00617EA5"/>
    <w:rsid w:val="00620A5E"/>
    <w:rsid w:val="00635E45"/>
    <w:rsid w:val="00641473"/>
    <w:rsid w:val="006448BE"/>
    <w:rsid w:val="00646ECB"/>
    <w:rsid w:val="00662C03"/>
    <w:rsid w:val="00670342"/>
    <w:rsid w:val="00683F62"/>
    <w:rsid w:val="006932AB"/>
    <w:rsid w:val="00695F7B"/>
    <w:rsid w:val="0069747E"/>
    <w:rsid w:val="006A1C1D"/>
    <w:rsid w:val="006D73EA"/>
    <w:rsid w:val="006E5A0F"/>
    <w:rsid w:val="006F24C2"/>
    <w:rsid w:val="006F26E2"/>
    <w:rsid w:val="006F3E86"/>
    <w:rsid w:val="006F4DDE"/>
    <w:rsid w:val="0070286B"/>
    <w:rsid w:val="007614D7"/>
    <w:rsid w:val="00761A9B"/>
    <w:rsid w:val="00764F69"/>
    <w:rsid w:val="00777C10"/>
    <w:rsid w:val="00781FC8"/>
    <w:rsid w:val="00790874"/>
    <w:rsid w:val="007A7817"/>
    <w:rsid w:val="007A78F5"/>
    <w:rsid w:val="007B682E"/>
    <w:rsid w:val="007C01B2"/>
    <w:rsid w:val="007E2E66"/>
    <w:rsid w:val="007E43F0"/>
    <w:rsid w:val="007E7955"/>
    <w:rsid w:val="007F5252"/>
    <w:rsid w:val="00802C87"/>
    <w:rsid w:val="0081525C"/>
    <w:rsid w:val="008555E9"/>
    <w:rsid w:val="00885940"/>
    <w:rsid w:val="0089035B"/>
    <w:rsid w:val="008B168B"/>
    <w:rsid w:val="008B56AC"/>
    <w:rsid w:val="008C18FB"/>
    <w:rsid w:val="008C28E1"/>
    <w:rsid w:val="008C4C3C"/>
    <w:rsid w:val="00906A5B"/>
    <w:rsid w:val="00925582"/>
    <w:rsid w:val="00931945"/>
    <w:rsid w:val="0093243B"/>
    <w:rsid w:val="009329B9"/>
    <w:rsid w:val="009352D4"/>
    <w:rsid w:val="00950F7E"/>
    <w:rsid w:val="00976D73"/>
    <w:rsid w:val="00986540"/>
    <w:rsid w:val="00996CE4"/>
    <w:rsid w:val="009A07C9"/>
    <w:rsid w:val="009B3162"/>
    <w:rsid w:val="009C4D84"/>
    <w:rsid w:val="009D1478"/>
    <w:rsid w:val="009E1608"/>
    <w:rsid w:val="009F1987"/>
    <w:rsid w:val="009F4D28"/>
    <w:rsid w:val="009F578D"/>
    <w:rsid w:val="00A0444F"/>
    <w:rsid w:val="00A4637E"/>
    <w:rsid w:val="00A46E39"/>
    <w:rsid w:val="00A64FE8"/>
    <w:rsid w:val="00A655F1"/>
    <w:rsid w:val="00A7272F"/>
    <w:rsid w:val="00A74469"/>
    <w:rsid w:val="00A85D03"/>
    <w:rsid w:val="00AB683C"/>
    <w:rsid w:val="00AD1DAE"/>
    <w:rsid w:val="00AE1BBB"/>
    <w:rsid w:val="00AE46EF"/>
    <w:rsid w:val="00B1722F"/>
    <w:rsid w:val="00B24BCC"/>
    <w:rsid w:val="00B30A95"/>
    <w:rsid w:val="00B357EA"/>
    <w:rsid w:val="00B518FB"/>
    <w:rsid w:val="00B65A19"/>
    <w:rsid w:val="00BB354A"/>
    <w:rsid w:val="00BC0C61"/>
    <w:rsid w:val="00BC670F"/>
    <w:rsid w:val="00BC742B"/>
    <w:rsid w:val="00BD2A7E"/>
    <w:rsid w:val="00BD7522"/>
    <w:rsid w:val="00BF5441"/>
    <w:rsid w:val="00C0090E"/>
    <w:rsid w:val="00C13468"/>
    <w:rsid w:val="00C3268A"/>
    <w:rsid w:val="00C415E9"/>
    <w:rsid w:val="00C63BB2"/>
    <w:rsid w:val="00C64115"/>
    <w:rsid w:val="00C77C80"/>
    <w:rsid w:val="00C809E3"/>
    <w:rsid w:val="00CA130D"/>
    <w:rsid w:val="00CB0D4F"/>
    <w:rsid w:val="00CB570C"/>
    <w:rsid w:val="00CD305D"/>
    <w:rsid w:val="00CD5C50"/>
    <w:rsid w:val="00D04454"/>
    <w:rsid w:val="00D05E77"/>
    <w:rsid w:val="00D31F7C"/>
    <w:rsid w:val="00D40F7D"/>
    <w:rsid w:val="00D450BC"/>
    <w:rsid w:val="00D5797F"/>
    <w:rsid w:val="00D604F3"/>
    <w:rsid w:val="00D94837"/>
    <w:rsid w:val="00DA020A"/>
    <w:rsid w:val="00DA3BC7"/>
    <w:rsid w:val="00DC37DB"/>
    <w:rsid w:val="00DD0DFA"/>
    <w:rsid w:val="00DD3239"/>
    <w:rsid w:val="00DD3615"/>
    <w:rsid w:val="00DE0327"/>
    <w:rsid w:val="00DE2E24"/>
    <w:rsid w:val="00DF481B"/>
    <w:rsid w:val="00E07B66"/>
    <w:rsid w:val="00E467E4"/>
    <w:rsid w:val="00E57F6D"/>
    <w:rsid w:val="00E648E6"/>
    <w:rsid w:val="00E80524"/>
    <w:rsid w:val="00ED13A6"/>
    <w:rsid w:val="00EE6A6D"/>
    <w:rsid w:val="00EF6237"/>
    <w:rsid w:val="00F057DC"/>
    <w:rsid w:val="00F0729F"/>
    <w:rsid w:val="00F22CDC"/>
    <w:rsid w:val="00F23D9B"/>
    <w:rsid w:val="00F2716F"/>
    <w:rsid w:val="00F37B59"/>
    <w:rsid w:val="00F412C0"/>
    <w:rsid w:val="00F44A1C"/>
    <w:rsid w:val="00F5652E"/>
    <w:rsid w:val="00F70087"/>
    <w:rsid w:val="00F73B73"/>
    <w:rsid w:val="00F90E2E"/>
    <w:rsid w:val="00F97348"/>
    <w:rsid w:val="00FA4410"/>
    <w:rsid w:val="00FB6D3B"/>
    <w:rsid w:val="00FC2967"/>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30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0445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nl-NL"/>
    </w:rPr>
  </w:style>
  <w:style w:type="table" w:styleId="TableGrid">
    <w:name w:val="Table Grid"/>
    <w:basedOn w:val="TableNormal"/>
    <w:uiPriority w:val="99"/>
    <w:rsid w:val="00764F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764F69"/>
    <w:pPr>
      <w:autoSpaceDE w:val="0"/>
      <w:autoSpaceDN w:val="0"/>
      <w:adjustRightInd w:val="0"/>
    </w:pPr>
    <w:rPr>
      <w:rFonts w:ascii="Verdana" w:eastAsia="Times New Roman" w:hAnsi="Verdana" w:cs="Verdana"/>
      <w:color w:val="000000"/>
      <w:sz w:val="24"/>
      <w:szCs w:val="24"/>
    </w:rPr>
  </w:style>
  <w:style w:type="character" w:styleId="CommentReference">
    <w:name w:val="annotation reference"/>
    <w:basedOn w:val="DefaultParagraphFont"/>
    <w:uiPriority w:val="99"/>
    <w:semiHidden/>
    <w:rsid w:val="00D04454"/>
    <w:rPr>
      <w:rFonts w:cs="Times New Roman"/>
      <w:sz w:val="16"/>
      <w:szCs w:val="16"/>
    </w:rPr>
  </w:style>
  <w:style w:type="paragraph" w:styleId="CommentText">
    <w:name w:val="annotation text"/>
    <w:basedOn w:val="Normal"/>
    <w:link w:val="CommentTextChar"/>
    <w:uiPriority w:val="99"/>
    <w:semiHidden/>
    <w:rsid w:val="00D04454"/>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lang w:val="nl-NL"/>
    </w:rPr>
  </w:style>
  <w:style w:type="paragraph" w:styleId="CommentSubject">
    <w:name w:val="annotation subject"/>
    <w:basedOn w:val="CommentText"/>
    <w:next w:val="CommentText"/>
    <w:link w:val="CommentSubjectChar"/>
    <w:uiPriority w:val="99"/>
    <w:semiHidden/>
    <w:rsid w:val="00D04454"/>
    <w:rPr>
      <w:b/>
      <w:bCs/>
    </w:rPr>
  </w:style>
  <w:style w:type="character" w:customStyle="1" w:styleId="CommentSubjectChar">
    <w:name w:val="Comment Subject Char"/>
    <w:basedOn w:val="CommentTextChar"/>
    <w:link w:val="CommentSubject"/>
    <w:uiPriority w:val="99"/>
    <w:semiHidden/>
    <w:locked/>
    <w:rPr>
      <w:b/>
      <w:bCs/>
    </w:rPr>
  </w:style>
  <w:style w:type="paragraph" w:styleId="Header">
    <w:name w:val="header"/>
    <w:basedOn w:val="Normal"/>
    <w:link w:val="HeaderChar"/>
    <w:uiPriority w:val="99"/>
    <w:semiHidden/>
    <w:rsid w:val="00576C2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576C28"/>
    <w:rPr>
      <w:rFonts w:cs="Times New Roman"/>
      <w:lang w:val="nl-NL"/>
    </w:rPr>
  </w:style>
  <w:style w:type="paragraph" w:styleId="Footer">
    <w:name w:val="footer"/>
    <w:basedOn w:val="Normal"/>
    <w:link w:val="FooterChar"/>
    <w:uiPriority w:val="99"/>
    <w:rsid w:val="00576C28"/>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76C28"/>
    <w:rPr>
      <w:rFonts w:cs="Times New Roman"/>
      <w:lang w:val="nl-NL"/>
    </w:rPr>
  </w:style>
  <w:style w:type="paragraph" w:styleId="ListParagraph">
    <w:name w:val="List Paragraph"/>
    <w:basedOn w:val="Normal"/>
    <w:uiPriority w:val="99"/>
    <w:qFormat/>
    <w:rsid w:val="009D1478"/>
    <w:pPr>
      <w:ind w:left="720"/>
      <w:contextualSpacing/>
    </w:pPr>
  </w:style>
  <w:style w:type="paragraph" w:customStyle="1" w:styleId="Huisstijl-Aanhef">
    <w:name w:val="Huisstijl - Aanhef"/>
    <w:basedOn w:val="Normal"/>
    <w:uiPriority w:val="99"/>
    <w:rsid w:val="0070286B"/>
    <w:pPr>
      <w:widowControl w:val="0"/>
      <w:suppressAutoHyphens/>
      <w:autoSpaceDN w:val="0"/>
      <w:spacing w:before="280" w:after="240" w:line="240" w:lineRule="exact"/>
      <w:textAlignment w:val="baseline"/>
    </w:pPr>
    <w:rPr>
      <w:rFonts w:ascii="Verdana" w:hAnsi="Verdana" w:cs="Lohit Hindi"/>
      <w:kern w:val="3"/>
      <w:sz w:val="18"/>
      <w:szCs w:val="24"/>
      <w:lang w:eastAsia="zh-CN" w:bidi="hi-IN"/>
    </w:rPr>
  </w:style>
  <w:style w:type="paragraph" w:styleId="FootnoteText">
    <w:name w:val="footnote text"/>
    <w:basedOn w:val="Normal"/>
    <w:link w:val="FootnoteTextChar"/>
    <w:uiPriority w:val="99"/>
    <w:semiHidden/>
    <w:rsid w:val="00D450BC"/>
    <w:pPr>
      <w:spacing w:after="0" w:line="240" w:lineRule="auto"/>
    </w:pPr>
    <w:rPr>
      <w:rFonts w:ascii="Verdana" w:eastAsia="Times New Roman" w:hAnsi="Verdana"/>
      <w:sz w:val="18"/>
      <w:szCs w:val="20"/>
      <w:lang w:eastAsia="nl-NL"/>
    </w:rPr>
  </w:style>
  <w:style w:type="character" w:customStyle="1" w:styleId="FootnoteTextChar">
    <w:name w:val="Footnote Text Char"/>
    <w:basedOn w:val="DefaultParagraphFont"/>
    <w:link w:val="FootnoteText"/>
    <w:uiPriority w:val="99"/>
    <w:semiHidden/>
    <w:locked/>
    <w:rsid w:val="00D450BC"/>
    <w:rPr>
      <w:rFonts w:ascii="Verdana" w:hAnsi="Verdana" w:cs="Times New Roman"/>
      <w:sz w:val="20"/>
      <w:szCs w:val="20"/>
      <w:lang w:val="nl-NL" w:eastAsia="nl-NL"/>
    </w:rPr>
  </w:style>
  <w:style w:type="character" w:styleId="FootnoteReference">
    <w:name w:val="footnote reference"/>
    <w:basedOn w:val="DefaultParagraphFont"/>
    <w:uiPriority w:val="99"/>
    <w:semiHidden/>
    <w:rsid w:val="00D450BC"/>
    <w:rPr>
      <w:rFonts w:cs="Times New Roman"/>
      <w:vertAlign w:val="superscript"/>
    </w:rPr>
  </w:style>
  <w:style w:type="character" w:customStyle="1" w:styleId="st1">
    <w:name w:val="st1"/>
    <w:basedOn w:val="DefaultParagraphFont"/>
    <w:uiPriority w:val="99"/>
    <w:rsid w:val="00B357EA"/>
    <w:rPr>
      <w:rFonts w:cs="Times New Roman"/>
    </w:rPr>
  </w:style>
</w:styles>
</file>

<file path=word/webSettings.xml><?xml version="1.0" encoding="utf-8"?>
<w:webSettings xmlns:r="http://schemas.openxmlformats.org/officeDocument/2006/relationships" xmlns:w="http://schemas.openxmlformats.org/wordprocessingml/2006/main">
  <w:divs>
    <w:div w:id="1551260940">
      <w:marLeft w:val="0"/>
      <w:marRight w:val="0"/>
      <w:marTop w:val="0"/>
      <w:marBottom w:val="0"/>
      <w:divBdr>
        <w:top w:val="none" w:sz="0" w:space="0" w:color="auto"/>
        <w:left w:val="none" w:sz="0" w:space="0" w:color="auto"/>
        <w:bottom w:val="none" w:sz="0" w:space="0" w:color="auto"/>
        <w:right w:val="none" w:sz="0" w:space="0" w:color="auto"/>
      </w:divBdr>
    </w:div>
    <w:div w:id="1551260941">
      <w:marLeft w:val="0"/>
      <w:marRight w:val="0"/>
      <w:marTop w:val="0"/>
      <w:marBottom w:val="0"/>
      <w:divBdr>
        <w:top w:val="none" w:sz="0" w:space="0" w:color="auto"/>
        <w:left w:val="none" w:sz="0" w:space="0" w:color="auto"/>
        <w:bottom w:val="none" w:sz="0" w:space="0" w:color="auto"/>
        <w:right w:val="none" w:sz="0" w:space="0" w:color="auto"/>
      </w:divBdr>
    </w:div>
    <w:div w:id="1551260942">
      <w:marLeft w:val="0"/>
      <w:marRight w:val="0"/>
      <w:marTop w:val="0"/>
      <w:marBottom w:val="0"/>
      <w:divBdr>
        <w:top w:val="none" w:sz="0" w:space="0" w:color="auto"/>
        <w:left w:val="none" w:sz="0" w:space="0" w:color="auto"/>
        <w:bottom w:val="none" w:sz="0" w:space="0" w:color="auto"/>
        <w:right w:val="none" w:sz="0" w:space="0" w:color="auto"/>
      </w:divBdr>
    </w:div>
    <w:div w:id="1551260943">
      <w:marLeft w:val="0"/>
      <w:marRight w:val="0"/>
      <w:marTop w:val="0"/>
      <w:marBottom w:val="0"/>
      <w:divBdr>
        <w:top w:val="none" w:sz="0" w:space="0" w:color="auto"/>
        <w:left w:val="none" w:sz="0" w:space="0" w:color="auto"/>
        <w:bottom w:val="none" w:sz="0" w:space="0" w:color="auto"/>
        <w:right w:val="none" w:sz="0" w:space="0" w:color="auto"/>
      </w:divBdr>
    </w:div>
    <w:div w:id="1551260947">
      <w:marLeft w:val="0"/>
      <w:marRight w:val="0"/>
      <w:marTop w:val="0"/>
      <w:marBottom w:val="0"/>
      <w:divBdr>
        <w:top w:val="none" w:sz="0" w:space="0" w:color="auto"/>
        <w:left w:val="none" w:sz="0" w:space="0" w:color="auto"/>
        <w:bottom w:val="none" w:sz="0" w:space="0" w:color="auto"/>
        <w:right w:val="none" w:sz="0" w:space="0" w:color="auto"/>
      </w:divBdr>
    </w:div>
    <w:div w:id="1551260948">
      <w:marLeft w:val="0"/>
      <w:marRight w:val="0"/>
      <w:marTop w:val="0"/>
      <w:marBottom w:val="0"/>
      <w:divBdr>
        <w:top w:val="none" w:sz="0" w:space="0" w:color="auto"/>
        <w:left w:val="none" w:sz="0" w:space="0" w:color="auto"/>
        <w:bottom w:val="none" w:sz="0" w:space="0" w:color="auto"/>
        <w:right w:val="none" w:sz="0" w:space="0" w:color="auto"/>
      </w:divBdr>
    </w:div>
    <w:div w:id="1551260949">
      <w:marLeft w:val="0"/>
      <w:marRight w:val="0"/>
      <w:marTop w:val="0"/>
      <w:marBottom w:val="0"/>
      <w:divBdr>
        <w:top w:val="none" w:sz="0" w:space="0" w:color="auto"/>
        <w:left w:val="none" w:sz="0" w:space="0" w:color="auto"/>
        <w:bottom w:val="none" w:sz="0" w:space="0" w:color="auto"/>
        <w:right w:val="none" w:sz="0" w:space="0" w:color="auto"/>
      </w:divBdr>
    </w:div>
    <w:div w:id="1551260950">
      <w:marLeft w:val="0"/>
      <w:marRight w:val="0"/>
      <w:marTop w:val="0"/>
      <w:marBottom w:val="0"/>
      <w:divBdr>
        <w:top w:val="none" w:sz="0" w:space="0" w:color="auto"/>
        <w:left w:val="none" w:sz="0" w:space="0" w:color="auto"/>
        <w:bottom w:val="none" w:sz="0" w:space="0" w:color="auto"/>
        <w:right w:val="none" w:sz="0" w:space="0" w:color="auto"/>
      </w:divBdr>
    </w:div>
    <w:div w:id="1551260951">
      <w:marLeft w:val="0"/>
      <w:marRight w:val="0"/>
      <w:marTop w:val="0"/>
      <w:marBottom w:val="0"/>
      <w:divBdr>
        <w:top w:val="none" w:sz="0" w:space="0" w:color="auto"/>
        <w:left w:val="none" w:sz="0" w:space="0" w:color="auto"/>
        <w:bottom w:val="none" w:sz="0" w:space="0" w:color="auto"/>
        <w:right w:val="none" w:sz="0" w:space="0" w:color="auto"/>
      </w:divBdr>
    </w:div>
    <w:div w:id="1551260952">
      <w:marLeft w:val="0"/>
      <w:marRight w:val="0"/>
      <w:marTop w:val="0"/>
      <w:marBottom w:val="0"/>
      <w:divBdr>
        <w:top w:val="none" w:sz="0" w:space="0" w:color="auto"/>
        <w:left w:val="none" w:sz="0" w:space="0" w:color="auto"/>
        <w:bottom w:val="none" w:sz="0" w:space="0" w:color="auto"/>
        <w:right w:val="none" w:sz="0" w:space="0" w:color="auto"/>
      </w:divBdr>
    </w:div>
    <w:div w:id="1551260954">
      <w:marLeft w:val="0"/>
      <w:marRight w:val="0"/>
      <w:marTop w:val="0"/>
      <w:marBottom w:val="0"/>
      <w:divBdr>
        <w:top w:val="none" w:sz="0" w:space="0" w:color="auto"/>
        <w:left w:val="none" w:sz="0" w:space="0" w:color="auto"/>
        <w:bottom w:val="none" w:sz="0" w:space="0" w:color="auto"/>
        <w:right w:val="none" w:sz="0" w:space="0" w:color="auto"/>
      </w:divBdr>
    </w:div>
    <w:div w:id="1551260955">
      <w:marLeft w:val="0"/>
      <w:marRight w:val="0"/>
      <w:marTop w:val="0"/>
      <w:marBottom w:val="0"/>
      <w:divBdr>
        <w:top w:val="none" w:sz="0" w:space="0" w:color="auto"/>
        <w:left w:val="none" w:sz="0" w:space="0" w:color="auto"/>
        <w:bottom w:val="none" w:sz="0" w:space="0" w:color="auto"/>
        <w:right w:val="none" w:sz="0" w:space="0" w:color="auto"/>
      </w:divBdr>
    </w:div>
    <w:div w:id="1551260957">
      <w:marLeft w:val="0"/>
      <w:marRight w:val="0"/>
      <w:marTop w:val="0"/>
      <w:marBottom w:val="0"/>
      <w:divBdr>
        <w:top w:val="none" w:sz="0" w:space="0" w:color="auto"/>
        <w:left w:val="none" w:sz="0" w:space="0" w:color="auto"/>
        <w:bottom w:val="none" w:sz="0" w:space="0" w:color="auto"/>
        <w:right w:val="none" w:sz="0" w:space="0" w:color="auto"/>
      </w:divBdr>
    </w:div>
    <w:div w:id="1551260958">
      <w:marLeft w:val="0"/>
      <w:marRight w:val="0"/>
      <w:marTop w:val="0"/>
      <w:marBottom w:val="0"/>
      <w:divBdr>
        <w:top w:val="none" w:sz="0" w:space="0" w:color="auto"/>
        <w:left w:val="none" w:sz="0" w:space="0" w:color="auto"/>
        <w:bottom w:val="none" w:sz="0" w:space="0" w:color="auto"/>
        <w:right w:val="none" w:sz="0" w:space="0" w:color="auto"/>
      </w:divBdr>
      <w:divsChild>
        <w:div w:id="1551260946">
          <w:marLeft w:val="0"/>
          <w:marRight w:val="0"/>
          <w:marTop w:val="0"/>
          <w:marBottom w:val="0"/>
          <w:divBdr>
            <w:top w:val="none" w:sz="0" w:space="0" w:color="auto"/>
            <w:left w:val="none" w:sz="0" w:space="0" w:color="auto"/>
            <w:bottom w:val="none" w:sz="0" w:space="0" w:color="auto"/>
            <w:right w:val="none" w:sz="0" w:space="0" w:color="auto"/>
          </w:divBdr>
          <w:divsChild>
            <w:div w:id="1551260956">
              <w:marLeft w:val="0"/>
              <w:marRight w:val="0"/>
              <w:marTop w:val="0"/>
              <w:marBottom w:val="0"/>
              <w:divBdr>
                <w:top w:val="none" w:sz="0" w:space="0" w:color="auto"/>
                <w:left w:val="none" w:sz="0" w:space="0" w:color="auto"/>
                <w:bottom w:val="none" w:sz="0" w:space="0" w:color="auto"/>
                <w:right w:val="none" w:sz="0" w:space="0" w:color="auto"/>
              </w:divBdr>
              <w:divsChild>
                <w:div w:id="1551260945">
                  <w:marLeft w:val="0"/>
                  <w:marRight w:val="0"/>
                  <w:marTop w:val="0"/>
                  <w:marBottom w:val="0"/>
                  <w:divBdr>
                    <w:top w:val="none" w:sz="0" w:space="0" w:color="auto"/>
                    <w:left w:val="none" w:sz="0" w:space="0" w:color="auto"/>
                    <w:bottom w:val="none" w:sz="0" w:space="0" w:color="auto"/>
                    <w:right w:val="none" w:sz="0" w:space="0" w:color="auto"/>
                  </w:divBdr>
                  <w:divsChild>
                    <w:div w:id="1551260944">
                      <w:marLeft w:val="0"/>
                      <w:marRight w:val="0"/>
                      <w:marTop w:val="0"/>
                      <w:marBottom w:val="0"/>
                      <w:divBdr>
                        <w:top w:val="none" w:sz="0" w:space="0" w:color="auto"/>
                        <w:left w:val="none" w:sz="0" w:space="0" w:color="auto"/>
                        <w:bottom w:val="none" w:sz="0" w:space="0" w:color="auto"/>
                        <w:right w:val="none" w:sz="0" w:space="0" w:color="auto"/>
                      </w:divBdr>
                      <w:divsChild>
                        <w:div w:id="15512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260959">
      <w:marLeft w:val="0"/>
      <w:marRight w:val="0"/>
      <w:marTop w:val="0"/>
      <w:marBottom w:val="0"/>
      <w:divBdr>
        <w:top w:val="none" w:sz="0" w:space="0" w:color="auto"/>
        <w:left w:val="none" w:sz="0" w:space="0" w:color="auto"/>
        <w:bottom w:val="none" w:sz="0" w:space="0" w:color="auto"/>
        <w:right w:val="none" w:sz="0" w:space="0" w:color="auto"/>
      </w:divBdr>
    </w:div>
    <w:div w:id="1551260960">
      <w:marLeft w:val="0"/>
      <w:marRight w:val="0"/>
      <w:marTop w:val="0"/>
      <w:marBottom w:val="0"/>
      <w:divBdr>
        <w:top w:val="none" w:sz="0" w:space="0" w:color="auto"/>
        <w:left w:val="none" w:sz="0" w:space="0" w:color="auto"/>
        <w:bottom w:val="none" w:sz="0" w:space="0" w:color="auto"/>
        <w:right w:val="none" w:sz="0" w:space="0" w:color="auto"/>
      </w:divBdr>
    </w:div>
    <w:div w:id="15512609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2238</ap:Words>
  <ap:Characters>12310</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2012-05-22T14:50:00.0000000Z</dcterms:created>
  <dcterms:modified xsi:type="dcterms:W3CDTF">2012-05-22T14:50:00.0000000Z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0x0101008DCDD6882FE0C94EB598DC0FB43C165A</vt:lpwstr>
  </property>
</Properties>
</file>