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3A9" w:rsidP="00183979" w:rsidRDefault="002843A9">
      <w:pPr>
        <w:framePr w:w="6045" w:h="1275" w:hSpace="181" w:wrap="around" w:hAnchor="page" w:vAnchor="page" w:x="1192" w:y="2832" w:hRule="exact"/>
        <w:shd w:val="solid" w:color="FFFFFF" w:fill="FFFFFF"/>
        <w:tabs>
          <w:tab w:val="right" w:pos="1008"/>
          <w:tab w:val="left" w:pos="1148"/>
        </w:tabs>
        <w:ind w:left="1145" w:hanging="1145"/>
      </w:pPr>
      <w:r>
        <w:rPr>
          <w:rStyle w:val="Huisstijl-Aan"/>
        </w:rPr>
        <w:tab/>
        <w:t>aan</w:t>
      </w:r>
      <w:r>
        <w:rPr>
          <w:szCs w:val="18"/>
        </w:rPr>
        <w:tab/>
        <w:t xml:space="preserve">de </w:t>
      </w:r>
      <w:r>
        <w:t>voorzitter van de vaste Kamercommissie Onderwijs, Cultuur en Wetenschap</w:t>
      </w:r>
    </w:p>
    <w:p w:rsidR="002843A9" w:rsidP="00183979" w:rsidRDefault="002843A9">
      <w:pPr>
        <w:framePr w:w="6045" w:h="1275" w:hSpace="181" w:wrap="around" w:hAnchor="page" w:vAnchor="page" w:x="1192" w:y="2832" w:hRule="exact"/>
        <w:shd w:val="solid" w:color="FFFFFF" w:fill="FFFFFF"/>
        <w:tabs>
          <w:tab w:val="left" w:pos="1148"/>
        </w:tabs>
        <w:spacing w:line="284" w:lineRule="exact"/>
        <w:ind w:left="1145" w:hanging="1145"/>
        <w:rPr>
          <w:szCs w:val="18"/>
        </w:rPr>
      </w:pPr>
      <w:r>
        <w:t xml:space="preserve">               </w:t>
      </w:r>
    </w:p>
    <w:p w:rsidR="002843A9" w:rsidP="00183979" w:rsidRDefault="002843A9">
      <w:pPr>
        <w:framePr w:w="6045" w:h="1275" w:hSpace="181" w:wrap="around" w:hAnchor="page" w:vAnchor="page" w:x="1192" w:y="2832" w:hRule="exact"/>
        <w:shd w:val="solid" w:color="FFFFFF" w:fill="FFFFFF"/>
        <w:tabs>
          <w:tab w:val="left" w:pos="1148"/>
        </w:tabs>
        <w:spacing w:line="284" w:lineRule="exact"/>
        <w:ind w:left="1145" w:hanging="1145"/>
      </w:pPr>
      <w:r>
        <w:rPr>
          <w:szCs w:val="18"/>
        </w:rPr>
        <w:tab/>
      </w:r>
    </w:p>
    <w:p w:rsidR="002843A9" w:rsidRDefault="002843A9">
      <w:pPr>
        <w:pStyle w:val="PlatteTekst"/>
        <w:sectPr w:rsidR="002843A9">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type id="_x0000_t202" coordsize="21600,21600" o:spt="202" path="m,l,21600r21600,l21600,xe">
            <v:stroke joinstyle="miter"/>
            <v:path gradientshapeok="t" o:connecttype="rect"/>
          </v:shapetype>
          <v:shape id="Tekstvak 13" style="position:absolute;margin-left:294.4pt;margin-top:145.5pt;width:161.3pt;height:18.75pt;z-index:251658752;visibility:visibl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2843A9" w:rsidRDefault="002843A9"/>
              </w:txbxContent>
            </v:textbox>
            <w10:wrap anchory="page"/>
          </v:shape>
        </w:pict>
      </w:r>
    </w:p>
    <w:p w:rsidR="002843A9" w:rsidRDefault="002843A9">
      <w:pPr>
        <w:pStyle w:val="Huisstijl-Aanhef"/>
        <w:rPr>
          <w:szCs w:val="17"/>
        </w:rPr>
      </w:pPr>
      <w:r>
        <w:rPr>
          <w:noProof/>
          <w:lang w:eastAsia="nl-NL" w:bidi="ar-SA"/>
        </w:rPr>
        <w:pict>
          <v:shape id="Tekstvak 9" style="position:absolute;margin-left:382.6pt;margin-top:141.55pt;width:170pt;height:120.7pt;z-index:251656704;visibility:visible;mso-wrap-distance-bottom:21.25pt;mso-position-horizontal-relative:page;mso-position-vertical-relative:page"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next-textbox:#Tekstvak 9" inset="0,0,0,0">
              <w:txbxContent>
                <w:p w:rsidR="002843A9" w:rsidRDefault="002843A9">
                  <w:pPr>
                    <w:pStyle w:val="Huisstijl-Afzendgegevens"/>
                    <w:rPr>
                      <w:szCs w:val="13"/>
                    </w:rPr>
                  </w:pPr>
                  <w:r>
                    <w:t>Postbus 20018</w:t>
                  </w:r>
                </w:p>
                <w:p w:rsidR="002843A9" w:rsidRDefault="002843A9">
                  <w:pPr>
                    <w:pStyle w:val="Huisstijl-Afzendgegevens"/>
                    <w:rPr>
                      <w:szCs w:val="13"/>
                    </w:rPr>
                  </w:pPr>
                  <w:r>
                    <w:t>2500 EA Den Haag</w:t>
                  </w:r>
                  <w:r>
                    <w:rPr>
                      <w:szCs w:val="13"/>
                    </w:rPr>
                    <w:t xml:space="preserve">  </w:t>
                  </w:r>
                </w:p>
                <w:p w:rsidR="002843A9" w:rsidRDefault="002843A9">
                  <w:pPr>
                    <w:pStyle w:val="Huisstijl-AfzendgegevensW1vet"/>
                    <w:rPr>
                      <w:szCs w:val="13"/>
                    </w:rPr>
                  </w:pPr>
                </w:p>
                <w:p w:rsidR="002843A9" w:rsidRDefault="002843A9">
                  <w:pPr>
                    <w:pStyle w:val="Huisstijl-AfzendgegevensW1vet"/>
                    <w:rPr>
                      <w:szCs w:val="13"/>
                    </w:rPr>
                  </w:pPr>
                  <w:r>
                    <w:t>DCO Internationaal en Ruimtelijk</w:t>
                  </w:r>
                </w:p>
                <w:p w:rsidR="002843A9" w:rsidRDefault="002843A9">
                  <w:pPr>
                    <w:pStyle w:val="Huisstijl-Afzendgegevens"/>
                    <w:rPr>
                      <w:szCs w:val="13"/>
                    </w:rPr>
                  </w:pPr>
                  <w:r>
                    <w:t>Commissie Europese Zaken</w:t>
                  </w:r>
                </w:p>
                <w:p w:rsidR="002843A9" w:rsidP="00B333FC" w:rsidRDefault="002843A9">
                  <w:pPr>
                    <w:pStyle w:val="Huisstijl-Afzendgegevens"/>
                    <w:ind w:left="170"/>
                    <w:rPr>
                      <w:szCs w:val="13"/>
                    </w:rPr>
                  </w:pPr>
                  <w:r>
                    <w:rPr>
                      <w:szCs w:val="13"/>
                    </w:rPr>
                    <w:tab/>
                  </w:r>
                  <w:r>
                    <w:rPr>
                      <w:szCs w:val="13"/>
                    </w:rPr>
                    <w:tab/>
                    <w:t xml:space="preserve"> </w:t>
                  </w:r>
                  <w:r>
                    <w:rPr>
                      <w:szCs w:val="13"/>
                    </w:rPr>
                    <w:tab/>
                  </w:r>
                  <w:r>
                    <w:t>Plein 2</w:t>
                  </w:r>
                  <w:r>
                    <w:br/>
                    <w:t>2511 CR  Den Haag</w:t>
                  </w:r>
                </w:p>
                <w:p w:rsidR="002843A9" w:rsidRDefault="002843A9">
                  <w:pPr>
                    <w:pStyle w:val="Huisstijl-AfzendgegevensW1"/>
                    <w:tabs>
                      <w:tab w:val="left" w:pos="-13750"/>
                    </w:tabs>
                  </w:pPr>
                  <w:r>
                    <w:rPr>
                      <w:szCs w:val="13"/>
                    </w:rPr>
                    <w:t xml:space="preserve">T  </w:t>
                  </w:r>
                  <w:r w:rsidRPr="008B4823">
                    <w:t>070 318 2302</w:t>
                  </w:r>
                </w:p>
                <w:p w:rsidR="002843A9" w:rsidRDefault="002843A9">
                  <w:pPr>
                    <w:pStyle w:val="Huisstijl-AfzendgegevensW1"/>
                    <w:tabs>
                      <w:tab w:val="left" w:pos="-13750"/>
                    </w:tabs>
                    <w:rPr>
                      <w:szCs w:val="13"/>
                    </w:rPr>
                  </w:pPr>
                  <w:r>
                    <w:t>E j.timmer@tweedekamer.nl</w:t>
                  </w:r>
                </w:p>
                <w:p w:rsidR="002843A9" w:rsidRDefault="002843A9">
                  <w:pPr>
                    <w:pStyle w:val="Huisstijl-Afzendgegevens"/>
                    <w:rPr>
                      <w:szCs w:val="13"/>
                    </w:rPr>
                  </w:pPr>
                </w:p>
              </w:txbxContent>
            </v:textbox>
            <w10:wrap type="topAndBottom" anchorx="page" anchory="page"/>
          </v:shape>
        </w:pict>
      </w:r>
      <w:r>
        <w:rPr>
          <w:noProof/>
          <w:lang w:eastAsia="nl-NL" w:bidi="ar-SA"/>
        </w:rPr>
        <w:pict>
          <v:shape id="Tekstvak 8" style="position:absolute;margin-left:42.6pt;margin-top:212.55pt;width:327.55pt;height:60.45pt;z-index:251657728;visibility:visible;mso-wrap-distance-bottom:21.25pt;mso-position-horizontal-relative:page;mso-position-vertical-relative:page"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next-textbox:#Tekstvak 8" inset="0,0,0,0">
              <w:txbxContent>
                <w:p w:rsidR="002843A9" w:rsidRDefault="002843A9">
                  <w:pPr>
                    <w:pStyle w:val="Huisstijl-AgendagegevensW1"/>
                  </w:pPr>
                  <w:r>
                    <w:tab/>
                    <w:t>datum</w:t>
                  </w:r>
                  <w:r w:rsidRPr="008B4823">
                    <w:rPr>
                      <w:sz w:val="18"/>
                      <w:szCs w:val="18"/>
                    </w:rPr>
                    <w:tab/>
                    <w:t>5 april</w:t>
                  </w:r>
                  <w:r w:rsidRPr="00FC3A7B">
                    <w:rPr>
                      <w:sz w:val="18"/>
                      <w:szCs w:val="18"/>
                    </w:rPr>
                    <w:t xml:space="preserve"> 2012</w:t>
                  </w:r>
                </w:p>
                <w:p w:rsidR="002843A9" w:rsidRDefault="002843A9">
                  <w:pPr>
                    <w:pStyle w:val="Huisstijl-Agendagegevens"/>
                  </w:pPr>
                  <w:r>
                    <w:tab/>
                    <w:t>betreft</w:t>
                  </w:r>
                  <w:r>
                    <w:tab/>
                  </w:r>
                  <w:r w:rsidRPr="00FC3A7B">
                    <w:rPr>
                      <w:sz w:val="18"/>
                      <w:szCs w:val="18"/>
                    </w:rPr>
                    <w:t>Verzoek om advies inzake BNC-fiche EU-voorstel</w:t>
                  </w:r>
                </w:p>
                <w:p w:rsidRPr="009A1B7F" w:rsidR="002843A9" w:rsidRDefault="002843A9">
                  <w:pPr>
                    <w:pStyle w:val="Huisstijl-Agendagegevens"/>
                    <w:rPr>
                      <w:sz w:val="18"/>
                      <w:szCs w:val="18"/>
                    </w:rPr>
                  </w:pPr>
                  <w:r>
                    <w:tab/>
                    <w:t xml:space="preserve">ons kenmerk </w:t>
                  </w:r>
                  <w:r>
                    <w:tab/>
                  </w:r>
                  <w:r w:rsidRPr="009A1B7F">
                    <w:rPr>
                      <w:sz w:val="18"/>
                      <w:szCs w:val="18"/>
                    </w:rPr>
                    <w:t>2012Z07184/ 2012D15313</w:t>
                  </w:r>
                </w:p>
                <w:p w:rsidR="002843A9" w:rsidRDefault="002843A9">
                  <w:pPr>
                    <w:pStyle w:val="Huisstijl-AgendagegevensW1"/>
                  </w:pPr>
                  <w:r>
                    <w:tab/>
                    <w:t>pagina</w:t>
                  </w:r>
                  <w:r>
                    <w:tab/>
                  </w:r>
                  <w:r w:rsidRPr="00FC3A7B">
                    <w:rPr>
                      <w:sz w:val="18"/>
                      <w:szCs w:val="18"/>
                    </w:rPr>
                    <w:fldChar w:fldCharType="begin"/>
                  </w:r>
                  <w:r w:rsidRPr="00FC3A7B">
                    <w:rPr>
                      <w:sz w:val="18"/>
                      <w:szCs w:val="18"/>
                    </w:rPr>
                    <w:instrText xml:space="preserve"> PAGE  \* Arabic  \* MERGEFORMAT </w:instrText>
                  </w:r>
                  <w:r w:rsidRPr="00FC3A7B">
                    <w:rPr>
                      <w:sz w:val="18"/>
                      <w:szCs w:val="18"/>
                    </w:rPr>
                    <w:fldChar w:fldCharType="separate"/>
                  </w:r>
                  <w:r>
                    <w:rPr>
                      <w:sz w:val="18"/>
                      <w:szCs w:val="18"/>
                    </w:rPr>
                    <w:t>1</w:t>
                  </w:r>
                  <w:r w:rsidRPr="00FC3A7B">
                    <w:rPr>
                      <w:sz w:val="18"/>
                      <w:szCs w:val="18"/>
                    </w:rPr>
                    <w:fldChar w:fldCharType="end"/>
                  </w:r>
                  <w:r w:rsidRPr="00FC3A7B">
                    <w:rPr>
                      <w:sz w:val="18"/>
                      <w:szCs w:val="18"/>
                    </w:rPr>
                    <w:t>/</w:t>
                  </w:r>
                  <w:fldSimple w:instr=" NUMPAGES  \* Arabic  \* MERGEFORMAT ">
                    <w:r w:rsidRPr="00FC3A7B">
                      <w:rPr>
                        <w:sz w:val="18"/>
                        <w:szCs w:val="18"/>
                      </w:rPr>
                      <w:t>1</w:t>
                    </w:r>
                  </w:fldSimple>
                </w:p>
                <w:p w:rsidR="002843A9" w:rsidRDefault="002843A9">
                  <w:pPr>
                    <w:pStyle w:val="Huisstijl-Agendagegevens"/>
                  </w:pPr>
                  <w:r>
                    <w:tab/>
                    <w:t>bijlagen</w:t>
                  </w:r>
                  <w:r>
                    <w:tab/>
                  </w:r>
                  <w:r w:rsidRPr="00FC3A7B">
                    <w:rPr>
                      <w:sz w:val="18"/>
                      <w:szCs w:val="18"/>
                    </w:rPr>
                    <w:t>Toelichting met ambtelijk advies</w:t>
                  </w:r>
                </w:p>
              </w:txbxContent>
            </v:textbox>
            <w10:wrap type="topAndBottom" anchorx="page" anchory="page"/>
          </v:shape>
        </w:pict>
      </w:r>
      <w:r>
        <w:rPr>
          <w:szCs w:val="17"/>
        </w:rPr>
        <w:t>Geachte voorzitter,</w:t>
      </w:r>
    </w:p>
    <w:p w:rsidR="002843A9" w:rsidRDefault="002843A9">
      <w:pPr>
        <w:rPr>
          <w:szCs w:val="18"/>
        </w:rPr>
      </w:pPr>
      <w:r>
        <w:rPr>
          <w:szCs w:val="18"/>
        </w:rPr>
        <w:t>Tot dusverre ontvangt de Kamer over alle nieuwe EU-voorstellen uit het Werkprogramma van de Europese Commissie een appreciatie door het kabinet. Dit zogeheten BNC-fiche wordt binnen zes - en in voorkomende gevallen binnen drie - weken na publicatie van het EU-voorstel aan de Kamer gezonden en vervolgens doorgeleid naar de Kamercommissie die het beleidsonderwerp in behandeling heeft.</w:t>
      </w:r>
    </w:p>
    <w:p w:rsidR="002843A9" w:rsidRDefault="002843A9">
      <w:pPr>
        <w:rPr>
          <w:szCs w:val="18"/>
        </w:rPr>
      </w:pPr>
    </w:p>
    <w:p w:rsidR="002843A9" w:rsidRDefault="002843A9">
      <w:pPr>
        <w:rPr>
          <w:szCs w:val="18"/>
        </w:rPr>
      </w:pPr>
      <w:r>
        <w:rPr>
          <w:szCs w:val="18"/>
        </w:rPr>
        <w:t xml:space="preserve">In het Notaoverleg van 6 februari jl. over het Werkprogramma voor 2012 heeft de staatssecretaris van Buitenlandse Zaken </w:t>
      </w:r>
      <w:smartTag w:uri="urn:schemas-microsoft-com:office:smarttags" w:element="PersonName">
        <w:smartTagPr>
          <w:attr w:name="ProductID" w:val="aan de commissie"/>
        </w:smartTagPr>
        <w:r>
          <w:rPr>
            <w:szCs w:val="18"/>
          </w:rPr>
          <w:t>aan de commissie</w:t>
        </w:r>
      </w:smartTag>
      <w:r>
        <w:rPr>
          <w:szCs w:val="18"/>
        </w:rPr>
        <w:t xml:space="preserve"> Europese Zaken verzocht om voortaan slechts over EU-voorstellen met nieuwe beleidselementen een BNC-fiche op te stellen. Hierop is afgesproken dat het kabinet periodiek een overzicht van de </w:t>
      </w:r>
    </w:p>
    <w:p w:rsidR="002843A9" w:rsidRDefault="002843A9">
      <w:pPr>
        <w:rPr>
          <w:szCs w:val="18"/>
        </w:rPr>
      </w:pPr>
      <w:r>
        <w:rPr>
          <w:szCs w:val="18"/>
        </w:rPr>
        <w:t xml:space="preserve">EU-voorstellen aan de Kamer zendt waarover het </w:t>
      </w:r>
      <w:r w:rsidRPr="00AD30DA">
        <w:rPr>
          <w:i/>
          <w:szCs w:val="18"/>
        </w:rPr>
        <w:t>voornemens</w:t>
      </w:r>
      <w:r>
        <w:rPr>
          <w:szCs w:val="18"/>
        </w:rPr>
        <w:t xml:space="preserve"> is géén fiche op te stellen. Op basis hiervan </w:t>
      </w:r>
      <w:r w:rsidRPr="00AD30DA">
        <w:rPr>
          <w:i/>
          <w:szCs w:val="18"/>
        </w:rPr>
        <w:t>kan</w:t>
      </w:r>
      <w:r>
        <w:rPr>
          <w:szCs w:val="18"/>
        </w:rPr>
        <w:t xml:space="preserve"> de Kamer besluiten af te zien van het ontvangen van een BNC-fiche. Met deze afspraak ligt de beslissing over de toezending van fiches bij de Kamer c.q. de Kamercommissies waarop de EU-voorstellen betrekking hebben.</w:t>
      </w:r>
    </w:p>
    <w:p w:rsidR="002843A9" w:rsidRDefault="002843A9">
      <w:pPr>
        <w:rPr>
          <w:szCs w:val="18"/>
        </w:rPr>
      </w:pPr>
    </w:p>
    <w:p w:rsidR="002843A9" w:rsidRDefault="002843A9">
      <w:pPr>
        <w:rPr>
          <w:szCs w:val="18"/>
        </w:rPr>
      </w:pPr>
      <w:r>
        <w:rPr>
          <w:szCs w:val="18"/>
        </w:rPr>
        <w:t xml:space="preserve">In de bijlage vindt u een of meer EU-voorstellen die uw commissie aangaan en die door het kabinet ‘zonder nieuwe beleidsmatige elementen’ worden geacht. </w:t>
      </w:r>
    </w:p>
    <w:p w:rsidR="002843A9" w:rsidRDefault="002843A9">
      <w:pPr>
        <w:rPr>
          <w:szCs w:val="18"/>
        </w:rPr>
      </w:pPr>
    </w:p>
    <w:p w:rsidR="002843A9" w:rsidRDefault="002843A9">
      <w:pPr>
        <w:rPr>
          <w:szCs w:val="18"/>
        </w:rPr>
      </w:pPr>
      <w:r>
        <w:rPr>
          <w:szCs w:val="18"/>
        </w:rPr>
        <w:t xml:space="preserve">Namens de commissie Europese Zaken verzoek ik u om te bepalen of uw commissie bij deze voorstellen een BNC-fiche wenst te ontvangen. Naast de door het kabinet gegeven motivering kunt u hierbij ook het ambtelijk advies van uw </w:t>
      </w:r>
    </w:p>
    <w:p w:rsidR="002843A9" w:rsidP="00183979" w:rsidRDefault="002843A9">
      <w:r>
        <w:t xml:space="preserve">EU-commissieadviseur betrekken die beide in de bijlage zijn opgenomen. </w:t>
      </w:r>
    </w:p>
    <w:p w:rsidR="002843A9" w:rsidP="00183979" w:rsidRDefault="002843A9"/>
    <w:p w:rsidR="002843A9" w:rsidP="00183979" w:rsidRDefault="002843A9">
      <w:r>
        <w:t xml:space="preserve">De commissie Europese Zaken zal op basis van de reacties van de betrokken Kamercommissies een antwoordbrief aan het kabinet sturen. </w:t>
      </w:r>
    </w:p>
    <w:p w:rsidR="002843A9" w:rsidP="00183979" w:rsidRDefault="002843A9">
      <w:pPr>
        <w:rPr>
          <w:szCs w:val="17"/>
        </w:rPr>
      </w:pPr>
    </w:p>
    <w:p w:rsidRPr="00183979" w:rsidR="002843A9" w:rsidP="00183979" w:rsidRDefault="002843A9">
      <w:pPr>
        <w:rPr>
          <w:szCs w:val="18"/>
        </w:rPr>
      </w:pPr>
      <w:r>
        <w:rPr>
          <w:szCs w:val="17"/>
        </w:rPr>
        <w:t>Hoogachtend,</w:t>
      </w:r>
    </w:p>
    <w:p w:rsidR="002843A9" w:rsidRDefault="002843A9">
      <w:pPr>
        <w:pStyle w:val="Huisstijl-Slotzin"/>
        <w:tabs>
          <w:tab w:val="left" w:pos="5160"/>
        </w:tabs>
        <w:rPr>
          <w:szCs w:val="17"/>
        </w:rPr>
      </w:pPr>
    </w:p>
    <w:p w:rsidR="002843A9" w:rsidRDefault="002843A9">
      <w:pPr>
        <w:pStyle w:val="Huisstijl-Slotzin"/>
        <w:tabs>
          <w:tab w:val="left" w:pos="5160"/>
        </w:tabs>
        <w:rPr>
          <w:szCs w:val="17"/>
        </w:rPr>
      </w:pPr>
      <w:r>
        <w:rPr>
          <w:szCs w:val="17"/>
        </w:rPr>
        <w:t>M. van Keulen</w:t>
      </w:r>
    </w:p>
    <w:p w:rsidRPr="00183979" w:rsidR="002843A9" w:rsidP="00183979" w:rsidRDefault="002843A9">
      <w:pPr>
        <w:pStyle w:val="Huisstijl-Ondertekening"/>
      </w:pPr>
      <w:r>
        <w:t>Griffier van de vaste commissie voor Europese Zaken</w:t>
      </w:r>
    </w:p>
    <w:p w:rsidRPr="001E56A0" w:rsidR="002843A9" w:rsidRDefault="002843A9">
      <w:pPr>
        <w:pStyle w:val="Huisstijl-Ondertekeningvervolg"/>
        <w:rPr>
          <w:b/>
          <w:i w:val="0"/>
          <w:szCs w:val="17"/>
        </w:rPr>
      </w:pPr>
      <w:r w:rsidRPr="001E56A0">
        <w:rPr>
          <w:b/>
          <w:i w:val="0"/>
          <w:szCs w:val="17"/>
          <w:u w:val="single"/>
        </w:rPr>
        <w:t>Bijlage:</w:t>
      </w:r>
      <w:r w:rsidRPr="001E56A0">
        <w:rPr>
          <w:b/>
          <w:i w:val="0"/>
          <w:szCs w:val="17"/>
        </w:rPr>
        <w:t xml:space="preserve"> Voorstellen uit het Werkprogramma van de Europese Commissie voor 2012 waarover het kabinet voornemens is geen BNC-fiche</w:t>
      </w:r>
      <w:r>
        <w:rPr>
          <w:b/>
          <w:i w:val="0"/>
          <w:szCs w:val="17"/>
        </w:rPr>
        <w:t xml:space="preserve"> te schrijven </w:t>
      </w:r>
      <w:r w:rsidRPr="001E56A0">
        <w:rPr>
          <w:b/>
          <w:i w:val="0"/>
          <w:szCs w:val="17"/>
        </w:rPr>
        <w:t>inclusief motivering (Kamerstuk 22112, nr. 1380)</w:t>
      </w:r>
      <w:r>
        <w:rPr>
          <w:b/>
          <w:i w:val="0"/>
          <w:szCs w:val="17"/>
        </w:rPr>
        <w:t>, voorzien van ambtelijk advies Tweede Kamer</w:t>
      </w:r>
    </w:p>
    <w:p w:rsidR="002843A9" w:rsidRDefault="002843A9">
      <w:pPr>
        <w:pStyle w:val="Huisstijl-Ondertekeningvervolg"/>
        <w:rPr>
          <w:i w:val="0"/>
          <w:szCs w:val="17"/>
        </w:rPr>
      </w:pPr>
    </w:p>
    <w:p w:rsidR="002843A9" w:rsidRDefault="002843A9">
      <w:pPr>
        <w:pStyle w:val="Huisstijl-Ondertekeningvervolg"/>
        <w:rPr>
          <w:i w:val="0"/>
          <w:szCs w:val="17"/>
        </w:rPr>
      </w:pPr>
    </w:p>
    <w:tbl>
      <w:tblPr>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391"/>
        <w:gridCol w:w="4320"/>
      </w:tblGrid>
      <w:tr w:rsidR="002843A9" w:rsidTr="00D50515">
        <w:trPr>
          <w:trHeight w:val="420"/>
        </w:trPr>
        <w:tc>
          <w:tcPr>
            <w:tcW w:w="3391" w:type="dxa"/>
          </w:tcPr>
          <w:p w:rsidRPr="001E56A0" w:rsidR="002843A9" w:rsidP="00D50515" w:rsidRDefault="002843A9">
            <w:pPr>
              <w:pStyle w:val="Huisstijl-Ondertekeningvervolg"/>
              <w:ind w:left="85"/>
              <w:rPr>
                <w:i w:val="0"/>
                <w:szCs w:val="17"/>
              </w:rPr>
            </w:pPr>
          </w:p>
          <w:p w:rsidR="002843A9" w:rsidP="001E56A0" w:rsidRDefault="002843A9">
            <w:pPr>
              <w:pStyle w:val="Huisstijl-Ondertekeningvervolg"/>
              <w:rPr>
                <w:i w:val="0"/>
                <w:szCs w:val="17"/>
              </w:rPr>
            </w:pPr>
            <w:r>
              <w:rPr>
                <w:i w:val="0"/>
                <w:szCs w:val="17"/>
              </w:rPr>
              <w:t xml:space="preserve">Onderwerp: </w:t>
            </w:r>
          </w:p>
          <w:p w:rsidR="002843A9" w:rsidP="001E56A0" w:rsidRDefault="002843A9">
            <w:pPr>
              <w:pStyle w:val="Huisstijl-Ondertekeningvervolg"/>
              <w:rPr>
                <w:i w:val="0"/>
                <w:szCs w:val="17"/>
              </w:rPr>
            </w:pPr>
          </w:p>
        </w:tc>
        <w:tc>
          <w:tcPr>
            <w:tcW w:w="4320" w:type="dxa"/>
          </w:tcPr>
          <w:p w:rsidR="002843A9" w:rsidP="00D50515" w:rsidRDefault="002843A9">
            <w:pPr>
              <w:pStyle w:val="Huisstijl-Ondertekeningvervolg"/>
              <w:rPr>
                <w:szCs w:val="18"/>
              </w:rPr>
            </w:pPr>
          </w:p>
          <w:p w:rsidRPr="008B4823" w:rsidR="002843A9" w:rsidP="00D50515" w:rsidRDefault="002843A9">
            <w:pPr>
              <w:pStyle w:val="Huisstijl-Ondertekeningvervolg"/>
              <w:rPr>
                <w:i w:val="0"/>
                <w:szCs w:val="17"/>
              </w:rPr>
            </w:pPr>
            <w:r w:rsidRPr="008B4823">
              <w:rPr>
                <w:i w:val="0"/>
                <w:szCs w:val="18"/>
              </w:rPr>
              <w:t>Nr. 13 Herzi</w:t>
            </w:r>
            <w:r w:rsidRPr="008B4823">
              <w:rPr>
                <w:i w:val="0"/>
                <w:spacing w:val="-1"/>
                <w:szCs w:val="18"/>
              </w:rPr>
              <w:t>e</w:t>
            </w:r>
            <w:r w:rsidRPr="008B4823">
              <w:rPr>
                <w:i w:val="0"/>
                <w:szCs w:val="18"/>
              </w:rPr>
              <w:t>ni</w:t>
            </w:r>
            <w:r w:rsidRPr="008B4823">
              <w:rPr>
                <w:i w:val="0"/>
                <w:spacing w:val="-1"/>
                <w:szCs w:val="18"/>
              </w:rPr>
              <w:t>n</w:t>
            </w:r>
            <w:r w:rsidRPr="008B4823">
              <w:rPr>
                <w:i w:val="0"/>
                <w:szCs w:val="18"/>
              </w:rPr>
              <w:t>g bi</w:t>
            </w:r>
            <w:r w:rsidRPr="008B4823">
              <w:rPr>
                <w:i w:val="0"/>
                <w:spacing w:val="-1"/>
                <w:szCs w:val="18"/>
              </w:rPr>
              <w:t>o</w:t>
            </w:r>
            <w:r w:rsidRPr="008B4823">
              <w:rPr>
                <w:i w:val="0"/>
                <w:szCs w:val="18"/>
              </w:rPr>
              <w:t>sc</w:t>
            </w:r>
            <w:r w:rsidRPr="008B4823">
              <w:rPr>
                <w:i w:val="0"/>
                <w:spacing w:val="-1"/>
                <w:szCs w:val="18"/>
              </w:rPr>
              <w:t>o</w:t>
            </w:r>
            <w:r w:rsidRPr="008B4823">
              <w:rPr>
                <w:i w:val="0"/>
                <w:szCs w:val="18"/>
              </w:rPr>
              <w:t>op</w:t>
            </w:r>
            <w:r w:rsidRPr="008B4823">
              <w:rPr>
                <w:i w:val="0"/>
                <w:spacing w:val="-2"/>
                <w:szCs w:val="18"/>
              </w:rPr>
              <w:t>m</w:t>
            </w:r>
            <w:r w:rsidRPr="008B4823">
              <w:rPr>
                <w:i w:val="0"/>
                <w:szCs w:val="18"/>
              </w:rPr>
              <w:t>ededeli</w:t>
            </w:r>
            <w:r w:rsidRPr="008B4823">
              <w:rPr>
                <w:i w:val="0"/>
                <w:spacing w:val="1"/>
                <w:szCs w:val="18"/>
              </w:rPr>
              <w:t>n</w:t>
            </w:r>
            <w:r w:rsidRPr="008B4823">
              <w:rPr>
                <w:i w:val="0"/>
                <w:szCs w:val="18"/>
              </w:rPr>
              <w:t>g</w:t>
            </w:r>
          </w:p>
        </w:tc>
      </w:tr>
      <w:tr w:rsidR="002843A9" w:rsidTr="001E56A0">
        <w:trPr>
          <w:trHeight w:val="420"/>
        </w:trPr>
        <w:tc>
          <w:tcPr>
            <w:tcW w:w="3391" w:type="dxa"/>
          </w:tcPr>
          <w:p w:rsidR="002843A9" w:rsidP="001E56A0" w:rsidRDefault="002843A9">
            <w:pPr>
              <w:pStyle w:val="Huisstijl-Ondertekeningvervolg"/>
              <w:rPr>
                <w:i w:val="0"/>
                <w:szCs w:val="17"/>
              </w:rPr>
            </w:pPr>
          </w:p>
          <w:p w:rsidR="002843A9" w:rsidP="001E56A0" w:rsidRDefault="002843A9">
            <w:pPr>
              <w:pStyle w:val="Huisstijl-Ondertekeningvervolg"/>
              <w:rPr>
                <w:i w:val="0"/>
                <w:szCs w:val="17"/>
              </w:rPr>
            </w:pPr>
            <w:r>
              <w:rPr>
                <w:i w:val="0"/>
                <w:szCs w:val="17"/>
              </w:rPr>
              <w:t>Betreffende Kamercommissie:</w:t>
            </w:r>
          </w:p>
          <w:p w:rsidR="002843A9" w:rsidP="001E56A0" w:rsidRDefault="002843A9">
            <w:pPr>
              <w:pStyle w:val="Huisstijl-Ondertekeningvervolg"/>
              <w:rPr>
                <w:i w:val="0"/>
                <w:szCs w:val="17"/>
              </w:rPr>
            </w:pPr>
          </w:p>
        </w:tc>
        <w:tc>
          <w:tcPr>
            <w:tcW w:w="4320" w:type="dxa"/>
          </w:tcPr>
          <w:p w:rsidR="002843A9" w:rsidRDefault="002843A9">
            <w:pPr>
              <w:rPr>
                <w:rFonts w:cs="Lohit Hindi"/>
                <w:kern w:val="3"/>
                <w:szCs w:val="17"/>
                <w:lang w:eastAsia="zh-CN" w:bidi="hi-IN"/>
              </w:rPr>
            </w:pPr>
          </w:p>
          <w:p w:rsidR="002843A9" w:rsidRDefault="002843A9">
            <w:pPr>
              <w:rPr>
                <w:rFonts w:cs="Lohit Hindi"/>
                <w:kern w:val="3"/>
                <w:szCs w:val="17"/>
                <w:lang w:eastAsia="zh-CN" w:bidi="hi-IN"/>
              </w:rPr>
            </w:pPr>
            <w:r>
              <w:rPr>
                <w:rFonts w:cs="Lohit Hindi"/>
                <w:kern w:val="3"/>
                <w:szCs w:val="17"/>
                <w:lang w:eastAsia="zh-CN" w:bidi="hi-IN"/>
              </w:rPr>
              <w:t>OCW</w:t>
            </w:r>
          </w:p>
          <w:p w:rsidR="002843A9" w:rsidP="001E56A0" w:rsidRDefault="002843A9">
            <w:pPr>
              <w:pStyle w:val="Huisstijl-Ondertekeningvervolg"/>
              <w:rPr>
                <w:i w:val="0"/>
                <w:szCs w:val="17"/>
              </w:rPr>
            </w:pPr>
          </w:p>
        </w:tc>
      </w:tr>
      <w:tr w:rsidR="002843A9" w:rsidTr="001E56A0">
        <w:trPr>
          <w:trHeight w:val="285"/>
        </w:trPr>
        <w:tc>
          <w:tcPr>
            <w:tcW w:w="3391" w:type="dxa"/>
          </w:tcPr>
          <w:p w:rsidR="002843A9" w:rsidP="001E56A0" w:rsidRDefault="002843A9">
            <w:pPr>
              <w:pStyle w:val="Huisstijl-Ondertekeningvervolg"/>
              <w:rPr>
                <w:i w:val="0"/>
                <w:szCs w:val="17"/>
              </w:rPr>
            </w:pPr>
          </w:p>
          <w:p w:rsidR="002843A9" w:rsidP="001E56A0" w:rsidRDefault="002843A9">
            <w:pPr>
              <w:pStyle w:val="Huisstijl-Ondertekeningvervolg"/>
              <w:rPr>
                <w:i w:val="0"/>
                <w:szCs w:val="17"/>
              </w:rPr>
            </w:pPr>
            <w:r>
              <w:rPr>
                <w:i w:val="0"/>
                <w:szCs w:val="17"/>
              </w:rPr>
              <w:t>Motivering door het kabinet:</w:t>
            </w:r>
          </w:p>
          <w:p w:rsidR="002843A9" w:rsidP="001E56A0" w:rsidRDefault="002843A9">
            <w:pPr>
              <w:pStyle w:val="Huisstijl-Ondertekeningvervolg"/>
              <w:rPr>
                <w:i w:val="0"/>
                <w:szCs w:val="17"/>
              </w:rPr>
            </w:pPr>
          </w:p>
        </w:tc>
        <w:tc>
          <w:tcPr>
            <w:tcW w:w="4320" w:type="dxa"/>
          </w:tcPr>
          <w:p w:rsidR="002843A9" w:rsidP="00CC63AD" w:rsidRDefault="002843A9">
            <w:pPr>
              <w:pStyle w:val="Huisstijl-Ondertekeningvervolg"/>
              <w:rPr>
                <w:rFonts w:cs="Arial"/>
                <w:szCs w:val="18"/>
              </w:rPr>
            </w:pPr>
          </w:p>
          <w:p w:rsidR="002843A9" w:rsidP="00CC63AD" w:rsidRDefault="002843A9">
            <w:pPr>
              <w:pStyle w:val="Huisstijl-Ondertekeningvervolg"/>
              <w:rPr>
                <w:i w:val="0"/>
                <w:szCs w:val="17"/>
              </w:rPr>
            </w:pPr>
            <w:r w:rsidRPr="007A36BF">
              <w:rPr>
                <w:rFonts w:cs="Arial"/>
                <w:szCs w:val="18"/>
              </w:rPr>
              <w:t>waarschijnlijk een verlenging omdat de huidige mededeling eind dit jaar afloopt</w:t>
            </w:r>
          </w:p>
        </w:tc>
      </w:tr>
      <w:tr w:rsidR="002843A9" w:rsidTr="001E56A0">
        <w:trPr>
          <w:trHeight w:val="360"/>
        </w:trPr>
        <w:tc>
          <w:tcPr>
            <w:tcW w:w="3391" w:type="dxa"/>
          </w:tcPr>
          <w:p w:rsidR="002843A9" w:rsidP="001E56A0" w:rsidRDefault="002843A9">
            <w:pPr>
              <w:pStyle w:val="Huisstijl-Ondertekeningvervolg"/>
              <w:rPr>
                <w:i w:val="0"/>
                <w:szCs w:val="17"/>
              </w:rPr>
            </w:pPr>
          </w:p>
          <w:p w:rsidR="002843A9" w:rsidP="001E56A0" w:rsidRDefault="002843A9">
            <w:pPr>
              <w:pStyle w:val="Huisstijl-Ondertekeningvervolg"/>
              <w:rPr>
                <w:i w:val="0"/>
                <w:szCs w:val="17"/>
              </w:rPr>
            </w:pPr>
            <w:r>
              <w:rPr>
                <w:i w:val="0"/>
                <w:szCs w:val="17"/>
              </w:rPr>
              <w:t>Toelichting/beoordeling door de EU-adviseur van de Kamercommissie:</w:t>
            </w:r>
          </w:p>
          <w:p w:rsidR="002843A9" w:rsidP="001E56A0" w:rsidRDefault="002843A9">
            <w:pPr>
              <w:pStyle w:val="Huisstijl-Ondertekeningvervolg"/>
              <w:ind w:left="85"/>
              <w:rPr>
                <w:i w:val="0"/>
                <w:szCs w:val="17"/>
              </w:rPr>
            </w:pPr>
          </w:p>
        </w:tc>
        <w:tc>
          <w:tcPr>
            <w:tcW w:w="4320" w:type="dxa"/>
          </w:tcPr>
          <w:p w:rsidR="002843A9" w:rsidRDefault="002843A9">
            <w:pPr>
              <w:rPr>
                <w:rFonts w:cs="Lohit Hindi"/>
                <w:kern w:val="3"/>
                <w:szCs w:val="17"/>
                <w:lang w:eastAsia="zh-CN" w:bidi="hi-IN"/>
              </w:rPr>
            </w:pPr>
          </w:p>
          <w:p w:rsidR="002843A9" w:rsidP="001E56A0" w:rsidRDefault="002843A9">
            <w:pPr>
              <w:pStyle w:val="Huisstijl-Ondertekeningvervolg"/>
              <w:rPr>
                <w:i w:val="0"/>
                <w:szCs w:val="17"/>
              </w:rPr>
            </w:pPr>
            <w:r>
              <w:rPr>
                <w:i w:val="0"/>
                <w:szCs w:val="17"/>
              </w:rPr>
              <w:t xml:space="preserve">In het najaar van 2011 heeft een eerste openbare consultatie plaatsgevonden over de herziening van de criteria voor de toepassing van EU-staatssteunregels op financiële steun van de lidstaten voor filmproductie en –distributie. De regels uit de oorspronkelijke mededeling uit 2001 moeten uiterlijk 2012 worden herzien. Op 14 maart is een tweede openbare consultatie gestart, over de tekst van de concept mededeling (zie </w:t>
            </w:r>
            <w:hyperlink w:history="1" r:id="rId8">
              <w:r w:rsidRPr="00944666">
                <w:rPr>
                  <w:rStyle w:val="Hyperlink"/>
                  <w:rFonts w:cs="Lohit Hindi"/>
                  <w:i w:val="0"/>
                  <w:szCs w:val="17"/>
                </w:rPr>
                <w:t>hier</w:t>
              </w:r>
            </w:hyperlink>
            <w:r>
              <w:rPr>
                <w:i w:val="0"/>
                <w:szCs w:val="17"/>
              </w:rPr>
              <w:t xml:space="preserve"> voor meer informatie). Deadline is 14 juni. In het najaar wordt de nieuwe mededeling verwacht. Uit de nieuwe conceptmededeling blijkt dat er wel degelijk nieuwe voorstellen gedaan worden (zie ook de </w:t>
            </w:r>
            <w:hyperlink w:history="1" r:id="rId9">
              <w:r w:rsidRPr="00A92CA2">
                <w:rPr>
                  <w:rStyle w:val="Hyperlink"/>
                  <w:rFonts w:cs="Lohit Hindi"/>
                  <w:i w:val="0"/>
                  <w:szCs w:val="17"/>
                </w:rPr>
                <w:t>Q&amp;A’s</w:t>
              </w:r>
            </w:hyperlink>
            <w:r>
              <w:rPr>
                <w:i w:val="0"/>
                <w:szCs w:val="17"/>
              </w:rPr>
              <w:t xml:space="preserve"> hierover).</w:t>
            </w:r>
          </w:p>
        </w:tc>
      </w:tr>
      <w:tr w:rsidR="002843A9" w:rsidTr="001E56A0">
        <w:trPr>
          <w:trHeight w:val="450"/>
        </w:trPr>
        <w:tc>
          <w:tcPr>
            <w:tcW w:w="3391" w:type="dxa"/>
          </w:tcPr>
          <w:p w:rsidR="002843A9" w:rsidP="001E56A0" w:rsidRDefault="002843A9">
            <w:pPr>
              <w:pStyle w:val="Huisstijl-Ondertekeningvervolg"/>
              <w:rPr>
                <w:i w:val="0"/>
                <w:szCs w:val="17"/>
              </w:rPr>
            </w:pPr>
          </w:p>
          <w:p w:rsidR="002843A9" w:rsidP="001E56A0" w:rsidRDefault="002843A9">
            <w:pPr>
              <w:pStyle w:val="Huisstijl-Ondertekeningvervolg"/>
              <w:rPr>
                <w:i w:val="0"/>
                <w:szCs w:val="17"/>
              </w:rPr>
            </w:pPr>
            <w:r>
              <w:rPr>
                <w:i w:val="0"/>
                <w:szCs w:val="17"/>
              </w:rPr>
              <w:t xml:space="preserve">Ambtelijk advies Tweede Kamer: </w:t>
            </w:r>
          </w:p>
          <w:p w:rsidR="002843A9" w:rsidP="001E56A0" w:rsidRDefault="002843A9">
            <w:pPr>
              <w:pStyle w:val="Huisstijl-Ondertekeningvervolg"/>
              <w:rPr>
                <w:i w:val="0"/>
                <w:szCs w:val="17"/>
              </w:rPr>
            </w:pPr>
          </w:p>
        </w:tc>
        <w:tc>
          <w:tcPr>
            <w:tcW w:w="4320" w:type="dxa"/>
          </w:tcPr>
          <w:p w:rsidR="002843A9" w:rsidP="001E56A0" w:rsidRDefault="002843A9">
            <w:pPr>
              <w:pStyle w:val="Huisstijl-Ondertekeningvervolg"/>
              <w:ind w:left="85"/>
              <w:rPr>
                <w:i w:val="0"/>
                <w:szCs w:val="17"/>
              </w:rPr>
            </w:pPr>
          </w:p>
          <w:p w:rsidR="002843A9" w:rsidP="00A92CA2" w:rsidRDefault="002843A9">
            <w:pPr>
              <w:pStyle w:val="Huisstijl-Ondertekeningvervolg"/>
              <w:numPr>
                <w:ilvl w:val="0"/>
                <w:numId w:val="14"/>
              </w:numPr>
              <w:rPr>
                <w:i w:val="0"/>
                <w:szCs w:val="17"/>
              </w:rPr>
            </w:pPr>
            <w:r w:rsidRPr="008B4823">
              <w:rPr>
                <w:i w:val="0"/>
                <w:szCs w:val="17"/>
              </w:rPr>
              <w:t>WEL een</w:t>
            </w:r>
            <w:r>
              <w:rPr>
                <w:i w:val="0"/>
                <w:szCs w:val="17"/>
              </w:rPr>
              <w:t xml:space="preserve"> BNC-fiche ontvangen.</w:t>
            </w:r>
          </w:p>
          <w:p w:rsidR="002843A9" w:rsidP="00A92CA2" w:rsidRDefault="002843A9">
            <w:pPr>
              <w:pStyle w:val="Huisstijl-Ondertekeningvervolg"/>
              <w:numPr>
                <w:ilvl w:val="0"/>
                <w:numId w:val="14"/>
              </w:numPr>
              <w:rPr>
                <w:i w:val="0"/>
                <w:szCs w:val="17"/>
              </w:rPr>
            </w:pPr>
            <w:r>
              <w:rPr>
                <w:i w:val="0"/>
                <w:szCs w:val="17"/>
              </w:rPr>
              <w:t xml:space="preserve">Het ministerie </w:t>
            </w:r>
            <w:smartTag w:uri="urn:schemas-microsoft-com:office:smarttags" w:element="PersonName">
              <w:smartTagPr>
                <w:attr w:name="ProductID" w:val="van OCW"/>
              </w:smartTagPr>
              <w:smartTag w:uri="urn:schemas-microsoft-com:office:smarttags" w:element="PersonName">
                <w:smartTagPr>
                  <w:attr w:name="ProductID" w:val="van OCW verzoeken"/>
                </w:smartTagPr>
                <w:r>
                  <w:rPr>
                    <w:i w:val="0"/>
                    <w:szCs w:val="17"/>
                  </w:rPr>
                  <w:t>van OCW</w:t>
                </w:r>
              </w:smartTag>
              <w:r>
                <w:rPr>
                  <w:i w:val="0"/>
                  <w:szCs w:val="17"/>
                </w:rPr>
                <w:t xml:space="preserve"> verzoeken</w:t>
              </w:r>
            </w:smartTag>
            <w:r>
              <w:rPr>
                <w:i w:val="0"/>
                <w:szCs w:val="17"/>
              </w:rPr>
              <w:t xml:space="preserve"> om, indien men reageert op deze tweede openbare consultatie, uiterlijk 30 dagen voorafgaand aan de deadline (dus uiterlijk 15 mei) de concept-reactie aan de Kamer te doen toekomen.</w:t>
            </w:r>
          </w:p>
        </w:tc>
      </w:tr>
    </w:tbl>
    <w:p w:rsidR="002843A9" w:rsidP="001E56A0" w:rsidRDefault="002843A9">
      <w:pPr>
        <w:pStyle w:val="Huisstijl-Ondertekeningvervolg"/>
      </w:pPr>
    </w:p>
    <w:p w:rsidR="002843A9" w:rsidP="001E56A0" w:rsidRDefault="002843A9">
      <w:pPr>
        <w:pStyle w:val="Huisstijl-Ondertekeningvervolg"/>
      </w:pPr>
    </w:p>
    <w:sectPr w:rsidR="002843A9" w:rsidSect="00183979">
      <w:headerReference w:type="default" r:id="rId10"/>
      <w:footerReference w:type="default" r:id="rId11"/>
      <w:type w:val="continuous"/>
      <w:pgSz w:w="11907" w:h="16840" w:code="9"/>
      <w:pgMar w:top="3255" w:right="1247" w:bottom="1134" w:left="2211" w:header="425"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3A9" w:rsidRDefault="002843A9">
      <w:r>
        <w:separator/>
      </w:r>
    </w:p>
  </w:endnote>
  <w:endnote w:type="continuationSeparator" w:id="0">
    <w:p w:rsidR="002843A9" w:rsidRDefault="002843A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3A9" w:rsidRDefault="002843A9">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2843A9" w:rsidRDefault="002843A9">
                <w:pPr>
                  <w:pStyle w:val="Huisstijl-Paginanummer"/>
                </w:pPr>
                <w:r>
                  <w:t xml:space="preserve">pagina </w:t>
                </w:r>
                <w:fldSimple w:instr=" PAGE  \* Arabic  \* MERGEFORMAT ">
                  <w:r>
                    <w:rPr>
                      <w:noProof/>
                    </w:rP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3A9" w:rsidRDefault="002843A9">
      <w:r>
        <w:separator/>
      </w:r>
    </w:p>
  </w:footnote>
  <w:footnote w:type="continuationSeparator" w:id="0">
    <w:p w:rsidR="002843A9" w:rsidRDefault="002843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3A9" w:rsidRDefault="002843A9">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9776;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60800;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3A9" w:rsidRDefault="002843A9">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2843A9" w:rsidRDefault="002843A9">
                <w:pPr>
                  <w:pStyle w:val="Huisstijl-Gegevens"/>
                  <w:tabs>
                    <w:tab w:val="right" w:pos="1540"/>
                    <w:tab w:val="left" w:pos="1701"/>
                  </w:tabs>
                </w:pPr>
                <w:r>
                  <w:tab/>
                </w:r>
              </w:p>
              <w:p w:rsidR="002843A9" w:rsidRDefault="002843A9">
                <w:pPr>
                  <w:pStyle w:val="Huisstijl-Gegevens"/>
                  <w:tabs>
                    <w:tab w:val="right" w:pos="1540"/>
                    <w:tab w:val="left" w:pos="1701"/>
                  </w:tabs>
                </w:pPr>
                <w:r>
                  <w:tab/>
                  <w:t>betreft</w:t>
                </w:r>
                <w:r>
                  <w:tab/>
                  <w:t>Verzoek om advies inzake BNC-fiche EU-voorstel</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2A3A3176"/>
    <w:multiLevelType w:val="hybridMultilevel"/>
    <w:tmpl w:val="C9649BDC"/>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75587E06"/>
    <w:multiLevelType w:val="hybridMultilevel"/>
    <w:tmpl w:val="A5869C32"/>
    <w:lvl w:ilvl="0" w:tplc="C2B05EBC">
      <w:start w:val="21"/>
      <w:numFmt w:val="bullet"/>
      <w:lvlText w:val="-"/>
      <w:lvlJc w:val="left"/>
      <w:pPr>
        <w:tabs>
          <w:tab w:val="num" w:pos="445"/>
        </w:tabs>
        <w:ind w:left="445" w:hanging="360"/>
      </w:pPr>
      <w:rPr>
        <w:rFonts w:ascii="Verdana" w:eastAsia="Times New Roman" w:hAnsi="Verdana" w:hint="default"/>
      </w:rPr>
    </w:lvl>
    <w:lvl w:ilvl="1" w:tplc="04130003" w:tentative="1">
      <w:start w:val="1"/>
      <w:numFmt w:val="bullet"/>
      <w:lvlText w:val="o"/>
      <w:lvlJc w:val="left"/>
      <w:pPr>
        <w:tabs>
          <w:tab w:val="num" w:pos="1165"/>
        </w:tabs>
        <w:ind w:left="1165" w:hanging="360"/>
      </w:pPr>
      <w:rPr>
        <w:rFonts w:ascii="Courier New" w:hAnsi="Courier New" w:hint="default"/>
      </w:rPr>
    </w:lvl>
    <w:lvl w:ilvl="2" w:tplc="04130005" w:tentative="1">
      <w:start w:val="1"/>
      <w:numFmt w:val="bullet"/>
      <w:lvlText w:val=""/>
      <w:lvlJc w:val="left"/>
      <w:pPr>
        <w:tabs>
          <w:tab w:val="num" w:pos="1885"/>
        </w:tabs>
        <w:ind w:left="1885" w:hanging="360"/>
      </w:pPr>
      <w:rPr>
        <w:rFonts w:ascii="Wingdings" w:hAnsi="Wingdings" w:hint="default"/>
      </w:rPr>
    </w:lvl>
    <w:lvl w:ilvl="3" w:tplc="04130001" w:tentative="1">
      <w:start w:val="1"/>
      <w:numFmt w:val="bullet"/>
      <w:lvlText w:val=""/>
      <w:lvlJc w:val="left"/>
      <w:pPr>
        <w:tabs>
          <w:tab w:val="num" w:pos="2605"/>
        </w:tabs>
        <w:ind w:left="2605" w:hanging="360"/>
      </w:pPr>
      <w:rPr>
        <w:rFonts w:ascii="Symbol" w:hAnsi="Symbol" w:hint="default"/>
      </w:rPr>
    </w:lvl>
    <w:lvl w:ilvl="4" w:tplc="04130003" w:tentative="1">
      <w:start w:val="1"/>
      <w:numFmt w:val="bullet"/>
      <w:lvlText w:val="o"/>
      <w:lvlJc w:val="left"/>
      <w:pPr>
        <w:tabs>
          <w:tab w:val="num" w:pos="3325"/>
        </w:tabs>
        <w:ind w:left="3325" w:hanging="360"/>
      </w:pPr>
      <w:rPr>
        <w:rFonts w:ascii="Courier New" w:hAnsi="Courier New" w:hint="default"/>
      </w:rPr>
    </w:lvl>
    <w:lvl w:ilvl="5" w:tplc="04130005" w:tentative="1">
      <w:start w:val="1"/>
      <w:numFmt w:val="bullet"/>
      <w:lvlText w:val=""/>
      <w:lvlJc w:val="left"/>
      <w:pPr>
        <w:tabs>
          <w:tab w:val="num" w:pos="4045"/>
        </w:tabs>
        <w:ind w:left="4045" w:hanging="360"/>
      </w:pPr>
      <w:rPr>
        <w:rFonts w:ascii="Wingdings" w:hAnsi="Wingdings" w:hint="default"/>
      </w:rPr>
    </w:lvl>
    <w:lvl w:ilvl="6" w:tplc="04130001" w:tentative="1">
      <w:start w:val="1"/>
      <w:numFmt w:val="bullet"/>
      <w:lvlText w:val=""/>
      <w:lvlJc w:val="left"/>
      <w:pPr>
        <w:tabs>
          <w:tab w:val="num" w:pos="4765"/>
        </w:tabs>
        <w:ind w:left="4765" w:hanging="360"/>
      </w:pPr>
      <w:rPr>
        <w:rFonts w:ascii="Symbol" w:hAnsi="Symbol" w:hint="default"/>
      </w:rPr>
    </w:lvl>
    <w:lvl w:ilvl="7" w:tplc="04130003" w:tentative="1">
      <w:start w:val="1"/>
      <w:numFmt w:val="bullet"/>
      <w:lvlText w:val="o"/>
      <w:lvlJc w:val="left"/>
      <w:pPr>
        <w:tabs>
          <w:tab w:val="num" w:pos="5485"/>
        </w:tabs>
        <w:ind w:left="5485" w:hanging="360"/>
      </w:pPr>
      <w:rPr>
        <w:rFonts w:ascii="Courier New" w:hAnsi="Courier New" w:hint="default"/>
      </w:rPr>
    </w:lvl>
    <w:lvl w:ilvl="8" w:tplc="04130005" w:tentative="1">
      <w:start w:val="1"/>
      <w:numFmt w:val="bullet"/>
      <w:lvlText w:val=""/>
      <w:lvlJc w:val="left"/>
      <w:pPr>
        <w:tabs>
          <w:tab w:val="num" w:pos="6205"/>
        </w:tabs>
        <w:ind w:left="6205" w:hanging="360"/>
      </w:pPr>
      <w:rPr>
        <w:rFonts w:ascii="Wingdings" w:hAnsi="Wingdings" w:hint="default"/>
      </w:r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009C"/>
    <w:rsid w:val="000636B8"/>
    <w:rsid w:val="000739D4"/>
    <w:rsid w:val="00075F2A"/>
    <w:rsid w:val="00183979"/>
    <w:rsid w:val="001C392E"/>
    <w:rsid w:val="001E56A0"/>
    <w:rsid w:val="001F009C"/>
    <w:rsid w:val="00236B7A"/>
    <w:rsid w:val="002843A9"/>
    <w:rsid w:val="003055D8"/>
    <w:rsid w:val="00334282"/>
    <w:rsid w:val="00406319"/>
    <w:rsid w:val="004139BE"/>
    <w:rsid w:val="00481342"/>
    <w:rsid w:val="00481367"/>
    <w:rsid w:val="004B3774"/>
    <w:rsid w:val="004B7DB5"/>
    <w:rsid w:val="004C2A2C"/>
    <w:rsid w:val="004C5032"/>
    <w:rsid w:val="004D5523"/>
    <w:rsid w:val="0058009A"/>
    <w:rsid w:val="006C13FA"/>
    <w:rsid w:val="0077013F"/>
    <w:rsid w:val="007758CD"/>
    <w:rsid w:val="007A36BF"/>
    <w:rsid w:val="007D57EE"/>
    <w:rsid w:val="00802490"/>
    <w:rsid w:val="00827F93"/>
    <w:rsid w:val="008B4823"/>
    <w:rsid w:val="009241E4"/>
    <w:rsid w:val="00924D5C"/>
    <w:rsid w:val="00944666"/>
    <w:rsid w:val="009A1B7F"/>
    <w:rsid w:val="00A3203F"/>
    <w:rsid w:val="00A92CA2"/>
    <w:rsid w:val="00AD30DA"/>
    <w:rsid w:val="00B333FC"/>
    <w:rsid w:val="00B80483"/>
    <w:rsid w:val="00BE7432"/>
    <w:rsid w:val="00C36015"/>
    <w:rsid w:val="00C60648"/>
    <w:rsid w:val="00C730B5"/>
    <w:rsid w:val="00CC63AD"/>
    <w:rsid w:val="00D01096"/>
    <w:rsid w:val="00D50515"/>
    <w:rsid w:val="00D65DAC"/>
    <w:rsid w:val="00EC7532"/>
    <w:rsid w:val="00F0047F"/>
    <w:rsid w:val="00F435F8"/>
    <w:rsid w:val="00FC3A7B"/>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A0"/>
    <w:rPr>
      <w:rFonts w:ascii="Verdana" w:hAnsi="Verdana"/>
      <w:sz w:val="18"/>
      <w:lang w:eastAsia="en-US"/>
    </w:rPr>
  </w:style>
  <w:style w:type="paragraph" w:styleId="Heading1">
    <w:name w:val="heading 1"/>
    <w:basedOn w:val="Normal"/>
    <w:next w:val="Normal"/>
    <w:link w:val="Heading1Char"/>
    <w:uiPriority w:val="99"/>
    <w:qFormat/>
    <w:rsid w:val="001F009C"/>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1F009C"/>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009C"/>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1F009C"/>
    <w:rPr>
      <w:rFonts w:ascii="Cambria" w:eastAsia="MS Gothic" w:hAnsi="Cambria" w:cs="Times New Roman"/>
      <w:b/>
      <w:bCs/>
      <w:color w:val="4F81BD"/>
      <w:sz w:val="26"/>
      <w:szCs w:val="26"/>
    </w:rPr>
  </w:style>
  <w:style w:type="table" w:styleId="TableGrid">
    <w:name w:val="Table Grid"/>
    <w:basedOn w:val="TableNormal"/>
    <w:uiPriority w:val="99"/>
    <w:rsid w:val="001F00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F009C"/>
    <w:pPr>
      <w:tabs>
        <w:tab w:val="center" w:pos="4703"/>
        <w:tab w:val="right" w:pos="9406"/>
      </w:tabs>
    </w:pPr>
  </w:style>
  <w:style w:type="character" w:customStyle="1" w:styleId="HeaderChar">
    <w:name w:val="Header Char"/>
    <w:basedOn w:val="DefaultParagraphFont"/>
    <w:link w:val="Header"/>
    <w:uiPriority w:val="99"/>
    <w:locked/>
    <w:rsid w:val="001F009C"/>
    <w:rPr>
      <w:rFonts w:cs="Times New Roman"/>
    </w:rPr>
  </w:style>
  <w:style w:type="paragraph" w:styleId="Footer">
    <w:name w:val="footer"/>
    <w:basedOn w:val="Normal"/>
    <w:link w:val="FooterChar"/>
    <w:uiPriority w:val="99"/>
    <w:rsid w:val="001F009C"/>
    <w:pPr>
      <w:tabs>
        <w:tab w:val="center" w:pos="4703"/>
        <w:tab w:val="right" w:pos="9406"/>
      </w:tabs>
    </w:pPr>
    <w:rPr>
      <w:sz w:val="15"/>
    </w:rPr>
  </w:style>
  <w:style w:type="character" w:customStyle="1" w:styleId="FooterChar">
    <w:name w:val="Footer Char"/>
    <w:basedOn w:val="DefaultParagraphFont"/>
    <w:link w:val="Footer"/>
    <w:uiPriority w:val="99"/>
    <w:locked/>
    <w:rsid w:val="001F009C"/>
    <w:rPr>
      <w:rFonts w:ascii="Verdana" w:hAnsi="Verdana" w:cs="Times New Roman"/>
      <w:sz w:val="15"/>
    </w:rPr>
  </w:style>
  <w:style w:type="paragraph" w:styleId="NoSpacing">
    <w:name w:val="No Spacing"/>
    <w:uiPriority w:val="99"/>
    <w:qFormat/>
    <w:rsid w:val="001F009C"/>
    <w:rPr>
      <w:lang w:eastAsia="en-US"/>
    </w:rPr>
  </w:style>
  <w:style w:type="paragraph" w:customStyle="1" w:styleId="KopPlatteTekst">
    <w:name w:val="Kop_Platte_Tekst"/>
    <w:basedOn w:val="Normal"/>
    <w:uiPriority w:val="99"/>
    <w:rsid w:val="001F009C"/>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1F009C"/>
    <w:pPr>
      <w:spacing w:line="284" w:lineRule="exact"/>
    </w:pPr>
  </w:style>
  <w:style w:type="paragraph" w:customStyle="1" w:styleId="KopReferentieblok">
    <w:name w:val="Kop_Referentieblok"/>
    <w:basedOn w:val="Normal"/>
    <w:uiPriority w:val="99"/>
    <w:rsid w:val="001F009C"/>
    <w:pPr>
      <w:snapToGrid w:val="0"/>
      <w:spacing w:line="227" w:lineRule="exact"/>
      <w:jc w:val="right"/>
    </w:pPr>
  </w:style>
  <w:style w:type="paragraph" w:customStyle="1" w:styleId="Referentieblok">
    <w:name w:val="Referentieblok"/>
    <w:basedOn w:val="KopReferentieblok"/>
    <w:uiPriority w:val="99"/>
    <w:rsid w:val="001F009C"/>
    <w:pPr>
      <w:jc w:val="left"/>
    </w:pPr>
  </w:style>
  <w:style w:type="paragraph" w:styleId="BalloonText">
    <w:name w:val="Balloon Text"/>
    <w:basedOn w:val="Normal"/>
    <w:link w:val="BalloonTextChar"/>
    <w:uiPriority w:val="99"/>
    <w:semiHidden/>
    <w:rsid w:val="001F0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009C"/>
    <w:rPr>
      <w:rFonts w:ascii="Tahoma" w:hAnsi="Tahoma" w:cs="Tahoma"/>
      <w:sz w:val="16"/>
      <w:szCs w:val="16"/>
    </w:rPr>
  </w:style>
  <w:style w:type="paragraph" w:customStyle="1" w:styleId="Slotzin">
    <w:name w:val="Slotzin"/>
    <w:basedOn w:val="Normal"/>
    <w:uiPriority w:val="99"/>
    <w:rsid w:val="001F009C"/>
    <w:pPr>
      <w:autoSpaceDE w:val="0"/>
      <w:autoSpaceDN w:val="0"/>
      <w:adjustRightInd w:val="0"/>
      <w:spacing w:before="600"/>
    </w:pPr>
  </w:style>
  <w:style w:type="paragraph" w:customStyle="1" w:styleId="ReferentieblokW1">
    <w:name w:val="Referentieblok_W1"/>
    <w:basedOn w:val="Referentieblok"/>
    <w:uiPriority w:val="99"/>
    <w:rsid w:val="001F009C"/>
    <w:pPr>
      <w:spacing w:before="150"/>
    </w:pPr>
  </w:style>
  <w:style w:type="paragraph" w:customStyle="1" w:styleId="KopReferentieblokW1">
    <w:name w:val="Kop_Referentieblok_W1"/>
    <w:basedOn w:val="KopReferentieblok"/>
    <w:uiPriority w:val="99"/>
    <w:rsid w:val="001F009C"/>
    <w:pPr>
      <w:framePr w:hSpace="142" w:wrap="around" w:vAnchor="page" w:hAnchor="page" w:x="852" w:y="3233"/>
      <w:spacing w:before="160"/>
      <w:suppressOverlap/>
    </w:pPr>
  </w:style>
  <w:style w:type="paragraph" w:customStyle="1" w:styleId="wit">
    <w:name w:val="wit"/>
    <w:basedOn w:val="Normal"/>
    <w:uiPriority w:val="99"/>
    <w:rsid w:val="001F009C"/>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1F009C"/>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1F009C"/>
    <w:pPr>
      <w:framePr w:wrap="around" w:x="285" w:y="3290"/>
      <w:spacing w:before="0" w:line="284" w:lineRule="exact"/>
    </w:pPr>
    <w:rPr>
      <w:noProof/>
    </w:rPr>
  </w:style>
  <w:style w:type="paragraph" w:customStyle="1" w:styleId="Huisstijl-Aanhef">
    <w:name w:val="Huisstijl - Aanhef"/>
    <w:basedOn w:val="Normal"/>
    <w:uiPriority w:val="99"/>
    <w:rsid w:val="001F009C"/>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1F009C"/>
    <w:pPr>
      <w:spacing w:after="400"/>
    </w:pPr>
    <w:rPr>
      <w:b/>
    </w:rPr>
  </w:style>
  <w:style w:type="paragraph" w:customStyle="1" w:styleId="Huisstijl-Paginanummer">
    <w:name w:val="Huisstijl - Paginanummer"/>
    <w:basedOn w:val="Normal"/>
    <w:uiPriority w:val="99"/>
    <w:rsid w:val="001F009C"/>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1F009C"/>
    <w:pPr>
      <w:tabs>
        <w:tab w:val="left" w:pos="624"/>
      </w:tabs>
      <w:spacing w:before="100" w:after="240" w:line="240" w:lineRule="exact"/>
    </w:pPr>
  </w:style>
  <w:style w:type="paragraph" w:customStyle="1" w:styleId="Huisstijl-Toezendgegevens">
    <w:name w:val="Huisstijl - Toezendgegevens"/>
    <w:basedOn w:val="Normal"/>
    <w:uiPriority w:val="99"/>
    <w:rsid w:val="001F009C"/>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1F009C"/>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1F009C"/>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1F009C"/>
    <w:rPr>
      <w:i/>
    </w:rPr>
  </w:style>
  <w:style w:type="paragraph" w:customStyle="1" w:styleId="Huisstijl-Ondertekeningvervolgtitel">
    <w:name w:val="Huisstijl - Ondertekening vervolg titel"/>
    <w:basedOn w:val="Huisstijl-Ondertekeningvervolg"/>
    <w:uiPriority w:val="99"/>
    <w:rsid w:val="001F009C"/>
    <w:rPr>
      <w:i w:val="0"/>
      <w:noProof/>
    </w:rPr>
  </w:style>
  <w:style w:type="paragraph" w:customStyle="1" w:styleId="Huisstijl-Markering">
    <w:name w:val="Huisstijl - Markering"/>
    <w:basedOn w:val="Normal"/>
    <w:uiPriority w:val="99"/>
    <w:rsid w:val="001F009C"/>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1F009C"/>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1F009C"/>
    <w:pPr>
      <w:spacing w:before="90"/>
    </w:pPr>
  </w:style>
  <w:style w:type="paragraph" w:customStyle="1" w:styleId="Huisstijl-AfzendgegevenskopW1">
    <w:name w:val="Huisstijl - Afzendgegevens kop W1"/>
    <w:basedOn w:val="Normal"/>
    <w:uiPriority w:val="99"/>
    <w:rsid w:val="001F009C"/>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1F009C"/>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1F009C"/>
    <w:rPr>
      <w:rFonts w:cs="Times New Roman"/>
      <w:color w:val="808080"/>
    </w:rPr>
  </w:style>
  <w:style w:type="paragraph" w:customStyle="1" w:styleId="Huisstijl-Gegevens">
    <w:name w:val="Huisstijl - Gegevens"/>
    <w:basedOn w:val="Normal"/>
    <w:uiPriority w:val="99"/>
    <w:rsid w:val="001F009C"/>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1F009C"/>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1F009C"/>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1F009C"/>
    <w:pPr>
      <w:spacing w:before="90"/>
      <w:contextualSpacing w:val="0"/>
    </w:pPr>
  </w:style>
  <w:style w:type="paragraph" w:customStyle="1" w:styleId="GegevensW1">
    <w:name w:val="Gegevens W1"/>
    <w:basedOn w:val="Huisstijl-Gegevens"/>
    <w:uiPriority w:val="99"/>
    <w:rsid w:val="001F009C"/>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1F009C"/>
    <w:rPr>
      <w:rFonts w:cs="Times New Roman"/>
      <w:sz w:val="13"/>
      <w:szCs w:val="13"/>
    </w:rPr>
  </w:style>
  <w:style w:type="character" w:styleId="Hyperlink">
    <w:name w:val="Hyperlink"/>
    <w:basedOn w:val="DefaultParagraphFont"/>
    <w:uiPriority w:val="99"/>
    <w:rsid w:val="0094466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22460866">
      <w:marLeft w:val="0"/>
      <w:marRight w:val="0"/>
      <w:marTop w:val="0"/>
      <w:marBottom w:val="0"/>
      <w:divBdr>
        <w:top w:val="none" w:sz="0" w:space="0" w:color="auto"/>
        <w:left w:val="none" w:sz="0" w:space="0" w:color="auto"/>
        <w:bottom w:val="none" w:sz="0" w:space="0" w:color="auto"/>
        <w:right w:val="none" w:sz="0" w:space="0" w:color="auto"/>
      </w:divBdr>
    </w:div>
    <w:div w:id="1122460867">
      <w:marLeft w:val="0"/>
      <w:marRight w:val="0"/>
      <w:marTop w:val="0"/>
      <w:marBottom w:val="0"/>
      <w:divBdr>
        <w:top w:val="none" w:sz="0" w:space="0" w:color="auto"/>
        <w:left w:val="none" w:sz="0" w:space="0" w:color="auto"/>
        <w:bottom w:val="none" w:sz="0" w:space="0" w:color="auto"/>
        <w:right w:val="none" w:sz="0" w:space="0" w:color="auto"/>
      </w:divBdr>
    </w:div>
    <w:div w:id="11224608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europa.eu/rapid/pressReleasesAction.do?reference=MEMO/12/186&amp;format=HTML&amp;aged=0&amp;language=NL&amp;guiLanguage=en"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yperlink" Target="http://europa.eu/rapid/pressReleasesAction.do?reference=MEMO/12/186&amp;format=HTML&amp;aged=0&amp;language=NL&amp;guiLanguage=en" TargetMode="Externa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541</ap:Words>
  <ap:Characters>2979</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2011-08-30T15:26:00.0000000Z</lastPrinted>
  <dcterms:created xsi:type="dcterms:W3CDTF">2012-04-05T11:30:00.0000000Z</dcterms:created>
  <dcterms:modified xsi:type="dcterms:W3CDTF">2012-04-05T11:30:00.0000000Z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0x010100AF28460519CDF04A938C4E69FCACDCCE</vt:lpwstr>
  </property>
</Properties>
</file>