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5E2DB0" w:rsidR="0003440B" w:rsidP="0003440B" w:rsidRDefault="0003440B">
      <w:pPr>
        <w:rPr>
          <w:b/>
          <w:szCs w:val="18"/>
        </w:rPr>
      </w:pPr>
      <w:r w:rsidRPr="005E2DB0">
        <w:rPr>
          <w:b/>
          <w:szCs w:val="18"/>
        </w:rPr>
        <w:t>Bijlage</w:t>
      </w:r>
      <w:r>
        <w:rPr>
          <w:b/>
          <w:szCs w:val="18"/>
        </w:rPr>
        <w:t xml:space="preserve">: de begrippen </w:t>
      </w:r>
    </w:p>
    <w:p w:rsidRPr="00985A0C" w:rsidR="0003440B" w:rsidP="0003440B" w:rsidRDefault="0003440B">
      <w:pPr>
        <w:pStyle w:val="Huisstijl-Ondertekeningvervolg"/>
        <w:rPr>
          <w:szCs w:val="18"/>
        </w:rPr>
      </w:pPr>
    </w:p>
    <w:p w:rsidRPr="00985A0C" w:rsidR="0003440B" w:rsidP="0003440B" w:rsidRDefault="0003440B">
      <w:pPr>
        <w:rPr>
          <w:szCs w:val="18"/>
        </w:rPr>
      </w:pPr>
      <w:r w:rsidRPr="00985A0C">
        <w:rPr>
          <w:szCs w:val="18"/>
        </w:rPr>
        <w:t>Er zijn tal van begrippen die in het kader van vroegopsporing worden gehanteerd. Het is lastig afgebakende definities van de in zwang zijnde begrippen te geven vanwege het enorm gevarieerde aanbod. Individueel vragen burgers steeds vaker om gezondheidstests, bij een zorgverlener, op internet of met een zelftest. Op lokaal niveau wordt er collectief aanbod gedaan, door bijvoorbeeld gemeenten</w:t>
      </w:r>
      <w:r>
        <w:rPr>
          <w:szCs w:val="18"/>
        </w:rPr>
        <w:t>,</w:t>
      </w:r>
      <w:r w:rsidRPr="00985A0C">
        <w:rPr>
          <w:szCs w:val="18"/>
        </w:rPr>
        <w:t xml:space="preserve"> </w:t>
      </w:r>
      <w:r>
        <w:rPr>
          <w:szCs w:val="18"/>
        </w:rPr>
        <w:t>GGD'</w:t>
      </w:r>
      <w:r w:rsidRPr="00A6401B">
        <w:rPr>
          <w:szCs w:val="18"/>
        </w:rPr>
        <w:t>en</w:t>
      </w:r>
      <w:r w:rsidRPr="00985A0C">
        <w:rPr>
          <w:szCs w:val="18"/>
        </w:rPr>
        <w:t xml:space="preserve"> en/of </w:t>
      </w:r>
      <w:r w:rsidRPr="00A6401B">
        <w:rPr>
          <w:szCs w:val="18"/>
        </w:rPr>
        <w:t>de huis- of bedrijfsarts, ziekenhuizen, de apo</w:t>
      </w:r>
      <w:r>
        <w:rPr>
          <w:szCs w:val="18"/>
        </w:rPr>
        <w:t>theek, de drogist, laboratoria</w:t>
      </w:r>
      <w:r w:rsidRPr="00A6401B">
        <w:rPr>
          <w:szCs w:val="18"/>
        </w:rPr>
        <w:t>, non-profit organisaties en commerciële bedrijven</w:t>
      </w:r>
      <w:r w:rsidRPr="00985A0C">
        <w:rPr>
          <w:szCs w:val="18"/>
        </w:rPr>
        <w:t>. Vanuit het Rijk worden er landelijk, collectief</w:t>
      </w:r>
      <w:r>
        <w:rPr>
          <w:szCs w:val="18"/>
        </w:rPr>
        <w:t>,</w:t>
      </w:r>
      <w:r w:rsidRPr="00985A0C">
        <w:rPr>
          <w:szCs w:val="18"/>
        </w:rPr>
        <w:t xml:space="preserve"> programmatisch risico’s opgespoord in het nationaal programma bevolkingsonderzoek met als doel de volksgezondheid (als geheel) te vergroten. In deze brief gebruiken we de term bevolkingsonderzoek voor dit type landelijke aanbod. </w:t>
      </w:r>
      <w:r>
        <w:rPr>
          <w:szCs w:val="18"/>
        </w:rPr>
        <w:br/>
      </w:r>
    </w:p>
    <w:p w:rsidRPr="00985A0C" w:rsidR="0003440B" w:rsidP="0003440B" w:rsidRDefault="0003440B">
      <w:pPr>
        <w:rPr>
          <w:szCs w:val="18"/>
        </w:rPr>
      </w:pPr>
      <w:r w:rsidRPr="00985A0C">
        <w:rPr>
          <w:szCs w:val="18"/>
        </w:rPr>
        <w:t>De grens tussen het ‘individueel gevraagde’ perspectief en ‘collectief aangeboden perspectief’ vervaagt steeds meer vanwege de vele mogelijkheden en aanbieders vormen.</w:t>
      </w:r>
      <w:r>
        <w:rPr>
          <w:szCs w:val="18"/>
        </w:rPr>
        <w:t xml:space="preserve"> </w:t>
      </w:r>
      <w:r w:rsidRPr="00985A0C">
        <w:rPr>
          <w:szCs w:val="18"/>
        </w:rPr>
        <w:t>De rol van de overheid wisselt van ‘beperkt’ aan de ene kant van het spectrum, tot ‘groot’ in het perspectief van door het Rijk georganiseerd collectieve aanbod.</w:t>
      </w:r>
      <w:r>
        <w:rPr>
          <w:szCs w:val="18"/>
        </w:rPr>
        <w:br/>
      </w:r>
    </w:p>
    <w:p w:rsidRPr="00985A0C" w:rsidR="0003440B" w:rsidP="0003440B" w:rsidRDefault="0003440B">
      <w:pPr>
        <w:rPr>
          <w:szCs w:val="18"/>
        </w:rPr>
      </w:pPr>
      <w:r w:rsidRPr="00985A0C">
        <w:rPr>
          <w:szCs w:val="18"/>
        </w:rPr>
        <w:t>De term ‘screening’ en ‘vroegopsporing’ zijn in deze brief inwisselbaar en worden gebruikt als verzamelterm voor alle mogelijkheden die er</w:t>
      </w:r>
      <w:r>
        <w:rPr>
          <w:szCs w:val="18"/>
        </w:rPr>
        <w:t xml:space="preserve"> zijn (op het gebied van </w:t>
      </w:r>
      <w:r w:rsidRPr="00985A0C">
        <w:rPr>
          <w:szCs w:val="18"/>
        </w:rPr>
        <w:t>onderzoek naa</w:t>
      </w:r>
      <w:r>
        <w:rPr>
          <w:szCs w:val="18"/>
        </w:rPr>
        <w:t>r aandoeningen, voorstadia daar</w:t>
      </w:r>
      <w:r w:rsidRPr="00985A0C">
        <w:rPr>
          <w:szCs w:val="18"/>
        </w:rPr>
        <w:t xml:space="preserve">van en/of risicofactoren bij een of meer personen die geen symptomen </w:t>
      </w:r>
      <w:r>
        <w:rPr>
          <w:szCs w:val="18"/>
        </w:rPr>
        <w:t>hebben en zich niet ziek voelen.</w:t>
      </w:r>
    </w:p>
    <w:p w:rsidRPr="00985A0C" w:rsidR="0003440B" w:rsidP="0003440B" w:rsidRDefault="0003440B">
      <w:pPr>
        <w:pStyle w:val="Huisstijl-Ondertekeningvervolg"/>
        <w:rPr>
          <w:szCs w:val="18"/>
        </w:rPr>
      </w:pPr>
    </w:p>
    <w:p w:rsidRPr="00985A0C" w:rsidR="0003440B" w:rsidP="0003440B" w:rsidRDefault="0003440B">
      <w:pPr>
        <w:pStyle w:val="Voetnoottekst"/>
        <w:spacing w:line="240" w:lineRule="exact"/>
        <w:rPr>
          <w:rFonts w:ascii="Verdana" w:hAnsi="Verdana" w:eastAsia="Arial Unicode MS"/>
          <w:sz w:val="18"/>
          <w:szCs w:val="18"/>
        </w:rPr>
      </w:pPr>
      <w:r w:rsidRPr="00985A0C">
        <w:rPr>
          <w:rFonts w:ascii="Verdana" w:hAnsi="Verdana"/>
          <w:sz w:val="18"/>
          <w:szCs w:val="18"/>
        </w:rPr>
        <w:t>B</w:t>
      </w:r>
      <w:r w:rsidRPr="00985A0C">
        <w:rPr>
          <w:rFonts w:ascii="Verdana" w:hAnsi="Verdana" w:eastAsia="Arial Unicode MS"/>
          <w:sz w:val="18"/>
          <w:szCs w:val="18"/>
        </w:rPr>
        <w:t>evolkingsonderzoek</w:t>
      </w:r>
      <w:r w:rsidRPr="00985A0C">
        <w:rPr>
          <w:rFonts w:ascii="Verdana" w:hAnsi="Verdana" w:eastAsia="Arial Unicode MS"/>
          <w:i/>
          <w:sz w:val="18"/>
          <w:szCs w:val="18"/>
        </w:rPr>
        <w:t xml:space="preserve"> </w:t>
      </w:r>
      <w:r w:rsidRPr="00985A0C">
        <w:rPr>
          <w:rFonts w:ascii="Verdana" w:hAnsi="Verdana" w:eastAsia="Arial Unicode MS"/>
          <w:sz w:val="18"/>
          <w:szCs w:val="18"/>
        </w:rPr>
        <w:t>is:</w:t>
      </w:r>
      <w:r w:rsidRPr="00985A0C">
        <w:rPr>
          <w:rFonts w:ascii="Verdana" w:hAnsi="Verdana" w:eastAsia="Arial Unicode MS"/>
          <w:i/>
          <w:sz w:val="18"/>
          <w:szCs w:val="18"/>
        </w:rPr>
        <w:t xml:space="preserve"> geneeskundig onderzoek van personen dat wordt verricht ter uitvoering van een aan de gehele bevolking of aan een categorie daarvan gedaan aanbod dat gericht is op het ten behoeve of mede ten behoeve van de te onderzoeken personen opsporen van ziekten van een bepaalde aard of van bepaalde risico-indicatoren</w:t>
      </w:r>
      <w:r w:rsidRPr="00985A0C">
        <w:rPr>
          <w:rStyle w:val="Voetnootmarkering"/>
          <w:rFonts w:ascii="Verdana" w:hAnsi="Verdana" w:eastAsia="Arial Unicode MS"/>
          <w:i/>
          <w:sz w:val="18"/>
          <w:szCs w:val="18"/>
        </w:rPr>
        <w:footnoteReference w:id="1"/>
      </w:r>
      <w:r w:rsidRPr="00985A0C">
        <w:rPr>
          <w:rFonts w:ascii="Verdana" w:hAnsi="Verdana" w:eastAsia="Arial Unicode MS"/>
          <w:sz w:val="18"/>
          <w:szCs w:val="18"/>
        </w:rPr>
        <w:t>.</w:t>
      </w:r>
      <w:r w:rsidRPr="00985A0C">
        <w:rPr>
          <w:rFonts w:ascii="Verdana" w:hAnsi="Verdana"/>
          <w:sz w:val="18"/>
          <w:szCs w:val="18"/>
        </w:rPr>
        <w:t xml:space="preserve"> De Wet op het bevolkingsonderzoek (WBO) ziet dus op alle screeningen en niet enkel op het Nationaal Programma Bevolkingsonderzoek (NPB).</w:t>
      </w:r>
    </w:p>
    <w:p w:rsidRPr="00985A0C" w:rsidR="0003440B" w:rsidP="0003440B" w:rsidRDefault="0003440B">
      <w:pPr>
        <w:rPr>
          <w:szCs w:val="18"/>
        </w:rPr>
      </w:pPr>
      <w:r w:rsidRPr="00985A0C">
        <w:rPr>
          <w:szCs w:val="18"/>
        </w:rPr>
        <w:t xml:space="preserve">Screening is onderdeel van een keten van primaire preventie tot zorg. Buiten het bestek van deze brief valt screening op medische indicatie, case-finding in de (eerste- lijns) gezondheidzorg en screening met als doel de monitoring van ziektebeloop na een gestelde diagnose. </w:t>
      </w:r>
    </w:p>
    <w:p w:rsidRPr="00985A0C" w:rsidR="0003440B" w:rsidP="0003440B" w:rsidRDefault="0003440B">
      <w:pPr>
        <w:rPr>
          <w:szCs w:val="18"/>
        </w:rPr>
      </w:pPr>
      <w:r w:rsidRPr="00985A0C">
        <w:rPr>
          <w:szCs w:val="18"/>
        </w:rPr>
        <w:t>Een preventief medisch onderzoek is te definiëren als een geneeskundig onderzoek dat instellingen aanbieden aan een bepaalde groep mensen met het doel om meerdere aandoeningen of risicofactoren vroegtijdig op te sporen. Het onderzoek vindt vaak plaats op individuele basis en in commerciële setting. Preventief medisch onderzoek bieden instellingen ook wel aan onder de term ‘health check’, ‘medische check up’, ‘medische APK keuring’ of ‘total body scan’</w:t>
      </w:r>
      <w:r w:rsidRPr="00985A0C">
        <w:rPr>
          <w:rStyle w:val="Voetnootmarkering"/>
          <w:szCs w:val="18"/>
        </w:rPr>
        <w:footnoteReference w:id="2"/>
      </w:r>
      <w:r w:rsidRPr="00985A0C">
        <w:rPr>
          <w:szCs w:val="18"/>
        </w:rPr>
        <w:t>.</w:t>
      </w:r>
    </w:p>
    <w:p w:rsidRPr="00985A0C" w:rsidR="0003440B" w:rsidP="0003440B" w:rsidRDefault="0003440B">
      <w:pPr>
        <w:rPr>
          <w:szCs w:val="18"/>
        </w:rPr>
      </w:pPr>
    </w:p>
    <w:p w:rsidRPr="00985A0C" w:rsidR="0003440B" w:rsidP="0003440B" w:rsidRDefault="0003440B">
      <w:pPr>
        <w:rPr>
          <w:szCs w:val="18"/>
        </w:rPr>
      </w:pPr>
      <w:r w:rsidRPr="00985A0C">
        <w:rPr>
          <w:b/>
          <w:szCs w:val="18"/>
        </w:rPr>
        <w:t>Zelftests</w:t>
      </w:r>
      <w:r w:rsidRPr="00985A0C">
        <w:rPr>
          <w:i/>
          <w:szCs w:val="18"/>
        </w:rPr>
        <w:t xml:space="preserve"> </w:t>
      </w:r>
    </w:p>
    <w:p w:rsidRPr="00985A0C" w:rsidR="0003440B" w:rsidP="0003440B" w:rsidRDefault="0003440B">
      <w:pPr>
        <w:rPr>
          <w:szCs w:val="18"/>
        </w:rPr>
      </w:pPr>
      <w:r w:rsidRPr="00985A0C">
        <w:rPr>
          <w:szCs w:val="18"/>
        </w:rPr>
        <w:t xml:space="preserve">In het RVZ-advies ‘Zelftests’ </w:t>
      </w:r>
      <w:r w:rsidRPr="00985A0C">
        <w:rPr>
          <w:rStyle w:val="Voetnootmarkering"/>
          <w:szCs w:val="18"/>
        </w:rPr>
        <w:footnoteReference w:id="3"/>
      </w:r>
      <w:r w:rsidRPr="00985A0C">
        <w:rPr>
          <w:szCs w:val="18"/>
        </w:rPr>
        <w:t xml:space="preserve"> zijn drie soorten zelftests te onderscheiden:</w:t>
      </w:r>
    </w:p>
    <w:p w:rsidRPr="00985A0C" w:rsidR="0003440B" w:rsidP="0003440B" w:rsidRDefault="0003440B">
      <w:pPr>
        <w:pStyle w:val="Lijstnummering"/>
        <w:spacing w:line="240" w:lineRule="exact"/>
        <w:rPr>
          <w:rFonts w:ascii="Verdana" w:hAnsi="Verdana"/>
          <w:i/>
          <w:sz w:val="18"/>
          <w:szCs w:val="18"/>
        </w:rPr>
      </w:pPr>
      <w:r w:rsidRPr="00985A0C">
        <w:rPr>
          <w:rFonts w:ascii="Verdana" w:hAnsi="Verdana"/>
          <w:i/>
          <w:sz w:val="18"/>
          <w:szCs w:val="18"/>
        </w:rPr>
        <w:t>Doe-het-zelftests</w:t>
      </w:r>
    </w:p>
    <w:p w:rsidRPr="00985A0C" w:rsidR="0003440B" w:rsidP="0003440B" w:rsidRDefault="0003440B">
      <w:pPr>
        <w:rPr>
          <w:szCs w:val="18"/>
        </w:rPr>
      </w:pPr>
      <w:r w:rsidRPr="00985A0C">
        <w:rPr>
          <w:szCs w:val="18"/>
        </w:rPr>
        <w:t>Kenmerken:</w:t>
      </w:r>
    </w:p>
    <w:p w:rsidRPr="00985A0C" w:rsidR="0003440B" w:rsidP="0003440B" w:rsidRDefault="0003440B">
      <w:pPr>
        <w:pStyle w:val="Lijstopsomteken"/>
        <w:spacing w:line="240" w:lineRule="exact"/>
        <w:rPr>
          <w:rFonts w:ascii="Verdana" w:hAnsi="Verdana"/>
          <w:sz w:val="18"/>
          <w:szCs w:val="18"/>
        </w:rPr>
      </w:pPr>
      <w:r w:rsidRPr="00985A0C">
        <w:rPr>
          <w:rFonts w:ascii="Verdana" w:hAnsi="Verdana"/>
          <w:sz w:val="18"/>
          <w:szCs w:val="18"/>
        </w:rPr>
        <w:t>de test is bedoeld om zichzelf te testen;</w:t>
      </w:r>
    </w:p>
    <w:p w:rsidRPr="00985A0C" w:rsidR="0003440B" w:rsidP="0003440B" w:rsidRDefault="0003440B">
      <w:pPr>
        <w:pStyle w:val="Lijstopsomteken"/>
        <w:spacing w:line="240" w:lineRule="exact"/>
        <w:rPr>
          <w:rFonts w:ascii="Verdana" w:hAnsi="Verdana"/>
          <w:sz w:val="18"/>
          <w:szCs w:val="18"/>
        </w:rPr>
      </w:pPr>
      <w:r w:rsidRPr="00985A0C">
        <w:rPr>
          <w:rFonts w:ascii="Verdana" w:hAnsi="Verdana"/>
          <w:sz w:val="18"/>
          <w:szCs w:val="18"/>
        </w:rPr>
        <w:t>de test is in de handel in prin</w:t>
      </w:r>
      <w:r w:rsidRPr="00985A0C">
        <w:rPr>
          <w:rFonts w:ascii="Verdana" w:hAnsi="Verdana"/>
          <w:sz w:val="18"/>
          <w:szCs w:val="18"/>
        </w:rPr>
        <w:softHyphen/>
        <w:t>cipe voor iedereen verkrijg</w:t>
      </w:r>
      <w:r w:rsidRPr="00985A0C">
        <w:rPr>
          <w:rFonts w:ascii="Verdana" w:hAnsi="Verdana"/>
          <w:sz w:val="18"/>
          <w:szCs w:val="18"/>
        </w:rPr>
        <w:softHyphen/>
        <w:t>baar;</w:t>
      </w:r>
    </w:p>
    <w:p w:rsidRPr="00985A0C" w:rsidR="0003440B" w:rsidP="0003440B" w:rsidRDefault="0003440B">
      <w:pPr>
        <w:pStyle w:val="Lijstopsomteken"/>
        <w:spacing w:line="240" w:lineRule="exact"/>
        <w:rPr>
          <w:rFonts w:ascii="Verdana" w:hAnsi="Verdana"/>
          <w:sz w:val="18"/>
          <w:szCs w:val="18"/>
        </w:rPr>
      </w:pPr>
      <w:r w:rsidRPr="00985A0C">
        <w:rPr>
          <w:rFonts w:ascii="Verdana" w:hAnsi="Verdana"/>
          <w:sz w:val="18"/>
          <w:szCs w:val="18"/>
        </w:rPr>
        <w:lastRenderedPageBreak/>
        <w:t>toepassen van de test gebeurt op eigen initiatief, omdat betrokkene informatie wenst over zijn gezondheidssitua</w:t>
      </w:r>
      <w:r w:rsidRPr="00985A0C">
        <w:rPr>
          <w:rFonts w:ascii="Verdana" w:hAnsi="Verdana"/>
          <w:sz w:val="18"/>
          <w:szCs w:val="18"/>
        </w:rPr>
        <w:softHyphen/>
        <w:t xml:space="preserve">tie; </w:t>
      </w:r>
    </w:p>
    <w:p w:rsidRPr="00985A0C" w:rsidR="0003440B" w:rsidP="0003440B" w:rsidRDefault="0003440B">
      <w:pPr>
        <w:pStyle w:val="Lijstopsomteken"/>
        <w:spacing w:line="240" w:lineRule="exact"/>
        <w:rPr>
          <w:rFonts w:ascii="Verdana" w:hAnsi="Verdana"/>
          <w:sz w:val="18"/>
          <w:szCs w:val="18"/>
        </w:rPr>
      </w:pPr>
      <w:r w:rsidRPr="00985A0C">
        <w:rPr>
          <w:rFonts w:ascii="Verdana" w:hAnsi="Verdana"/>
          <w:sz w:val="18"/>
          <w:szCs w:val="18"/>
        </w:rPr>
        <w:t>met de test wordt het eigen lichaam of eigen lichaams</w:t>
      </w:r>
      <w:r w:rsidRPr="00985A0C">
        <w:rPr>
          <w:rFonts w:ascii="Verdana" w:hAnsi="Verdana"/>
          <w:sz w:val="18"/>
          <w:szCs w:val="18"/>
        </w:rPr>
        <w:softHyphen/>
        <w:t>materiaal beoordeeld op ge</w:t>
      </w:r>
      <w:r w:rsidRPr="00985A0C">
        <w:rPr>
          <w:rFonts w:ascii="Verdana" w:hAnsi="Verdana"/>
          <w:sz w:val="18"/>
          <w:szCs w:val="18"/>
        </w:rPr>
        <w:softHyphen/>
        <w:t>zondheidspro</w:t>
      </w:r>
      <w:r w:rsidRPr="00985A0C">
        <w:rPr>
          <w:rFonts w:ascii="Verdana" w:hAnsi="Verdana"/>
          <w:sz w:val="18"/>
          <w:szCs w:val="18"/>
        </w:rPr>
        <w:softHyphen/>
        <w:t>blemen;</w:t>
      </w:r>
    </w:p>
    <w:p w:rsidRPr="00985A0C" w:rsidR="0003440B" w:rsidP="0003440B" w:rsidRDefault="0003440B">
      <w:pPr>
        <w:pStyle w:val="Lijstopsomteken"/>
        <w:spacing w:line="240" w:lineRule="exact"/>
        <w:rPr>
          <w:rFonts w:ascii="Verdana" w:hAnsi="Verdana"/>
          <w:sz w:val="18"/>
          <w:szCs w:val="18"/>
        </w:rPr>
      </w:pPr>
      <w:r w:rsidRPr="00985A0C">
        <w:rPr>
          <w:rFonts w:ascii="Verdana" w:hAnsi="Verdana"/>
          <w:sz w:val="18"/>
          <w:szCs w:val="18"/>
        </w:rPr>
        <w:t>zowel bij het testen als bij de beoordeling van de uitslag van de test is geen medische beroepsbeoefe</w:t>
      </w:r>
      <w:r w:rsidRPr="00985A0C">
        <w:rPr>
          <w:rFonts w:ascii="Verdana" w:hAnsi="Verdana"/>
          <w:sz w:val="18"/>
          <w:szCs w:val="18"/>
        </w:rPr>
        <w:softHyphen/>
        <w:t>naar be</w:t>
      </w:r>
      <w:r w:rsidRPr="00985A0C">
        <w:rPr>
          <w:rFonts w:ascii="Verdana" w:hAnsi="Verdana"/>
          <w:sz w:val="18"/>
          <w:szCs w:val="18"/>
        </w:rPr>
        <w:softHyphen/>
        <w:t>trok</w:t>
      </w:r>
      <w:r w:rsidRPr="00985A0C">
        <w:rPr>
          <w:rFonts w:ascii="Verdana" w:hAnsi="Verdana"/>
          <w:sz w:val="18"/>
          <w:szCs w:val="18"/>
        </w:rPr>
        <w:softHyphen/>
        <w:t>ken.</w:t>
      </w:r>
    </w:p>
    <w:p w:rsidRPr="00985A0C" w:rsidR="0003440B" w:rsidP="0003440B" w:rsidRDefault="0003440B">
      <w:pPr>
        <w:pStyle w:val="Lijstopsomteken"/>
        <w:numPr>
          <w:ilvl w:val="0"/>
          <w:numId w:val="0"/>
        </w:numPr>
        <w:spacing w:line="240" w:lineRule="exact"/>
        <w:rPr>
          <w:rFonts w:ascii="Verdana" w:hAnsi="Verdana"/>
          <w:sz w:val="18"/>
          <w:szCs w:val="18"/>
        </w:rPr>
      </w:pPr>
    </w:p>
    <w:p w:rsidRPr="00985A0C" w:rsidR="0003440B" w:rsidP="0003440B" w:rsidRDefault="0003440B">
      <w:pPr>
        <w:pStyle w:val="Lijstnummering"/>
        <w:spacing w:line="240" w:lineRule="exact"/>
        <w:rPr>
          <w:rFonts w:ascii="Verdana" w:hAnsi="Verdana"/>
          <w:sz w:val="18"/>
          <w:szCs w:val="18"/>
          <w:lang w:val="en-US"/>
        </w:rPr>
      </w:pPr>
      <w:r w:rsidRPr="00985A0C">
        <w:rPr>
          <w:rFonts w:ascii="Verdana" w:hAnsi="Verdana"/>
          <w:i/>
          <w:sz w:val="18"/>
          <w:szCs w:val="18"/>
          <w:lang w:val="en-US"/>
        </w:rPr>
        <w:t>Home-collecting of self-sampling tests</w:t>
      </w:r>
    </w:p>
    <w:p w:rsidRPr="00985A0C" w:rsidR="0003440B" w:rsidP="0003440B" w:rsidRDefault="0003440B">
      <w:pPr>
        <w:pStyle w:val="Lijstnummering"/>
        <w:numPr>
          <w:ilvl w:val="0"/>
          <w:numId w:val="0"/>
        </w:numPr>
        <w:spacing w:line="240" w:lineRule="exact"/>
        <w:rPr>
          <w:rFonts w:ascii="Verdana" w:hAnsi="Verdana"/>
          <w:sz w:val="18"/>
          <w:szCs w:val="18"/>
          <w:lang w:val="en-US"/>
        </w:rPr>
      </w:pPr>
      <w:r w:rsidRPr="00985A0C">
        <w:rPr>
          <w:rFonts w:ascii="Verdana" w:hAnsi="Verdana"/>
          <w:sz w:val="18"/>
          <w:szCs w:val="18"/>
          <w:lang w:val="en-US"/>
        </w:rPr>
        <w:t>Kenmerken:</w:t>
      </w:r>
    </w:p>
    <w:p w:rsidRPr="00985A0C" w:rsidR="0003440B" w:rsidP="0003440B" w:rsidRDefault="0003440B">
      <w:pPr>
        <w:pStyle w:val="Lijstnummering"/>
        <w:numPr>
          <w:ilvl w:val="0"/>
          <w:numId w:val="3"/>
        </w:numPr>
        <w:tabs>
          <w:tab w:val="clear" w:pos="930"/>
          <w:tab w:val="num" w:pos="480"/>
        </w:tabs>
        <w:spacing w:line="240" w:lineRule="exact"/>
        <w:ind w:left="480"/>
        <w:rPr>
          <w:rFonts w:ascii="Verdana" w:hAnsi="Verdana"/>
          <w:sz w:val="18"/>
          <w:szCs w:val="18"/>
        </w:rPr>
      </w:pPr>
      <w:r w:rsidRPr="00985A0C">
        <w:rPr>
          <w:rFonts w:ascii="Verdana" w:hAnsi="Verdana"/>
          <w:sz w:val="18"/>
          <w:szCs w:val="18"/>
        </w:rPr>
        <w:t xml:space="preserve">de consument verzamelt zelf lichaamsmateriaal en stuurt het materiaal op naar een laboratorium. </w:t>
      </w:r>
    </w:p>
    <w:p w:rsidRPr="00985A0C" w:rsidR="0003440B" w:rsidP="0003440B" w:rsidRDefault="0003440B">
      <w:pPr>
        <w:pStyle w:val="Lijstnummering"/>
        <w:numPr>
          <w:ilvl w:val="0"/>
          <w:numId w:val="3"/>
        </w:numPr>
        <w:tabs>
          <w:tab w:val="clear" w:pos="930"/>
          <w:tab w:val="num" w:pos="480"/>
        </w:tabs>
        <w:spacing w:line="240" w:lineRule="exact"/>
        <w:ind w:left="480"/>
        <w:rPr>
          <w:rFonts w:ascii="Verdana" w:hAnsi="Verdana"/>
          <w:sz w:val="18"/>
          <w:szCs w:val="18"/>
        </w:rPr>
      </w:pPr>
      <w:r w:rsidRPr="00985A0C">
        <w:rPr>
          <w:rFonts w:ascii="Verdana" w:hAnsi="Verdana"/>
          <w:sz w:val="18"/>
          <w:szCs w:val="18"/>
        </w:rPr>
        <w:t xml:space="preserve">Het testen gebeurt soms op eigen initiatief soms ook niet. Voorbeeld van dat laatste is de fecaal occult bloed test (FOBT) bij darmkankerscreening. </w:t>
      </w:r>
    </w:p>
    <w:p w:rsidRPr="00985A0C" w:rsidR="0003440B" w:rsidP="0003440B" w:rsidRDefault="0003440B">
      <w:pPr>
        <w:pStyle w:val="Lijstnummering"/>
        <w:numPr>
          <w:ilvl w:val="0"/>
          <w:numId w:val="3"/>
        </w:numPr>
        <w:tabs>
          <w:tab w:val="clear" w:pos="930"/>
          <w:tab w:val="num" w:pos="480"/>
        </w:tabs>
        <w:spacing w:line="240" w:lineRule="exact"/>
        <w:ind w:left="480"/>
        <w:rPr>
          <w:rFonts w:ascii="Verdana" w:hAnsi="Verdana"/>
          <w:sz w:val="18"/>
          <w:szCs w:val="18"/>
        </w:rPr>
      </w:pPr>
      <w:r w:rsidRPr="00985A0C">
        <w:rPr>
          <w:rFonts w:ascii="Verdana" w:hAnsi="Verdana"/>
          <w:sz w:val="18"/>
          <w:szCs w:val="18"/>
        </w:rPr>
        <w:t xml:space="preserve">De test wordt beoordeeld door medische beroepsbeoefenaren. De uitslag kan niet worden afgelezen door de consument zelf. </w:t>
      </w:r>
    </w:p>
    <w:p w:rsidRPr="00985A0C" w:rsidR="0003440B" w:rsidP="0003440B" w:rsidRDefault="0003440B">
      <w:pPr>
        <w:pStyle w:val="Lijstnummering"/>
        <w:numPr>
          <w:ilvl w:val="0"/>
          <w:numId w:val="3"/>
        </w:numPr>
        <w:tabs>
          <w:tab w:val="clear" w:pos="930"/>
          <w:tab w:val="num" w:pos="480"/>
        </w:tabs>
        <w:spacing w:line="240" w:lineRule="exact"/>
        <w:ind w:left="480"/>
        <w:rPr>
          <w:rFonts w:ascii="Verdana" w:hAnsi="Verdana"/>
          <w:sz w:val="18"/>
          <w:szCs w:val="18"/>
        </w:rPr>
      </w:pPr>
      <w:r w:rsidRPr="00985A0C">
        <w:rPr>
          <w:rFonts w:ascii="Verdana" w:hAnsi="Verdana"/>
          <w:sz w:val="18"/>
          <w:szCs w:val="18"/>
        </w:rPr>
        <w:t>Voor de regelgeving is van belang dat het hier niet alleen gaat om een product waarop het IVD-besluit van toepassing is, maar ook om een dienst die een derde ( bijvoorbeeld een laboratorium of een aanbieder van een screening) aanbiedt: er is sprake van een geneeskundig onderzoek in de zin van de WBO, dat mogelijk vergunningplichtig is (zoals de FOBT).</w:t>
      </w:r>
    </w:p>
    <w:p w:rsidRPr="00985A0C" w:rsidR="0003440B" w:rsidP="0003440B" w:rsidRDefault="0003440B">
      <w:pPr>
        <w:pStyle w:val="Lijstnummering"/>
        <w:numPr>
          <w:ilvl w:val="0"/>
          <w:numId w:val="0"/>
        </w:numPr>
        <w:spacing w:line="240" w:lineRule="exact"/>
        <w:ind w:left="120"/>
        <w:rPr>
          <w:rFonts w:ascii="Verdana" w:hAnsi="Verdana"/>
          <w:sz w:val="18"/>
          <w:szCs w:val="18"/>
        </w:rPr>
      </w:pPr>
    </w:p>
    <w:p w:rsidRPr="00985A0C" w:rsidR="0003440B" w:rsidP="0003440B" w:rsidRDefault="0003440B">
      <w:pPr>
        <w:pStyle w:val="Lijstnummering"/>
        <w:spacing w:line="240" w:lineRule="exact"/>
        <w:rPr>
          <w:rFonts w:ascii="Verdana" w:hAnsi="Verdana"/>
          <w:sz w:val="18"/>
          <w:szCs w:val="18"/>
        </w:rPr>
      </w:pPr>
      <w:r w:rsidRPr="00985A0C">
        <w:rPr>
          <w:rFonts w:ascii="Verdana" w:hAnsi="Verdana"/>
          <w:i/>
          <w:sz w:val="18"/>
          <w:szCs w:val="18"/>
        </w:rPr>
        <w:t>Street-corner tests</w:t>
      </w:r>
      <w:r w:rsidRPr="00985A0C">
        <w:rPr>
          <w:rFonts w:ascii="Verdana" w:hAnsi="Verdana"/>
          <w:sz w:val="18"/>
          <w:szCs w:val="18"/>
        </w:rPr>
        <w:t xml:space="preserve"> </w:t>
      </w:r>
    </w:p>
    <w:p w:rsidRPr="00985A0C" w:rsidR="0003440B" w:rsidP="0003440B" w:rsidRDefault="0003440B">
      <w:pPr>
        <w:pStyle w:val="Lijstnummering"/>
        <w:numPr>
          <w:ilvl w:val="0"/>
          <w:numId w:val="0"/>
        </w:numPr>
        <w:spacing w:line="240" w:lineRule="exact"/>
        <w:rPr>
          <w:rFonts w:ascii="Verdana" w:hAnsi="Verdana"/>
          <w:sz w:val="18"/>
          <w:szCs w:val="18"/>
        </w:rPr>
      </w:pPr>
      <w:r w:rsidRPr="00985A0C">
        <w:rPr>
          <w:rFonts w:ascii="Verdana" w:hAnsi="Verdana"/>
          <w:sz w:val="18"/>
          <w:szCs w:val="18"/>
        </w:rPr>
        <w:t>Kenmerken:</w:t>
      </w:r>
    </w:p>
    <w:p w:rsidRPr="00985A0C" w:rsidR="0003440B" w:rsidP="0003440B" w:rsidRDefault="0003440B">
      <w:pPr>
        <w:ind w:left="567" w:hanging="567"/>
        <w:rPr>
          <w:szCs w:val="18"/>
        </w:rPr>
      </w:pPr>
      <w:r w:rsidRPr="00985A0C">
        <w:rPr>
          <w:szCs w:val="18"/>
        </w:rPr>
        <w:t>-</w:t>
      </w:r>
      <w:r>
        <w:rPr>
          <w:szCs w:val="18"/>
        </w:rPr>
        <w:t xml:space="preserve">  </w:t>
      </w:r>
      <w:r w:rsidRPr="00985A0C">
        <w:rPr>
          <w:szCs w:val="18"/>
        </w:rPr>
        <w:tab/>
        <w:t>tests die in de openbare ruimte, bijvoorbeeld in een winkelcentrum, aan consumenten</w:t>
      </w:r>
      <w:r>
        <w:rPr>
          <w:szCs w:val="18"/>
        </w:rPr>
        <w:t xml:space="preserve">  </w:t>
      </w:r>
      <w:r w:rsidRPr="00985A0C">
        <w:rPr>
          <w:szCs w:val="18"/>
        </w:rPr>
        <w:t xml:space="preserve">worden aangeboden. </w:t>
      </w:r>
    </w:p>
    <w:p w:rsidRPr="00985A0C" w:rsidR="0003440B" w:rsidP="0003440B" w:rsidRDefault="0003440B">
      <w:pPr>
        <w:ind w:left="567" w:hanging="567"/>
        <w:rPr>
          <w:szCs w:val="18"/>
        </w:rPr>
      </w:pPr>
      <w:r w:rsidRPr="00985A0C">
        <w:rPr>
          <w:szCs w:val="18"/>
        </w:rPr>
        <w:t xml:space="preserve">- </w:t>
      </w:r>
      <w:r w:rsidRPr="00985A0C">
        <w:rPr>
          <w:szCs w:val="18"/>
        </w:rPr>
        <w:tab/>
        <w:t xml:space="preserve">Net als bij de home-collecting tests kan naast de eisen voor producten (IVD besluit) ook sprake zijn van een dienst, bijvoorbeeld als iemand bloed afneemt. </w:t>
      </w:r>
    </w:p>
    <w:p w:rsidRPr="00985A0C" w:rsidR="0003440B" w:rsidP="0003440B" w:rsidRDefault="0003440B">
      <w:pPr>
        <w:pStyle w:val="Huisstijl-Ondertekeningvervolg"/>
        <w:rPr>
          <w:i w:val="0"/>
          <w:szCs w:val="18"/>
        </w:rPr>
      </w:pPr>
    </w:p>
    <w:p w:rsidRPr="00F22CDC" w:rsidR="00A17C6E" w:rsidRDefault="00A17C6E">
      <w:pPr>
        <w:rPr>
          <w:szCs w:val="18"/>
        </w:rPr>
      </w:pPr>
    </w:p>
    <w:sectPr w:rsidRPr="00F22CDC" w:rsidR="00A17C6E" w:rsidSect="0003440B">
      <w:headerReference w:type="first" r:id="rId8"/>
      <w:pgSz w:w="11905" w:h="16837"/>
      <w:pgMar w:top="2948" w:right="2778" w:bottom="1049" w:left="1588" w:header="2750" w:footer="709" w:gutter="0"/>
      <w:cols w:space="708"/>
      <w:titlePg/>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440B" w:rsidRDefault="0003440B" w:rsidP="0003440B">
      <w:pPr>
        <w:spacing w:line="240" w:lineRule="auto"/>
      </w:pPr>
      <w:r>
        <w:separator/>
      </w:r>
    </w:p>
  </w:endnote>
  <w:endnote w:type="continuationSeparator" w:id="0">
    <w:p w:rsidR="0003440B" w:rsidRDefault="0003440B" w:rsidP="0003440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Univers">
    <w:altName w:val="Arial"/>
    <w:charset w:val="00"/>
    <w:family w:val="swiss"/>
    <w:pitch w:val="variable"/>
    <w:sig w:usb0="80000027" w:usb1="00000040" w:usb2="00000000" w:usb3="00000000" w:csb0="00000013"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DejaVu Sans">
    <w:altName w:val="Arial"/>
    <w:panose1 w:val="00000000000000000000"/>
    <w:charset w:val="00"/>
    <w:family w:val="swiss"/>
    <w:notTrueType/>
    <w:pitch w:val="variable"/>
    <w:sig w:usb0="00000003" w:usb1="00000000" w:usb2="00000000" w:usb3="00000000" w:csb0="00000001" w:csb1="00000000"/>
  </w:font>
  <w:font w:name="Lohit Hindi">
    <w:altName w:val="Times New Roman"/>
    <w:panose1 w:val="00000000000000000000"/>
    <w:charset w:val="00"/>
    <w:family w:val="auto"/>
    <w:notTrueType/>
    <w:pitch w:val="default"/>
    <w:sig w:usb0="00000003" w:usb1="00000000" w:usb2="00000000" w:usb3="00000000" w:csb0="00000001" w:csb1="00000000"/>
  </w:font>
  <w:font w:name="Mangal">
    <w:panose1 w:val="00000400000000000000"/>
    <w:charset w:val="00"/>
    <w:family w:val="auto"/>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440B" w:rsidRDefault="0003440B" w:rsidP="0003440B">
      <w:pPr>
        <w:spacing w:line="240" w:lineRule="auto"/>
      </w:pPr>
      <w:r>
        <w:separator/>
      </w:r>
    </w:p>
  </w:footnote>
  <w:footnote w:type="continuationSeparator" w:id="0">
    <w:p w:rsidR="0003440B" w:rsidRDefault="0003440B" w:rsidP="0003440B">
      <w:pPr>
        <w:spacing w:line="240" w:lineRule="auto"/>
      </w:pPr>
      <w:r>
        <w:continuationSeparator/>
      </w:r>
    </w:p>
  </w:footnote>
  <w:footnote w:id="1">
    <w:p w:rsidR="0003440B" w:rsidRDefault="0003440B" w:rsidP="0003440B">
      <w:pPr>
        <w:pStyle w:val="Voetnoottekst"/>
      </w:pPr>
      <w:r w:rsidRPr="008A693E">
        <w:rPr>
          <w:rStyle w:val="Voetnootmarkering"/>
          <w:sz w:val="16"/>
          <w:szCs w:val="16"/>
        </w:rPr>
        <w:footnoteRef/>
      </w:r>
      <w:r w:rsidRPr="008A693E">
        <w:rPr>
          <w:sz w:val="16"/>
          <w:szCs w:val="16"/>
        </w:rPr>
        <w:t xml:space="preserve"> Artikel</w:t>
      </w:r>
      <w:r w:rsidRPr="009B6976">
        <w:rPr>
          <w:sz w:val="16"/>
          <w:szCs w:val="16"/>
        </w:rPr>
        <w:t xml:space="preserve"> 1 onder c van de </w:t>
      </w:r>
      <w:r>
        <w:rPr>
          <w:sz w:val="16"/>
          <w:szCs w:val="16"/>
        </w:rPr>
        <w:t>Wet op het bevolkingsonderzoek</w:t>
      </w:r>
    </w:p>
  </w:footnote>
  <w:footnote w:id="2">
    <w:p w:rsidR="0003440B" w:rsidRPr="00652C3D" w:rsidRDefault="0003440B" w:rsidP="0003440B">
      <w:pPr>
        <w:pStyle w:val="Voetnoottekst"/>
        <w:rPr>
          <w:sz w:val="16"/>
          <w:szCs w:val="16"/>
        </w:rPr>
      </w:pPr>
      <w:r w:rsidRPr="00652C3D">
        <w:rPr>
          <w:rStyle w:val="Voetnootmarkering"/>
          <w:sz w:val="16"/>
          <w:szCs w:val="16"/>
        </w:rPr>
        <w:footnoteRef/>
      </w:r>
      <w:r w:rsidRPr="00652C3D">
        <w:rPr>
          <w:sz w:val="16"/>
          <w:szCs w:val="16"/>
        </w:rPr>
        <w:t xml:space="preserve"> IGZ rapport toezicht op preventief medisch </w:t>
      </w:r>
      <w:r>
        <w:rPr>
          <w:sz w:val="16"/>
          <w:szCs w:val="16"/>
        </w:rPr>
        <w:t>onderzoek van 13 mei 2008.</w:t>
      </w:r>
    </w:p>
  </w:footnote>
  <w:footnote w:id="3">
    <w:p w:rsidR="0003440B" w:rsidRPr="00392540" w:rsidRDefault="0003440B" w:rsidP="0003440B">
      <w:pPr>
        <w:pStyle w:val="Voetnoottekst"/>
        <w:rPr>
          <w:sz w:val="16"/>
          <w:szCs w:val="16"/>
        </w:rPr>
      </w:pPr>
      <w:r w:rsidRPr="00392540">
        <w:rPr>
          <w:rStyle w:val="Voetnootmarkering"/>
          <w:sz w:val="16"/>
          <w:szCs w:val="16"/>
        </w:rPr>
        <w:footnoteRef/>
      </w:r>
      <w:r w:rsidRPr="00392540">
        <w:rPr>
          <w:sz w:val="16"/>
          <w:szCs w:val="16"/>
        </w:rPr>
        <w:t xml:space="preserve"> RVZ rapport zelftests 1999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6B1" w:rsidRDefault="0003440B">
    <w:pPr>
      <w:pStyle w:val="Koptekst"/>
    </w:pPr>
    <w:r>
      <w:rPr>
        <w:noProof/>
        <w:lang w:eastAsia="nl-NL" w:bidi="ar-SA"/>
      </w:rPr>
      <w:drawing>
        <wp:anchor distT="0" distB="0" distL="114300" distR="114300" simplePos="0" relativeHeight="251661312" behindDoc="0" locked="0" layoutInCell="1" allowOverlap="1">
          <wp:simplePos x="0" y="0"/>
          <wp:positionH relativeFrom="page">
            <wp:posOffset>3542665</wp:posOffset>
          </wp:positionH>
          <wp:positionV relativeFrom="page">
            <wp:posOffset>0</wp:posOffset>
          </wp:positionV>
          <wp:extent cx="464400" cy="1580400"/>
          <wp:effectExtent l="0" t="0" r="0" b="0"/>
          <wp:wrapNone/>
          <wp:docPr id="7"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473F6B">
      <w:rPr>
        <w:lang w:eastAsia="nl-NL" w:bidi="ar-SA"/>
      </w:rPr>
      <w:pict>
        <v:shapetype id="_x0000_t202" coordsize="21600,21600" o:spt="202" path="m,l,21600r21600,l21600,xe">
          <v:stroke joinstyle="miter"/>
          <v:path gradientshapeok="t" o:connecttype="rect"/>
        </v:shapetype>
        <v:shape id="_x0000_s2055" type="#_x0000_t202" style="position:absolute;margin-left:466.35pt;margin-top:154.7pt;width:99.2pt;height:630.7pt;z-index:25166848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" strokecolor="white [3212]" strokeweight="0">
          <v:textbox inset="0,0,0,0">
            <w:txbxContent>
              <w:p w:rsidR="004176B1" w:rsidRPr="0003440B" w:rsidRDefault="00EA0BBF" w:rsidP="0003440B"/>
            </w:txbxContent>
          </v:textbox>
          <w10:wrap anchorx="page" anchory="page"/>
        </v:shape>
      </w:pict>
    </w:r>
    <w:r w:rsidR="00473F6B">
      <w:rPr>
        <w:lang w:eastAsia="nl-NL" w:bidi="ar-SA"/>
      </w:rPr>
      <w:pict>
        <v:shape id="_x0000_s2056" type="#_x0000_t202" style="position:absolute;margin-left:466.35pt;margin-top:805.1pt;width:57.55pt;height:8.5pt;z-index:25166950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" strokecolor="white [3212]" strokeweight="0">
          <v:textbox inset="0,0,0,0">
            <w:txbxContent>
              <w:p w:rsidR="004176B1" w:rsidRDefault="0003440B">
                <w:pPr>
                  <w:pStyle w:val="Huisstijl-Paginanummer"/>
                </w:pPr>
                <w:r>
                  <w:t xml:space="preserve">Pagina </w:t>
                </w:r>
                <w:r w:rsidR="00473F6B">
                  <w:fldChar w:fldCharType="begin"/>
                </w:r>
                <w:r>
                  <w:instrText xml:space="preserve"> PAGE    \* MERGEFORMAT </w:instrText>
                </w:r>
                <w:r w:rsidR="00473F6B">
                  <w:fldChar w:fldCharType="separate"/>
                </w:r>
                <w:r w:rsidR="00EA0BBF">
                  <w:rPr>
                    <w:noProof/>
                  </w:rPr>
                  <w:t>1</w:t>
                </w:r>
                <w:r w:rsidR="00473F6B">
                  <w:fldChar w:fldCharType="end"/>
                </w:r>
                <w:r>
                  <w:t xml:space="preserve"> van </w:t>
                </w:r>
                <w:fldSimple w:instr=" SECTIONPAGES  \* Arabic  \* MERGEFORMAT ">
                  <w:r w:rsidR="00EA0BBF">
                    <w:rPr>
                      <w:noProof/>
                    </w:rPr>
                    <w:t>2</w:t>
                  </w:r>
                </w:fldSimple>
              </w:p>
            </w:txbxContent>
          </v:textbox>
          <w10:wrap anchorx="page" anchory="page"/>
          <w10:anchorlock/>
        </v:shape>
      </w:pict>
    </w:r>
    <w:r w:rsidR="00473F6B">
      <w:rPr>
        <w:lang w:eastAsia="nl-NL" w:bidi="ar-SA"/>
      </w:rPr>
      <w:pict>
        <v:shape id="_x0000_s2053" type="#_x0000_t202" style="position:absolute;margin-left:79.4pt;margin-top:266.5pt;width:323.15pt;height:14.15pt;z-index:25166643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" strokecolor="white [3212]" strokeweight="0">
          <v:textbox inset="0,0,0,0">
            <w:txbxContent>
              <w:p w:rsidR="004176B1" w:rsidRDefault="00EA0BBF">
                <w:pPr>
                  <w:pStyle w:val="Huisstijl-Toezendgegevens"/>
                </w:pPr>
              </w:p>
            </w:txbxContent>
          </v:textbox>
          <w10:wrap anchorx="page" anchory="page"/>
        </v:shape>
      </w:pict>
    </w:r>
    <w:r w:rsidR="00473F6B">
      <w:rPr>
        <w:lang w:eastAsia="nl-NL" w:bidi="ar-SA"/>
      </w:rPr>
      <w:pict>
        <v:shape id="_x0000_s2051" type="#_x0000_t202" style="position:absolute;margin-left:79.4pt;margin-top:135.05pt;width:282.75pt;height:11.35pt;z-index:25166438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" strokecolor="white [3212]" strokeweight="0">
          <o:lock v:ext="edit" aspectratio="t"/>
          <v:textbox inset="0,0,0,0">
            <w:txbxContent>
              <w:p w:rsidR="004176B1" w:rsidRDefault="00EA0BBF">
                <w:pPr>
                  <w:pStyle w:val="Huisstijl-Retouradres"/>
                </w:pPr>
              </w:p>
              <w:p w:rsidR="0003440B" w:rsidRDefault="0003440B" w:rsidP="0003440B"/>
              <w:p w:rsidR="0003440B" w:rsidRDefault="0003440B" w:rsidP="0003440B"/>
              <w:p w:rsidR="0003440B" w:rsidRDefault="0003440B" w:rsidP="0003440B"/>
              <w:p w:rsidR="0003440B" w:rsidRDefault="0003440B" w:rsidP="0003440B"/>
              <w:p w:rsidR="0003440B" w:rsidRPr="0003440B" w:rsidRDefault="0003440B" w:rsidP="0003440B"/>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F4AAA"/>
    <w:multiLevelType w:val="singleLevel"/>
    <w:tmpl w:val="F086D816"/>
    <w:lvl w:ilvl="0">
      <w:start w:val="2"/>
      <w:numFmt w:val="bullet"/>
      <w:lvlText w:val="-"/>
      <w:lvlJc w:val="left"/>
      <w:pPr>
        <w:tabs>
          <w:tab w:val="num" w:pos="930"/>
        </w:tabs>
        <w:ind w:left="930" w:hanging="360"/>
      </w:pPr>
      <w:rPr>
        <w:rFonts w:ascii="Univers" w:eastAsia="Times New Roman" w:hAnsi="Univers" w:cs="Times New Roman" w:hint="default"/>
      </w:rPr>
    </w:lvl>
  </w:abstractNum>
  <w:abstractNum w:abstractNumId="1">
    <w:nsid w:val="550561F0"/>
    <w:multiLevelType w:val="hybridMultilevel"/>
    <w:tmpl w:val="B5F2BB16"/>
    <w:lvl w:ilvl="0" w:tplc="73E81B10">
      <w:start w:val="1"/>
      <w:numFmt w:val="bullet"/>
      <w:pStyle w:val="Lijstopsomteken"/>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F67664D"/>
    <w:multiLevelType w:val="multilevel"/>
    <w:tmpl w:val="EBAE3A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rsids>
    <w:rsidRoot w:val="0003440B"/>
    <w:rsid w:val="0003440B"/>
    <w:rsid w:val="0011043F"/>
    <w:rsid w:val="00170165"/>
    <w:rsid w:val="00473F6B"/>
    <w:rsid w:val="009B086B"/>
    <w:rsid w:val="009F34E0"/>
    <w:rsid w:val="00A17C6E"/>
    <w:rsid w:val="00AC18F8"/>
    <w:rsid w:val="00C57349"/>
    <w:rsid w:val="00EA0BBF"/>
    <w:rsid w:val="00F22CD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List Number"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3440B"/>
    <w:pPr>
      <w:widowControl w:val="0"/>
      <w:suppressAutoHyphens/>
      <w:autoSpaceDN w:val="0"/>
      <w:spacing w:line="240" w:lineRule="exact"/>
      <w:textAlignment w:val="baseline"/>
    </w:pPr>
    <w:rPr>
      <w:rFonts w:ascii="Verdana" w:eastAsia="DejaVu Sans" w:hAnsi="Verdana" w:cs="Lohit Hindi"/>
      <w:kern w:val="3"/>
      <w:sz w:val="18"/>
      <w:szCs w:val="24"/>
      <w:lang w:eastAsia="zh-C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Retouradres">
    <w:name w:val="Huisstijl - Retouradres"/>
    <w:basedOn w:val="Standaard"/>
    <w:next w:val="Standaard"/>
    <w:rsid w:val="0003440B"/>
    <w:pPr>
      <w:spacing w:after="283" w:line="180" w:lineRule="exact"/>
    </w:pPr>
    <w:rPr>
      <w:sz w:val="13"/>
    </w:rPr>
  </w:style>
  <w:style w:type="paragraph" w:customStyle="1" w:styleId="Huisstijl-Toezendgegevens">
    <w:name w:val="Huisstijl - Toezendgegevens"/>
    <w:basedOn w:val="Standaard"/>
    <w:rsid w:val="0003440B"/>
  </w:style>
  <w:style w:type="paragraph" w:customStyle="1" w:styleId="Huisstijl-Datumenbetreft">
    <w:name w:val="Huisstijl - Datum en betreft"/>
    <w:basedOn w:val="Standaard"/>
    <w:rsid w:val="0003440B"/>
    <w:pPr>
      <w:tabs>
        <w:tab w:val="left" w:pos="737"/>
      </w:tabs>
    </w:pPr>
  </w:style>
  <w:style w:type="paragraph" w:customStyle="1" w:styleId="Huisstijl-Afzendgegevens">
    <w:name w:val="Huisstijl - Afzendgegevens"/>
    <w:basedOn w:val="Standaard"/>
    <w:rsid w:val="0003440B"/>
    <w:pPr>
      <w:tabs>
        <w:tab w:val="left" w:pos="170"/>
      </w:tabs>
      <w:spacing w:line="180" w:lineRule="exact"/>
    </w:pPr>
    <w:rPr>
      <w:sz w:val="13"/>
    </w:rPr>
  </w:style>
  <w:style w:type="paragraph" w:customStyle="1" w:styleId="Huisstijl-AfzendgegevensW1">
    <w:name w:val="Huisstijl - Afzendgegevens W1"/>
    <w:basedOn w:val="Huisstijl-Afzendgegevens"/>
    <w:rsid w:val="0003440B"/>
    <w:pPr>
      <w:spacing w:before="90"/>
    </w:pPr>
    <w:rPr>
      <w:b/>
    </w:rPr>
  </w:style>
  <w:style w:type="paragraph" w:customStyle="1" w:styleId="Huisstijl-Referentiegegevens">
    <w:name w:val="Huisstijl - Referentiegegevens"/>
    <w:basedOn w:val="Standaard"/>
    <w:rsid w:val="0003440B"/>
    <w:pPr>
      <w:spacing w:line="180" w:lineRule="exact"/>
    </w:pPr>
    <w:rPr>
      <w:sz w:val="13"/>
    </w:rPr>
  </w:style>
  <w:style w:type="paragraph" w:customStyle="1" w:styleId="Huisstijl-ReferentiegegevenskopW2">
    <w:name w:val="Huisstijl - Referentiegegevens kop W2"/>
    <w:basedOn w:val="Standaard"/>
    <w:next w:val="Huisstijl-Referentiegegevens"/>
    <w:rsid w:val="0003440B"/>
    <w:pPr>
      <w:spacing w:before="270" w:line="180" w:lineRule="exact"/>
    </w:pPr>
    <w:rPr>
      <w:b/>
      <w:sz w:val="13"/>
    </w:rPr>
  </w:style>
  <w:style w:type="paragraph" w:customStyle="1" w:styleId="Huisstijl-Ondertekeningvervolg">
    <w:name w:val="Huisstijl - Ondertekening vervolg"/>
    <w:basedOn w:val="Standaard"/>
    <w:rsid w:val="0003440B"/>
    <w:rPr>
      <w:i/>
    </w:rPr>
  </w:style>
  <w:style w:type="paragraph" w:customStyle="1" w:styleId="Huisstijl-Paginanummer">
    <w:name w:val="Huisstijl - Paginanummer"/>
    <w:basedOn w:val="Standaard"/>
    <w:rsid w:val="0003440B"/>
    <w:pPr>
      <w:spacing w:line="240" w:lineRule="auto"/>
    </w:pPr>
    <w:rPr>
      <w:sz w:val="13"/>
    </w:rPr>
  </w:style>
  <w:style w:type="paragraph" w:styleId="Koptekst">
    <w:name w:val="header"/>
    <w:basedOn w:val="Standaard"/>
    <w:link w:val="KoptekstChar"/>
    <w:uiPriority w:val="99"/>
    <w:unhideWhenUsed/>
    <w:rsid w:val="0003440B"/>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03440B"/>
    <w:rPr>
      <w:rFonts w:ascii="Verdana" w:eastAsia="DejaVu Sans" w:hAnsi="Verdana" w:cs="Mangal"/>
      <w:kern w:val="3"/>
      <w:sz w:val="18"/>
      <w:szCs w:val="21"/>
      <w:lang w:eastAsia="zh-CN" w:bidi="hi-IN"/>
    </w:rPr>
  </w:style>
  <w:style w:type="paragraph" w:customStyle="1" w:styleId="Huisstijl-AfzendgegevenskopW1">
    <w:name w:val="Huisstijl - Afzendgegevens kop W1"/>
    <w:basedOn w:val="Standaard"/>
    <w:qFormat/>
    <w:rsid w:val="0003440B"/>
    <w:pPr>
      <w:spacing w:before="90" w:line="180" w:lineRule="exact"/>
    </w:pPr>
    <w:rPr>
      <w:b/>
      <w:sz w:val="13"/>
    </w:rPr>
  </w:style>
  <w:style w:type="paragraph" w:styleId="Voetnoottekst">
    <w:name w:val="footnote text"/>
    <w:basedOn w:val="Standaard"/>
    <w:link w:val="VoetnoottekstChar"/>
    <w:semiHidden/>
    <w:unhideWhenUsed/>
    <w:rsid w:val="0003440B"/>
    <w:pPr>
      <w:widowControl/>
      <w:suppressAutoHyphens w:val="0"/>
      <w:autoSpaceDN/>
      <w:spacing w:line="240" w:lineRule="auto"/>
      <w:textAlignment w:val="auto"/>
    </w:pPr>
    <w:rPr>
      <w:rFonts w:asciiTheme="minorHAnsi" w:eastAsiaTheme="minorHAnsi" w:hAnsiTheme="minorHAnsi" w:cstheme="minorBidi"/>
      <w:kern w:val="0"/>
      <w:sz w:val="20"/>
      <w:szCs w:val="20"/>
      <w:lang w:eastAsia="en-US" w:bidi="ar-SA"/>
    </w:rPr>
  </w:style>
  <w:style w:type="character" w:customStyle="1" w:styleId="VoetnoottekstChar">
    <w:name w:val="Voetnoottekst Char"/>
    <w:basedOn w:val="Standaardalinea-lettertype"/>
    <w:link w:val="Voetnoottekst"/>
    <w:semiHidden/>
    <w:rsid w:val="0003440B"/>
    <w:rPr>
      <w:sz w:val="20"/>
      <w:szCs w:val="20"/>
    </w:rPr>
  </w:style>
  <w:style w:type="character" w:styleId="Voetnootmarkering">
    <w:name w:val="footnote reference"/>
    <w:basedOn w:val="Standaardalinea-lettertype"/>
    <w:semiHidden/>
    <w:unhideWhenUsed/>
    <w:rsid w:val="0003440B"/>
    <w:rPr>
      <w:vertAlign w:val="superscript"/>
    </w:rPr>
  </w:style>
  <w:style w:type="paragraph" w:styleId="Lijstopsomteken">
    <w:name w:val="List Bullet"/>
    <w:basedOn w:val="Standaard"/>
    <w:rsid w:val="0003440B"/>
    <w:pPr>
      <w:widowControl/>
      <w:numPr>
        <w:numId w:val="2"/>
      </w:numPr>
      <w:tabs>
        <w:tab w:val="left" w:pos="567"/>
      </w:tabs>
      <w:suppressAutoHyphens w:val="0"/>
      <w:autoSpaceDN/>
      <w:spacing w:line="240" w:lineRule="auto"/>
      <w:textAlignment w:val="auto"/>
    </w:pPr>
    <w:rPr>
      <w:rFonts w:ascii="Univers" w:eastAsia="Times New Roman" w:hAnsi="Univers" w:cs="Times New Roman"/>
      <w:kern w:val="0"/>
      <w:sz w:val="20"/>
      <w:szCs w:val="20"/>
      <w:lang w:eastAsia="nl-NL" w:bidi="ar-SA"/>
    </w:rPr>
  </w:style>
  <w:style w:type="paragraph" w:styleId="Lijstnummering">
    <w:name w:val="List Number"/>
    <w:basedOn w:val="Standaard"/>
    <w:rsid w:val="0003440B"/>
    <w:pPr>
      <w:widowControl/>
      <w:numPr>
        <w:numId w:val="1"/>
      </w:numPr>
      <w:tabs>
        <w:tab w:val="clear" w:pos="360"/>
        <w:tab w:val="left" w:pos="567"/>
      </w:tabs>
      <w:suppressAutoHyphens w:val="0"/>
      <w:autoSpaceDN/>
      <w:spacing w:line="260" w:lineRule="atLeast"/>
      <w:ind w:left="567" w:hanging="567"/>
      <w:textAlignment w:val="auto"/>
    </w:pPr>
    <w:rPr>
      <w:rFonts w:ascii="Univers" w:eastAsia="Times New Roman" w:hAnsi="Univers" w:cs="Times New Roman"/>
      <w:kern w:val="0"/>
      <w:sz w:val="20"/>
      <w:szCs w:val="20"/>
      <w:lang w:eastAsia="nl-NL" w:bidi="ar-SA"/>
    </w:rPr>
  </w:style>
  <w:style w:type="paragraph" w:styleId="Lijstnummering2">
    <w:name w:val="List Number 2"/>
    <w:basedOn w:val="Standaard"/>
    <w:rsid w:val="0003440B"/>
    <w:pPr>
      <w:widowControl/>
      <w:numPr>
        <w:ilvl w:val="1"/>
        <w:numId w:val="1"/>
      </w:numPr>
      <w:tabs>
        <w:tab w:val="clear" w:pos="792"/>
        <w:tab w:val="left" w:pos="851"/>
      </w:tabs>
      <w:suppressAutoHyphens w:val="0"/>
      <w:autoSpaceDN/>
      <w:spacing w:line="260" w:lineRule="atLeast"/>
      <w:ind w:left="851" w:hanging="851"/>
      <w:textAlignment w:val="auto"/>
    </w:pPr>
    <w:rPr>
      <w:rFonts w:ascii="Univers" w:eastAsia="Times New Roman" w:hAnsi="Univers" w:cs="Times New Roman"/>
      <w:kern w:val="0"/>
      <w:sz w:val="20"/>
      <w:szCs w:val="20"/>
      <w:lang w:eastAsia="nl-NL" w:bidi="ar-SA"/>
    </w:rPr>
  </w:style>
  <w:style w:type="paragraph" w:styleId="Lijstnummering3">
    <w:name w:val="List Number 3"/>
    <w:basedOn w:val="Standaard"/>
    <w:rsid w:val="0003440B"/>
    <w:pPr>
      <w:widowControl/>
      <w:numPr>
        <w:ilvl w:val="2"/>
        <w:numId w:val="1"/>
      </w:numPr>
      <w:tabs>
        <w:tab w:val="clear" w:pos="1440"/>
        <w:tab w:val="left" w:pos="1134"/>
      </w:tabs>
      <w:suppressAutoHyphens w:val="0"/>
      <w:autoSpaceDN/>
      <w:spacing w:line="260" w:lineRule="atLeast"/>
      <w:ind w:left="1134" w:hanging="1134"/>
      <w:textAlignment w:val="auto"/>
    </w:pPr>
    <w:rPr>
      <w:rFonts w:ascii="Univers" w:eastAsia="Times New Roman" w:hAnsi="Univers" w:cs="Times New Roman"/>
      <w:kern w:val="0"/>
      <w:sz w:val="20"/>
      <w:szCs w:val="20"/>
      <w:lang w:eastAsia="nl-NL" w:bidi="ar-SA"/>
    </w:rPr>
  </w:style>
  <w:style w:type="paragraph" w:styleId="Lijstnummering4">
    <w:name w:val="List Number 4"/>
    <w:basedOn w:val="Standaard"/>
    <w:rsid w:val="0003440B"/>
    <w:pPr>
      <w:widowControl/>
      <w:numPr>
        <w:ilvl w:val="3"/>
        <w:numId w:val="1"/>
      </w:numPr>
      <w:tabs>
        <w:tab w:val="clear" w:pos="2160"/>
        <w:tab w:val="left" w:pos="1418"/>
      </w:tabs>
      <w:suppressAutoHyphens w:val="0"/>
      <w:autoSpaceDN/>
      <w:spacing w:line="260" w:lineRule="atLeast"/>
      <w:ind w:left="1418" w:hanging="1418"/>
      <w:textAlignment w:val="auto"/>
    </w:pPr>
    <w:rPr>
      <w:rFonts w:ascii="Univers" w:eastAsia="Times New Roman" w:hAnsi="Univers" w:cs="Times New Roman"/>
      <w:kern w:val="0"/>
      <w:sz w:val="20"/>
      <w:szCs w:val="20"/>
      <w:lang w:eastAsia="nl-NL" w:bidi="ar-SA"/>
    </w:rPr>
  </w:style>
  <w:style w:type="paragraph" w:styleId="Voettekst">
    <w:name w:val="footer"/>
    <w:basedOn w:val="Standaard"/>
    <w:link w:val="VoettekstChar"/>
    <w:uiPriority w:val="99"/>
    <w:semiHidden/>
    <w:unhideWhenUsed/>
    <w:rsid w:val="0003440B"/>
    <w:pPr>
      <w:tabs>
        <w:tab w:val="center" w:pos="4536"/>
        <w:tab w:val="right" w:pos="9072"/>
      </w:tabs>
      <w:spacing w:line="240" w:lineRule="auto"/>
    </w:pPr>
    <w:rPr>
      <w:rFonts w:cs="Mangal"/>
    </w:rPr>
  </w:style>
  <w:style w:type="character" w:customStyle="1" w:styleId="VoettekstChar">
    <w:name w:val="Voettekst Char"/>
    <w:basedOn w:val="Standaardalinea-lettertype"/>
    <w:link w:val="Voettekst"/>
    <w:uiPriority w:val="99"/>
    <w:semiHidden/>
    <w:rsid w:val="0003440B"/>
    <w:rPr>
      <w:rFonts w:ascii="Verdana" w:eastAsia="DejaVu Sans" w:hAnsi="Verdana" w:cs="Mangal"/>
      <w:kern w:val="3"/>
      <w:sz w:val="18"/>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665</ap:Words>
  <ap:Characters>3663</ap:Characters>
  <ap:DocSecurity>0</ap:DocSecurity>
  <ap:Lines>30</ap:Lines>
  <ap:Paragraphs>8</ap:Paragraphs>
  <ap:ScaleCrop>false</ap:ScaleCrop>
  <ap:LinksUpToDate>false</ap:LinksUpToDate>
  <ap:CharactersWithSpaces>4320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2012-03-01T13:34:00.0000000Z</dcterms:created>
  <dcterms:modified xsi:type="dcterms:W3CDTF">2012-03-01T13:34:00.0000000Z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0x0101007E4119C4DFDC904FB9AA7753929030BF</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