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6383B" w:rsidR="003A00C4" w:rsidP="0026276E" w:rsidRDefault="003A00C4">
      <w:pPr>
        <w:spacing w:line="240" w:lineRule="auto"/>
        <w:rPr>
          <w:rFonts w:cs="Times New Roman"/>
          <w:lang w:val="fr-FR"/>
        </w:rPr>
      </w:pPr>
      <w:r>
        <w:rPr>
          <w:b/>
          <w:bCs/>
          <w:u w:val="single"/>
        </w:rPr>
        <w:t xml:space="preserve">Bijlage:  Maatregelen in Griekenland Mei 2010 – Mei 2011 </w:t>
      </w:r>
    </w:p>
    <w:p w:rsidRPr="00BB5204" w:rsidR="003A00C4" w:rsidP="0026276E" w:rsidRDefault="003A00C4">
      <w:pPr>
        <w:rPr>
          <w:rFonts w:cs="Times New Roman"/>
        </w:rPr>
      </w:pPr>
      <w:r>
        <w:t xml:space="preserve">Bijgaand vindt u een samenvatting van de belangrijkste maatregelen die Griekenland heeft genomen onder het leningenprogramma. Ook de periodieke rapportages van de Commissie bieden inzicht in de voortgang. De rapportages zijn te vinden op de website van de Europese Commissie:  </w:t>
      </w:r>
      <w:hyperlink w:history="1" r:id="rId5">
        <w:r w:rsidRPr="00E80B85">
          <w:rPr>
            <w:rStyle w:val="Hyperlink"/>
          </w:rPr>
          <w:t>http://ec.europa.eu/economy_finance/sgp/deficit/countries/greece_en.htm</w:t>
        </w:r>
      </w:hyperlink>
      <w:r>
        <w:t xml:space="preserve">). </w:t>
      </w:r>
    </w:p>
    <w:p w:rsidR="003A00C4" w:rsidP="0026276E" w:rsidRDefault="003A00C4">
      <w:pPr>
        <w:rPr>
          <w:rFonts w:cs="Times New Roman"/>
          <w:b/>
          <w:bCs/>
        </w:rPr>
      </w:pPr>
    </w:p>
    <w:p w:rsidR="003A00C4" w:rsidP="0026276E" w:rsidRDefault="003A00C4">
      <w:pPr>
        <w:rPr>
          <w:b/>
          <w:bCs/>
        </w:rPr>
      </w:pPr>
      <w:r>
        <w:rPr>
          <w:b/>
          <w:bCs/>
        </w:rPr>
        <w:t xml:space="preserve">Resultaten </w:t>
      </w:r>
    </w:p>
    <w:p w:rsidRPr="00C55F64" w:rsidR="003A00C4" w:rsidP="0026276E" w:rsidRDefault="003A00C4">
      <w:pPr>
        <w:rPr>
          <w:i/>
          <w:iCs/>
        </w:rPr>
      </w:pPr>
      <w:r w:rsidRPr="00C55F64">
        <w:rPr>
          <w:i/>
          <w:iCs/>
        </w:rPr>
        <w:t>Budgettair</w:t>
      </w:r>
    </w:p>
    <w:p w:rsidR="003A00C4" w:rsidP="0026276E" w:rsidRDefault="003A00C4">
      <w:pPr>
        <w:pStyle w:val="ListParagraph"/>
        <w:numPr>
          <w:ilvl w:val="0"/>
          <w:numId w:val="1"/>
        </w:numPr>
        <w:spacing w:after="200" w:line="276" w:lineRule="auto"/>
      </w:pPr>
      <w:r>
        <w:t xml:space="preserve">Een tekortreductie van nagenoeg 5% BBP in 2010 (van 15,4% in 2009 naar 10,5% in 2010) bij een economische krimp van 4,5%. </w:t>
      </w:r>
    </w:p>
    <w:p w:rsidR="003A00C4" w:rsidP="0026276E" w:rsidRDefault="003A00C4">
      <w:pPr>
        <w:pStyle w:val="ListParagraph"/>
        <w:numPr>
          <w:ilvl w:val="0"/>
          <w:numId w:val="1"/>
        </w:numPr>
        <w:spacing w:after="200" w:line="276" w:lineRule="auto"/>
      </w:pPr>
      <w:r>
        <w:t xml:space="preserve">Het primair tekort is gedaald met 5,4% BBP in 2010 (van 10,3% in 2009 naar 4,9% in 2010). </w:t>
      </w:r>
    </w:p>
    <w:p w:rsidRPr="00C55F64" w:rsidR="003A00C4" w:rsidP="0026276E" w:rsidRDefault="003A00C4">
      <w:pPr>
        <w:pStyle w:val="ListParagraph"/>
        <w:numPr>
          <w:ilvl w:val="0"/>
          <w:numId w:val="1"/>
        </w:numPr>
        <w:spacing w:after="200" w:line="276" w:lineRule="auto"/>
        <w:rPr>
          <w:rFonts w:cs="Times New Roman"/>
        </w:rPr>
      </w:pPr>
      <w:r w:rsidRPr="00C55F64">
        <w:t xml:space="preserve">Primaire uitgaven </w:t>
      </w:r>
      <w:r>
        <w:t xml:space="preserve">zijn </w:t>
      </w:r>
      <w:r w:rsidRPr="00C55F64">
        <w:t>gedaald van 47,6% BBP in 2009 tot 44,0% in 2010</w:t>
      </w:r>
      <w:r>
        <w:t>.</w:t>
      </w:r>
    </w:p>
    <w:p w:rsidRPr="00C55F64" w:rsidR="003A00C4" w:rsidP="0026276E" w:rsidRDefault="003A00C4">
      <w:pPr>
        <w:pStyle w:val="ListParagraph"/>
        <w:numPr>
          <w:ilvl w:val="0"/>
          <w:numId w:val="1"/>
        </w:numPr>
        <w:spacing w:after="200" w:line="276" w:lineRule="auto"/>
        <w:rPr>
          <w:rFonts w:cs="Times New Roman"/>
        </w:rPr>
      </w:pPr>
      <w:r w:rsidRPr="00C55F64">
        <w:t>Totale opbrengsten zijn gestegen van 37,</w:t>
      </w:r>
      <w:r>
        <w:t>8</w:t>
      </w:r>
      <w:r w:rsidRPr="00C55F64">
        <w:t xml:space="preserve">% in 2009 tot </w:t>
      </w:r>
      <w:r>
        <w:t>40,6</w:t>
      </w:r>
      <w:r w:rsidRPr="00C55F64">
        <w:t>% in 2010</w:t>
      </w:r>
      <w:r>
        <w:t>.</w:t>
      </w:r>
    </w:p>
    <w:p w:rsidRPr="00C55F64" w:rsidR="003A00C4" w:rsidP="0026276E" w:rsidRDefault="003A00C4">
      <w:pPr>
        <w:rPr>
          <w:i/>
          <w:iCs/>
        </w:rPr>
      </w:pPr>
      <w:r w:rsidRPr="00C55F64">
        <w:rPr>
          <w:i/>
          <w:iCs/>
        </w:rPr>
        <w:t>Reële economie</w:t>
      </w:r>
    </w:p>
    <w:p w:rsidR="003A00C4" w:rsidP="0026276E" w:rsidRDefault="003A00C4">
      <w:pPr>
        <w:pStyle w:val="ListParagraph"/>
        <w:numPr>
          <w:ilvl w:val="0"/>
          <w:numId w:val="2"/>
        </w:numPr>
        <w:spacing w:after="200" w:line="276" w:lineRule="auto"/>
        <w:rPr>
          <w:rFonts w:cs="Times New Roman"/>
        </w:rPr>
      </w:pPr>
      <w:r>
        <w:t xml:space="preserve">Reële arbeidskosten per eenheid product zijn gedaald met 3,5%. Als gevolg hiervan is de Griekse concurrentiepositie verbeterd. De Griekse uitvoer is in 2010 met 2 miljard euro gestegen. Het tekort op de lopende rekening is gedaald; van 14% in 2009 tot 11,8% in 2010. </w:t>
      </w:r>
    </w:p>
    <w:p w:rsidR="003A00C4" w:rsidP="0026276E" w:rsidRDefault="003A00C4">
      <w:pPr>
        <w:rPr>
          <w:b/>
          <w:bCs/>
        </w:rPr>
      </w:pPr>
      <w:r>
        <w:rPr>
          <w:b/>
          <w:bCs/>
        </w:rPr>
        <w:t>Maatregelen</w:t>
      </w:r>
    </w:p>
    <w:p w:rsidRPr="00C55F64" w:rsidR="003A00C4" w:rsidP="0026276E" w:rsidRDefault="003A00C4">
      <w:pPr>
        <w:rPr>
          <w:i/>
          <w:iCs/>
        </w:rPr>
      </w:pPr>
      <w:r w:rsidRPr="00C55F64">
        <w:rPr>
          <w:i/>
          <w:iCs/>
        </w:rPr>
        <w:t>Uitgavenkant</w:t>
      </w:r>
    </w:p>
    <w:p w:rsidR="003A00C4" w:rsidP="0026276E" w:rsidRDefault="003A00C4">
      <w:pPr>
        <w:pStyle w:val="ListParagraph"/>
        <w:numPr>
          <w:ilvl w:val="0"/>
          <w:numId w:val="3"/>
        </w:numPr>
        <w:spacing w:after="200" w:line="276" w:lineRule="auto"/>
      </w:pPr>
      <w:r>
        <w:t>Lonen in de publieke sector zijn met 15% gedaald.</w:t>
      </w:r>
    </w:p>
    <w:p w:rsidR="003A00C4" w:rsidP="0026276E" w:rsidRDefault="003A00C4">
      <w:pPr>
        <w:pStyle w:val="ListParagraph"/>
        <w:numPr>
          <w:ilvl w:val="0"/>
          <w:numId w:val="3"/>
        </w:numPr>
        <w:spacing w:after="200" w:line="276" w:lineRule="auto"/>
      </w:pPr>
      <w:r>
        <w:t>Lonen van medewerkers van staatsbedrijven zijn met 30% gedaald.</w:t>
      </w:r>
    </w:p>
    <w:p w:rsidR="003A00C4" w:rsidP="0026276E" w:rsidRDefault="003A00C4">
      <w:pPr>
        <w:pStyle w:val="ListParagraph"/>
        <w:numPr>
          <w:ilvl w:val="0"/>
          <w:numId w:val="3"/>
        </w:numPr>
        <w:spacing w:after="200" w:line="276" w:lineRule="auto"/>
      </w:pPr>
      <w:r>
        <w:t>Pensioenen (publiek en privaat) zijn met 10% gekort</w:t>
      </w:r>
    </w:p>
    <w:p w:rsidR="003A00C4" w:rsidP="0026276E" w:rsidRDefault="003A00C4">
      <w:pPr>
        <w:pStyle w:val="ListParagraph"/>
        <w:numPr>
          <w:ilvl w:val="0"/>
          <w:numId w:val="3"/>
        </w:numPr>
        <w:spacing w:after="200" w:line="276" w:lineRule="auto"/>
      </w:pPr>
      <w:r>
        <w:t>Het aantal tijdelijke contracten in de publieke sector is met 38% (of wel 29.500 personen) gedaald in 2010.</w:t>
      </w:r>
    </w:p>
    <w:p w:rsidR="003A00C4" w:rsidP="0026276E" w:rsidRDefault="003A00C4">
      <w:pPr>
        <w:pStyle w:val="ListParagraph"/>
        <w:numPr>
          <w:ilvl w:val="0"/>
          <w:numId w:val="3"/>
        </w:numPr>
        <w:spacing w:after="200" w:line="276" w:lineRule="auto"/>
      </w:pPr>
      <w:r>
        <w:t>Het totaal aantal werknemers in de totale publieke sector is in 2010 met 10% gekrompen; dit komt overeen met een netto reductie van 82,400 personen</w:t>
      </w:r>
    </w:p>
    <w:p w:rsidR="003A00C4" w:rsidP="0026276E" w:rsidRDefault="003A00C4">
      <w:pPr>
        <w:pStyle w:val="ListParagraph"/>
        <w:numPr>
          <w:ilvl w:val="0"/>
          <w:numId w:val="3"/>
        </w:numPr>
        <w:spacing w:after="200" w:line="276" w:lineRule="auto"/>
      </w:pPr>
      <w:r>
        <w:t xml:space="preserve">De tekorten bij de staatsbedrijven zijn met 20% teruggebracht in 2010, in het eerste kwartaal van dit jaar komt daar 35% bij. </w:t>
      </w:r>
    </w:p>
    <w:p w:rsidR="003A00C4" w:rsidP="0026276E" w:rsidRDefault="003A00C4">
      <w:pPr>
        <w:pStyle w:val="ListParagraph"/>
        <w:numPr>
          <w:ilvl w:val="0"/>
          <w:numId w:val="3"/>
        </w:numPr>
        <w:spacing w:after="200" w:line="276" w:lineRule="auto"/>
      </w:pPr>
      <w:r>
        <w:t xml:space="preserve">De sociale zekerheid is met 3,4 miljard euro gekort (wat neer komt op 1,5% BBP) in 2010. </w:t>
      </w:r>
    </w:p>
    <w:p w:rsidRPr="00C55F64" w:rsidR="003A00C4" w:rsidP="0026276E" w:rsidRDefault="003A00C4">
      <w:pPr>
        <w:rPr>
          <w:i/>
          <w:iCs/>
        </w:rPr>
      </w:pPr>
      <w:r w:rsidRPr="00C55F64">
        <w:rPr>
          <w:i/>
          <w:iCs/>
        </w:rPr>
        <w:t>Inkomstenkant</w:t>
      </w:r>
    </w:p>
    <w:p w:rsidR="003A00C4" w:rsidP="0026276E" w:rsidRDefault="003A00C4">
      <w:pPr>
        <w:pStyle w:val="ListParagraph"/>
        <w:numPr>
          <w:ilvl w:val="0"/>
          <w:numId w:val="4"/>
        </w:numPr>
        <w:spacing w:after="200" w:line="276" w:lineRule="auto"/>
      </w:pPr>
      <w:r>
        <w:t xml:space="preserve">BTW is over de gehele linie gestegen. </w:t>
      </w:r>
    </w:p>
    <w:p w:rsidR="003A00C4" w:rsidP="0026276E" w:rsidRDefault="003A00C4">
      <w:pPr>
        <w:pStyle w:val="ListParagraph"/>
        <w:numPr>
          <w:ilvl w:val="1"/>
          <w:numId w:val="4"/>
        </w:numPr>
        <w:spacing w:after="200" w:line="276" w:lineRule="auto"/>
      </w:pPr>
      <w:r>
        <w:t>19% tarief is gestegen tot 23%</w:t>
      </w:r>
    </w:p>
    <w:p w:rsidR="003A00C4" w:rsidP="0026276E" w:rsidRDefault="003A00C4">
      <w:pPr>
        <w:pStyle w:val="ListParagraph"/>
        <w:numPr>
          <w:ilvl w:val="1"/>
          <w:numId w:val="4"/>
        </w:numPr>
        <w:spacing w:after="200" w:line="276" w:lineRule="auto"/>
      </w:pPr>
      <w:r>
        <w:t>11% tarief is gestegen tot 13%</w:t>
      </w:r>
    </w:p>
    <w:p w:rsidR="003A00C4" w:rsidP="0026276E" w:rsidRDefault="003A00C4">
      <w:pPr>
        <w:pStyle w:val="ListParagraph"/>
        <w:numPr>
          <w:ilvl w:val="1"/>
          <w:numId w:val="4"/>
        </w:numPr>
        <w:spacing w:after="200" w:line="276" w:lineRule="auto"/>
      </w:pPr>
      <w:r>
        <w:t>5,5% tarief is gestegen tot 6,5%</w:t>
      </w:r>
    </w:p>
    <w:p w:rsidR="003A00C4" w:rsidP="0026276E" w:rsidRDefault="003A00C4">
      <w:pPr>
        <w:pStyle w:val="ListParagraph"/>
        <w:numPr>
          <w:ilvl w:val="0"/>
          <w:numId w:val="4"/>
        </w:numPr>
        <w:spacing w:after="200" w:line="276" w:lineRule="auto"/>
      </w:pPr>
      <w:r>
        <w:t>Accijnzen op benzine, sigaretten en alcohol zijn met 33% gestegen.</w:t>
      </w:r>
    </w:p>
    <w:p w:rsidR="003A00C4" w:rsidP="0026276E" w:rsidRDefault="003A00C4">
      <w:pPr>
        <w:pStyle w:val="ListParagraph"/>
        <w:numPr>
          <w:ilvl w:val="0"/>
          <w:numId w:val="4"/>
        </w:numPr>
        <w:spacing w:after="200" w:line="276" w:lineRule="auto"/>
        <w:rPr>
          <w:rFonts w:cs="Times New Roman"/>
        </w:rPr>
      </w:pPr>
      <w:r>
        <w:t>Er is een speciale belasting ingesteld voor winstgevende bedrijven, vermogende individuen en onroerend goed.</w:t>
      </w:r>
    </w:p>
    <w:p w:rsidR="003A00C4" w:rsidP="0026276E" w:rsidRDefault="003A00C4">
      <w:pPr>
        <w:rPr>
          <w:u w:val="single"/>
        </w:rPr>
      </w:pPr>
      <w:r>
        <w:rPr>
          <w:u w:val="single"/>
        </w:rPr>
        <w:t>Structureel</w:t>
      </w:r>
    </w:p>
    <w:p w:rsidR="003A00C4" w:rsidP="0026276E" w:rsidRDefault="003A00C4">
      <w:pPr>
        <w:pStyle w:val="ListParagraph"/>
        <w:numPr>
          <w:ilvl w:val="0"/>
          <w:numId w:val="5"/>
        </w:numPr>
        <w:spacing w:after="200" w:line="276" w:lineRule="auto"/>
      </w:pPr>
      <w:r>
        <w:t xml:space="preserve">Hervorming van het pensioenstelsel: zo wordt o.a. de effectieve pensioenleeftijd met 2 jaar verhoogd, zijn er 40 werkjaren noodzakelijk voor een volledig pensioen en worden uitkeringen afhankelijk gemaakt van de levensverwachting. </w:t>
      </w:r>
    </w:p>
    <w:p w:rsidR="003A00C4" w:rsidP="0026276E" w:rsidRDefault="003A00C4">
      <w:pPr>
        <w:pStyle w:val="ListParagraph"/>
        <w:numPr>
          <w:ilvl w:val="0"/>
          <w:numId w:val="5"/>
        </w:numPr>
        <w:spacing w:after="200" w:line="276" w:lineRule="auto"/>
      </w:pPr>
      <w:r>
        <w:t>Voor verdere flexibilisering van de arbeidsmarkt zijn verschillende maatregelen aangenomen, zoals: een reductie in de ontslagvergoeding van 50%, de bonus bij overwerk wordt afgeschaft, verlenging van de proeftijd van 2 naar 12 maanden, verlenging van de toegestane periode voor tijdelijk werk van 1 jaar naar 3 jaar, stijging van de toegestane ontslagen van 2% tot 5% per maand en maatregelen ter stimulering van deeltijdwerk.</w:t>
      </w:r>
    </w:p>
    <w:p w:rsidRPr="003E118F" w:rsidR="003A00C4" w:rsidP="0026276E" w:rsidRDefault="003A00C4">
      <w:pPr>
        <w:pStyle w:val="ListParagraph"/>
        <w:numPr>
          <w:ilvl w:val="0"/>
          <w:numId w:val="5"/>
        </w:numPr>
        <w:spacing w:after="200" w:line="276" w:lineRule="auto"/>
        <w:rPr>
          <w:rFonts w:cs="Times New Roman"/>
        </w:rPr>
      </w:pPr>
      <w:r>
        <w:t xml:space="preserve">Er zijn verschillende maatregelen in gang gezet ter verbetering van het budgettair raamwerk. </w:t>
      </w:r>
    </w:p>
    <w:p w:rsidR="003A00C4" w:rsidP="0026276E" w:rsidRDefault="003A00C4">
      <w:pPr>
        <w:pStyle w:val="ListParagraph"/>
        <w:numPr>
          <w:ilvl w:val="0"/>
          <w:numId w:val="5"/>
        </w:numPr>
        <w:spacing w:after="200" w:line="276" w:lineRule="auto"/>
        <w:rPr>
          <w:rFonts w:cs="Times New Roman"/>
        </w:rPr>
      </w:pPr>
      <w:r>
        <w:t>Hervorming van het b</w:t>
      </w:r>
      <w:r w:rsidRPr="008D521D">
        <w:t>elasting</w:t>
      </w:r>
      <w:r>
        <w:t>stelsel</w:t>
      </w:r>
      <w:r w:rsidRPr="008D521D">
        <w:t>; nieuw informatiesysteem, verkort</w:t>
      </w:r>
      <w:r>
        <w:t>ing van de</w:t>
      </w:r>
      <w:r w:rsidRPr="008D521D">
        <w:t xml:space="preserve"> beroepsprocedures, stijging van 182% t.o.v. </w:t>
      </w:r>
      <w:r>
        <w:t xml:space="preserve">2009 van boetes bij belastingontduiking, verzesvoudiging van het aantal </w:t>
      </w:r>
      <w:r w:rsidRPr="00B6383B">
        <w:rPr>
          <w:i/>
          <w:iCs/>
        </w:rPr>
        <w:t xml:space="preserve">audits </w:t>
      </w:r>
      <w:r>
        <w:t>en voorbereiding van een driejarig plan tegen belastingontduiking. Ondanks dat de overheidsontvangsten gestegen zijn (zie resultaten) is de achterstand die Griekenland het afgelopen jaar opliep bij de reductie van het tekort voor een belangrijk deel te wijten aan het niet realiseren van de doelstellingen op het gebied van belastinginning. Hier is dan ook nog een grote slag te slaan.</w:t>
      </w:r>
    </w:p>
    <w:p w:rsidR="003A00C4" w:rsidP="0026276E" w:rsidRDefault="003A00C4">
      <w:pPr>
        <w:pStyle w:val="ListParagraph"/>
        <w:numPr>
          <w:ilvl w:val="0"/>
          <w:numId w:val="5"/>
        </w:numPr>
        <w:spacing w:after="200" w:line="276" w:lineRule="auto"/>
      </w:pPr>
      <w:r>
        <w:t>Op lokaal niveau is o.a. het aantal gemeenten teruggedrongen van 1034 tot 325 en is verder gesneden in het ambtelijk apparaat.</w:t>
      </w:r>
    </w:p>
    <w:p w:rsidR="003A00C4" w:rsidP="0026276E" w:rsidRDefault="003A00C4">
      <w:pPr>
        <w:pStyle w:val="ListParagraph"/>
        <w:numPr>
          <w:ilvl w:val="0"/>
          <w:numId w:val="5"/>
        </w:numPr>
        <w:spacing w:after="200" w:line="276" w:lineRule="auto"/>
        <w:rPr>
          <w:rFonts w:cs="Times New Roman"/>
        </w:rPr>
      </w:pPr>
      <w:r>
        <w:t xml:space="preserve">De gezondheidszorg wordt structureel hervormd. Door middel van o.a. het verhogen van de eigen bijdrages, het grondig herstructureren en liberaliseren van de farmaceutische industrie, het verlagen van vergoedingen en het samenvoegen van ziekenhuizen moeten de kosten van de gezondheidszorg onder de 6% BBP blijven. </w:t>
      </w:r>
    </w:p>
    <w:p w:rsidRPr="004F616B" w:rsidR="003A00C4" w:rsidP="0026276E" w:rsidRDefault="003A00C4">
      <w:pPr>
        <w:pStyle w:val="ListParagraph"/>
        <w:numPr>
          <w:ilvl w:val="0"/>
          <w:numId w:val="5"/>
        </w:numPr>
        <w:spacing w:after="200" w:line="276" w:lineRule="auto"/>
        <w:rPr>
          <w:rFonts w:cs="Times New Roman"/>
        </w:rPr>
      </w:pPr>
      <w:r>
        <w:t>Liberalisering en herstructurering van de energie en transportsector. Ook is een begin gemaakt met openen van zo’n 150 gesloten beroepen.</w:t>
      </w:r>
    </w:p>
    <w:p w:rsidR="003A00C4" w:rsidP="007E377E" w:rsidRDefault="003A00C4">
      <w:pPr>
        <w:jc w:val="center"/>
        <w:rPr>
          <w:rFonts w:cs="Times New Roman"/>
        </w:rPr>
      </w:pPr>
      <w:bookmarkStart w:name="_GoBack" w:id="0"/>
      <w:bookmarkEnd w:id="0"/>
      <w:r>
        <w:t>-0-</w:t>
      </w:r>
    </w:p>
    <w:sectPr w:rsidR="003A00C4" w:rsidSect="0063313E">
      <w:pgSz w:w="12240" w:h="15840"/>
      <w:pgMar w:top="1440" w:right="1440" w:bottom="1440"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64FF"/>
    <w:multiLevelType w:val="hybridMultilevel"/>
    <w:tmpl w:val="906E7486"/>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
    <w:nsid w:val="38560268"/>
    <w:multiLevelType w:val="hybridMultilevel"/>
    <w:tmpl w:val="0EAE6BFA"/>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
    <w:nsid w:val="565B304B"/>
    <w:multiLevelType w:val="hybridMultilevel"/>
    <w:tmpl w:val="B25AB58C"/>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
    <w:nsid w:val="579C36A1"/>
    <w:multiLevelType w:val="hybridMultilevel"/>
    <w:tmpl w:val="1BA2821E"/>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
    <w:nsid w:val="7E7647E5"/>
    <w:multiLevelType w:val="hybridMultilevel"/>
    <w:tmpl w:val="C194FC0A"/>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defaultTabStop w:val="720"/>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76E"/>
    <w:rsid w:val="0011482F"/>
    <w:rsid w:val="001D1BFB"/>
    <w:rsid w:val="0026276E"/>
    <w:rsid w:val="003A00C4"/>
    <w:rsid w:val="003E118F"/>
    <w:rsid w:val="004F616B"/>
    <w:rsid w:val="004F79E6"/>
    <w:rsid w:val="0063313E"/>
    <w:rsid w:val="007E377E"/>
    <w:rsid w:val="00891D56"/>
    <w:rsid w:val="008D521D"/>
    <w:rsid w:val="00B347E3"/>
    <w:rsid w:val="00B40D80"/>
    <w:rsid w:val="00B6383B"/>
    <w:rsid w:val="00BB5204"/>
    <w:rsid w:val="00C55F64"/>
    <w:rsid w:val="00C6439B"/>
    <w:rsid w:val="00C95A8B"/>
    <w:rsid w:val="00D1026B"/>
    <w:rsid w:val="00E46042"/>
    <w:rsid w:val="00E80B85"/>
    <w:rsid w:val="00F60E5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6E"/>
    <w:pPr>
      <w:spacing w:line="240" w:lineRule="atLeast"/>
    </w:pPr>
    <w:rPr>
      <w:rFonts w:ascii="Verdana" w:eastAsia="MS Mincho" w:hAnsi="Verdana" w:cs="Verdana"/>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6439B"/>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1026B"/>
    <w:rPr>
      <w:rFonts w:ascii="Times New Roman" w:eastAsia="MS Mincho" w:hAnsi="Times New Roman" w:cs="Times New Roman"/>
      <w:sz w:val="2"/>
      <w:szCs w:val="2"/>
    </w:rPr>
  </w:style>
  <w:style w:type="character" w:styleId="Hyperlink">
    <w:name w:val="Hyperlink"/>
    <w:basedOn w:val="DefaultParagraphFont"/>
    <w:uiPriority w:val="99"/>
    <w:rsid w:val="0026276E"/>
    <w:rPr>
      <w:color w:val="0000FF"/>
      <w:u w:val="single"/>
    </w:rPr>
  </w:style>
  <w:style w:type="paragraph" w:styleId="ListParagraph">
    <w:name w:val="List Paragraph"/>
    <w:basedOn w:val="Normal"/>
    <w:uiPriority w:val="99"/>
    <w:qFormat/>
    <w:rsid w:val="002627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ec.europa.eu/economy_finance/sgp/deficit/countries/greece_en.ht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625</ap:Words>
  <ap:Characters>3408</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2011-06-13T11:16:00.0000000Z</dcterms:created>
  <dcterms:modified xsi:type="dcterms:W3CDTF">2011-06-13T11:49:00.0000000Z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0x010100E2966EAD3E3A24449BEC1642234A6FBE</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