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17EA5" w:rsidR="009E1608" w:rsidP="00077E81" w:rsidRDefault="009E1608">
      <w:pPr>
        <w:rPr>
          <w:rFonts w:ascii="Verdana" w:hAnsi="Verdana"/>
          <w:b/>
          <w:sz w:val="18"/>
          <w:szCs w:val="18"/>
        </w:rPr>
      </w:pPr>
      <w:r w:rsidRPr="00617EA5">
        <w:rPr>
          <w:rFonts w:ascii="Verdana" w:hAnsi="Verdana"/>
          <w:b/>
          <w:sz w:val="18"/>
          <w:szCs w:val="18"/>
        </w:rPr>
        <w:t>Bijlage</w:t>
      </w:r>
      <w:r w:rsidR="00B518FB">
        <w:rPr>
          <w:rFonts w:ascii="Verdana" w:hAnsi="Verdana"/>
          <w:b/>
          <w:sz w:val="18"/>
          <w:szCs w:val="18"/>
        </w:rPr>
        <w:t xml:space="preserve"> 1</w:t>
      </w:r>
      <w:r w:rsidRPr="00617EA5">
        <w:rPr>
          <w:rFonts w:ascii="Verdana" w:hAnsi="Verdana"/>
          <w:b/>
          <w:sz w:val="18"/>
          <w:szCs w:val="18"/>
        </w:rPr>
        <w:t>. Rapportage burgerbrieven VWS 2010</w:t>
      </w:r>
    </w:p>
    <w:p w:rsidRPr="00617EA5" w:rsidR="009E1608" w:rsidP="00077E81" w:rsidRDefault="009E1608">
      <w:pPr>
        <w:rPr>
          <w:rFonts w:ascii="Verdana" w:hAnsi="Verdana"/>
          <w:b/>
          <w:sz w:val="18"/>
          <w:szCs w:val="18"/>
        </w:rPr>
      </w:pPr>
      <w:r w:rsidRPr="00617EA5">
        <w:rPr>
          <w:rFonts w:ascii="Verdana" w:hAnsi="Verdana"/>
          <w:b/>
          <w:sz w:val="18"/>
          <w:szCs w:val="18"/>
        </w:rPr>
        <w:t>Algemeen</w:t>
      </w:r>
    </w:p>
    <w:p w:rsidRPr="00617EA5" w:rsidR="009E1608" w:rsidP="00077E81" w:rsidRDefault="009E1608">
      <w:pPr>
        <w:rPr>
          <w:rFonts w:ascii="Verdana" w:hAnsi="Verdana"/>
          <w:sz w:val="18"/>
          <w:szCs w:val="18"/>
        </w:rPr>
      </w:pPr>
      <w:r w:rsidRPr="00617EA5">
        <w:rPr>
          <w:rFonts w:ascii="Verdana" w:hAnsi="Verdana"/>
          <w:sz w:val="18"/>
          <w:szCs w:val="18"/>
        </w:rPr>
        <w:t xml:space="preserve">Het ministerie van Volksgezondheid, Welzijn en Sport (VWS) rapporteert hierbij over de periode 1 januari </w:t>
      </w:r>
      <w:r w:rsidR="00517CE5">
        <w:rPr>
          <w:rFonts w:ascii="Verdana" w:hAnsi="Verdana"/>
          <w:sz w:val="18"/>
          <w:szCs w:val="18"/>
        </w:rPr>
        <w:t>2010 tot en met 31 december 2010</w:t>
      </w:r>
      <w:r w:rsidRPr="00617EA5">
        <w:rPr>
          <w:rFonts w:ascii="Verdana" w:hAnsi="Verdana"/>
          <w:sz w:val="18"/>
          <w:szCs w:val="18"/>
        </w:rPr>
        <w:t xml:space="preserve"> betreffende het kerndepartement, de onder haar ressorterende uitvoeringsorganisaties en inspecties. Daarnaast dient vermeld te worden dat tot 14 oktober 2010 de werkzaamheden op de terreinen waarvoor de Programmaminister voor Jeugd en Gezin (J&amp;G) verantwoordelijk was, werden verricht door medewerkers van VWS. Daar waar in deze rapportage niet afzonderlijk over J&amp;G wordt gerapporteerd, zijn deze gegevens onderdeel van de gegevens van het kerndepartement VWS. Om vergelijking met eerdere jaren mogelijk te maken en trends te herkennen, heeft VWS getracht deze rapportage zoveel als mogelijk te laten aansluiten bij de rapportage van de Nationale Ombudsman uit 2008 getiteld: ‘ Behandeling burgerbrieven kan behoorlijker. Onderzoek uit eigen beweging naar de behandeling van burgerbr</w:t>
      </w:r>
      <w:r w:rsidR="00790874">
        <w:rPr>
          <w:rFonts w:ascii="Verdana" w:hAnsi="Verdana"/>
          <w:sz w:val="18"/>
          <w:szCs w:val="18"/>
        </w:rPr>
        <w:t>ieven in 2007 door ministeries’</w:t>
      </w:r>
      <w:r w:rsidRPr="00617EA5">
        <w:rPr>
          <w:rFonts w:ascii="Verdana" w:hAnsi="Verdana"/>
          <w:sz w:val="18"/>
          <w:szCs w:val="18"/>
        </w:rPr>
        <w:t>.</w:t>
      </w:r>
    </w:p>
    <w:p w:rsidRPr="00617EA5" w:rsidR="009E1608" w:rsidP="00077E81" w:rsidRDefault="009E1608">
      <w:pPr>
        <w:rPr>
          <w:rFonts w:ascii="Verdana" w:hAnsi="Verdana"/>
          <w:sz w:val="18"/>
          <w:szCs w:val="18"/>
        </w:rPr>
      </w:pPr>
      <w:r w:rsidRPr="00617EA5">
        <w:rPr>
          <w:rFonts w:ascii="Verdana" w:hAnsi="Verdana"/>
          <w:sz w:val="18"/>
          <w:szCs w:val="18"/>
        </w:rPr>
        <w:t>De rapportage van VWS is opgesteld tegen de achtergrond van een aantal ontwikkelingen.</w:t>
      </w:r>
    </w:p>
    <w:p w:rsidRPr="00617EA5" w:rsidR="009E1608" w:rsidP="00077E81" w:rsidRDefault="009E1608">
      <w:pPr>
        <w:rPr>
          <w:rFonts w:ascii="Verdana" w:hAnsi="Verdana"/>
          <w:sz w:val="18"/>
          <w:szCs w:val="18"/>
        </w:rPr>
      </w:pPr>
      <w:r w:rsidRPr="00617EA5">
        <w:rPr>
          <w:rFonts w:ascii="Verdana" w:hAnsi="Verdana"/>
          <w:sz w:val="18"/>
          <w:szCs w:val="18"/>
        </w:rPr>
        <w:t xml:space="preserve">Het beleidsterrein van het ministerie van VWS en in het verlengde daarvan het programmaministerie voor J&amp;G stond en staat in het middelpunt van de publieke belangstelling. Het aantal (burger)brieven, klaag- en bezwaarschriften is in de laatste vijf jaar aanzienlijk toegenomen. Daar staat tegenover dat door opeenvolgende taakstellingen het (toenemende) werk met steeds minder ambtenaren moet gebeuren. Om de stukkenstroom en afhandeling (toch) efficiënter en sneller te </w:t>
      </w:r>
      <w:r w:rsidR="00517CE5">
        <w:rPr>
          <w:rFonts w:ascii="Verdana" w:hAnsi="Verdana"/>
          <w:sz w:val="18"/>
          <w:szCs w:val="18"/>
        </w:rPr>
        <w:t>laten</w:t>
      </w:r>
      <w:r w:rsidRPr="00617EA5">
        <w:rPr>
          <w:rFonts w:ascii="Verdana" w:hAnsi="Verdana"/>
          <w:sz w:val="18"/>
          <w:szCs w:val="18"/>
        </w:rPr>
        <w:t xml:space="preserve"> verlopen (en tegelijkertijd in te zetten op ook door de Nationale Ombudsman geconstateerde knelpunten en aanbevelingen) zet VWS in op verregaande digitalisering. Zo is de afgelopen jaren veel geïnvesteerd in de applicatie  ‘Subsidieplein’ en de applicatie ‘Perfect View’ die een betere registratie en bewaring van de termijnen van bezwaarschriften mogelijk maakt.</w:t>
      </w:r>
    </w:p>
    <w:p w:rsidRPr="00617EA5" w:rsidR="009E1608" w:rsidP="00077E81" w:rsidRDefault="009E1608">
      <w:pPr>
        <w:rPr>
          <w:rFonts w:ascii="Verdana" w:hAnsi="Verdana"/>
          <w:sz w:val="18"/>
          <w:szCs w:val="18"/>
        </w:rPr>
      </w:pPr>
      <w:r w:rsidRPr="00617EA5">
        <w:rPr>
          <w:rFonts w:ascii="Verdana" w:hAnsi="Verdana"/>
          <w:sz w:val="18"/>
          <w:szCs w:val="18"/>
        </w:rPr>
        <w:t>In 2008 is gestart met het project ‘Digitalisering documenthuishouding VWS’. Een doel van dit project is om beter te voldoen aan de dienstverleningsdoelstellingen van VWS richting burgers en instanties. Door de gehele documentenstroom binnen VWS te digitaliseren, moet het in de toekomst eenvoudiger worden om de afhandeling van brieven en beantwoordingtermijnen te bewaken en hierover te rapporteren. In 2010 zijn verdere stappen gezet om dit systeem tot uitvoering te brengen, die moeten leiden tot ingebruikname van het systeem</w:t>
      </w:r>
      <w:r w:rsidRPr="00617EA5" w:rsidR="00B1722F">
        <w:rPr>
          <w:rFonts w:ascii="Verdana" w:hAnsi="Verdana"/>
          <w:sz w:val="18"/>
          <w:szCs w:val="18"/>
        </w:rPr>
        <w:t>, voorzien voor</w:t>
      </w:r>
      <w:r w:rsidRPr="00617EA5">
        <w:rPr>
          <w:rFonts w:ascii="Verdana" w:hAnsi="Verdana"/>
          <w:sz w:val="18"/>
          <w:szCs w:val="18"/>
        </w:rPr>
        <w:t xml:space="preserve"> medio 2011. </w:t>
      </w:r>
    </w:p>
    <w:p w:rsidRPr="00617EA5" w:rsidR="009E1608" w:rsidP="00077E81" w:rsidRDefault="009E1608">
      <w:pPr>
        <w:rPr>
          <w:rFonts w:ascii="Verdana" w:hAnsi="Verdana"/>
          <w:sz w:val="18"/>
          <w:szCs w:val="18"/>
        </w:rPr>
      </w:pPr>
      <w:r w:rsidRPr="00617EA5">
        <w:rPr>
          <w:rFonts w:ascii="Verdana" w:hAnsi="Verdana"/>
          <w:sz w:val="18"/>
          <w:szCs w:val="18"/>
        </w:rPr>
        <w:t xml:space="preserve">Hierna volgt de rapportage over het aantal en tijdigheid van beantwoording van aanvragen, bezwaarschriften, klaagschriften, overige brieven en </w:t>
      </w:r>
      <w:proofErr w:type="spellStart"/>
      <w:r w:rsidRPr="00617EA5">
        <w:rPr>
          <w:rFonts w:ascii="Verdana" w:hAnsi="Verdana"/>
          <w:sz w:val="18"/>
          <w:szCs w:val="18"/>
        </w:rPr>
        <w:t>W</w:t>
      </w:r>
      <w:r w:rsidRPr="00617EA5" w:rsidR="00FC2967">
        <w:rPr>
          <w:rFonts w:ascii="Verdana" w:hAnsi="Verdana"/>
          <w:sz w:val="18"/>
          <w:szCs w:val="18"/>
        </w:rPr>
        <w:t>ob</w:t>
      </w:r>
      <w:r w:rsidRPr="00617EA5">
        <w:rPr>
          <w:rFonts w:ascii="Verdana" w:hAnsi="Verdana"/>
          <w:sz w:val="18"/>
          <w:szCs w:val="18"/>
        </w:rPr>
        <w:t>-verzoeken</w:t>
      </w:r>
      <w:proofErr w:type="spellEnd"/>
      <w:r w:rsidRPr="00617EA5">
        <w:rPr>
          <w:rFonts w:ascii="Verdana" w:hAnsi="Verdana"/>
          <w:sz w:val="18"/>
          <w:szCs w:val="18"/>
        </w:rPr>
        <w:t xml:space="preserve"> ontvangen door VWS in 2010. Daarnaast wordt ook nog kort ingegaan op de behandeling van binnengekomen e-mails van burgers. </w:t>
      </w:r>
    </w:p>
    <w:p w:rsidRPr="00617EA5" w:rsidR="009E1608" w:rsidP="00077E81" w:rsidRDefault="009E1608">
      <w:pPr>
        <w:rPr>
          <w:rFonts w:ascii="Verdana" w:hAnsi="Verdana"/>
          <w:sz w:val="18"/>
          <w:szCs w:val="18"/>
        </w:rPr>
      </w:pPr>
    </w:p>
    <w:p w:rsidRPr="00617EA5" w:rsidR="009E1608" w:rsidP="00077E81" w:rsidRDefault="009E1608">
      <w:pPr>
        <w:rPr>
          <w:rFonts w:ascii="Verdana" w:hAnsi="Verdana"/>
          <w:b/>
          <w:sz w:val="18"/>
          <w:szCs w:val="18"/>
        </w:rPr>
      </w:pPr>
      <w:r w:rsidRPr="00617EA5">
        <w:rPr>
          <w:rFonts w:ascii="Verdana" w:hAnsi="Verdana"/>
          <w:b/>
          <w:sz w:val="18"/>
          <w:szCs w:val="18"/>
        </w:rPr>
        <w:t>Aanvragen</w:t>
      </w:r>
    </w:p>
    <w:p w:rsidRPr="00617EA5" w:rsidR="009E1608" w:rsidP="00077E81" w:rsidRDefault="009E1608">
      <w:pPr>
        <w:rPr>
          <w:rFonts w:ascii="Verdana" w:hAnsi="Verdana"/>
          <w:i/>
          <w:sz w:val="18"/>
          <w:szCs w:val="18"/>
        </w:rPr>
      </w:pPr>
      <w:r w:rsidRPr="00617EA5">
        <w:rPr>
          <w:rFonts w:ascii="Verdana" w:hAnsi="Verdana"/>
          <w:i/>
          <w:sz w:val="18"/>
          <w:szCs w:val="18"/>
        </w:rPr>
        <w:t>VWS Kerndepartement</w:t>
      </w:r>
    </w:p>
    <w:p w:rsidRPr="00617EA5" w:rsidR="009E1608" w:rsidP="00077E81" w:rsidRDefault="009E1608">
      <w:pPr>
        <w:rPr>
          <w:rFonts w:ascii="Verdana" w:hAnsi="Verdana"/>
          <w:sz w:val="18"/>
          <w:szCs w:val="18"/>
        </w:rPr>
      </w:pPr>
      <w:r w:rsidRPr="00617EA5">
        <w:rPr>
          <w:rFonts w:ascii="Verdana" w:hAnsi="Verdana"/>
          <w:sz w:val="18"/>
          <w:szCs w:val="18"/>
        </w:rPr>
        <w:t xml:space="preserve">Het kerndepartement registreert subsidieaanvragen en </w:t>
      </w:r>
      <w:proofErr w:type="spellStart"/>
      <w:r w:rsidRPr="00617EA5">
        <w:rPr>
          <w:rFonts w:ascii="Verdana" w:hAnsi="Verdana"/>
          <w:sz w:val="18"/>
          <w:szCs w:val="18"/>
        </w:rPr>
        <w:t>W</w:t>
      </w:r>
      <w:r w:rsidRPr="00617EA5" w:rsidR="00FC2967">
        <w:rPr>
          <w:rFonts w:ascii="Verdana" w:hAnsi="Verdana"/>
          <w:sz w:val="18"/>
          <w:szCs w:val="18"/>
        </w:rPr>
        <w:t>ob</w:t>
      </w:r>
      <w:r w:rsidRPr="00617EA5">
        <w:rPr>
          <w:rFonts w:ascii="Verdana" w:hAnsi="Verdana"/>
          <w:sz w:val="18"/>
          <w:szCs w:val="18"/>
        </w:rPr>
        <w:t>-aanvragen</w:t>
      </w:r>
      <w:proofErr w:type="spellEnd"/>
      <w:r w:rsidRPr="00617EA5">
        <w:rPr>
          <w:rFonts w:ascii="Verdana" w:hAnsi="Verdana"/>
          <w:sz w:val="18"/>
          <w:szCs w:val="18"/>
        </w:rPr>
        <w:t xml:space="preserve">. Deze laatste worden in deze rapportage apart behandeld. Onder de noemer aanvragen vallen op deze plek dus alleen subsidieaanvragen. De door het kerndepartement geregistreerde subsidieaanvragen omvatten tevens de aanvragen voor de uitvoeringsdiensten. Het aantal toegekende subsidieaanvragen in 2009 was 4539, in 2010 waren dit er 8454. Deze stijging valt mede te verklaren door het grote aantal subsidieaanvragen dat het CIBG verwerkte in het kader van de subsidies voor het aansluiten van zorgaanbieders op het Landelijk Schakelpunt voor de ontwikkeling van het Elektronisch Patiënten Dossier (EPD). In 2010 werden van de 3280 aanvragen die bij het kerndepartement werden gedaan 1900 gedaan via het Subsidieplein. Van deze aanvragen was het mogelijk te </w:t>
      </w:r>
      <w:r w:rsidRPr="00617EA5">
        <w:rPr>
          <w:rFonts w:ascii="Verdana" w:hAnsi="Verdana"/>
          <w:sz w:val="18"/>
          <w:szCs w:val="18"/>
        </w:rPr>
        <w:lastRenderedPageBreak/>
        <w:t>berekenen welk percentage binnen de wettelijke termijn van 13 weken zijn afgehandeld. Van de toegekende subsidies bleek 85% binnen de termijn van 13 weken zijn verleend, 15% van de toegekende subsidies zijn na deze termijn van 13 weken verleend. Voor de uitvoeringsdiensten gezamenlijk geldt dat 100% van de subsidieaanvragen binnen de wettelijke termijn werd verleend.</w:t>
      </w:r>
    </w:p>
    <w:p w:rsidR="00790874" w:rsidP="00077E81" w:rsidRDefault="00790874">
      <w:pPr>
        <w:rPr>
          <w:rFonts w:ascii="Verdana" w:hAnsi="Verdana"/>
          <w:i/>
          <w:sz w:val="18"/>
          <w:szCs w:val="18"/>
        </w:rPr>
      </w:pPr>
    </w:p>
    <w:p w:rsidR="00790874" w:rsidP="00077E81" w:rsidRDefault="009E1608">
      <w:pPr>
        <w:rPr>
          <w:rFonts w:ascii="Verdana" w:hAnsi="Verdana"/>
          <w:i/>
          <w:sz w:val="18"/>
          <w:szCs w:val="18"/>
        </w:rPr>
      </w:pPr>
      <w:r w:rsidRPr="00617EA5">
        <w:rPr>
          <w:rFonts w:ascii="Verdana" w:hAnsi="Verdana"/>
          <w:i/>
          <w:sz w:val="18"/>
          <w:szCs w:val="18"/>
        </w:rPr>
        <w:t>CIBG</w:t>
      </w:r>
    </w:p>
    <w:p w:rsidRPr="00617EA5" w:rsidR="009E1608" w:rsidP="00077E81" w:rsidRDefault="00790874">
      <w:pPr>
        <w:rPr>
          <w:rFonts w:ascii="Verdana" w:hAnsi="Verdana"/>
          <w:sz w:val="18"/>
          <w:szCs w:val="18"/>
        </w:rPr>
      </w:pPr>
      <w:r w:rsidRPr="00517CE5">
        <w:rPr>
          <w:rFonts w:ascii="Verdana" w:hAnsi="Verdana"/>
          <w:sz w:val="18"/>
          <w:szCs w:val="18"/>
        </w:rPr>
        <w:t>H</w:t>
      </w:r>
      <w:r w:rsidRPr="00617EA5" w:rsidR="009E1608">
        <w:rPr>
          <w:rFonts w:ascii="Verdana" w:hAnsi="Verdana"/>
          <w:sz w:val="18"/>
          <w:szCs w:val="18"/>
        </w:rPr>
        <w:t xml:space="preserve">et CIBG is verantwoordelijk voor de registratie van zorgverleners (de zogenaamde artikel 3-beroepen) in het </w:t>
      </w:r>
      <w:proofErr w:type="spellStart"/>
      <w:r w:rsidRPr="00617EA5" w:rsidR="009E1608">
        <w:rPr>
          <w:rFonts w:ascii="Verdana" w:hAnsi="Verdana"/>
          <w:sz w:val="18"/>
          <w:szCs w:val="18"/>
        </w:rPr>
        <w:t>BIG-register</w:t>
      </w:r>
      <w:proofErr w:type="spellEnd"/>
      <w:r w:rsidRPr="00617EA5" w:rsidR="009E1608">
        <w:rPr>
          <w:rFonts w:ascii="Verdana" w:hAnsi="Verdana"/>
          <w:sz w:val="18"/>
          <w:szCs w:val="18"/>
        </w:rPr>
        <w:t xml:space="preserve">. Hiervoor ontvangt zij aanvragen voor opname in de registers zoals bedoeld in de Wet op de beroepen in de individuele gezondheidszorg (Wet BIG). In 2010 ontving het CIBG 11.640 aanvragen voor opname in het </w:t>
      </w:r>
      <w:proofErr w:type="spellStart"/>
      <w:r w:rsidRPr="00617EA5" w:rsidR="009E1608">
        <w:rPr>
          <w:rFonts w:ascii="Verdana" w:hAnsi="Verdana"/>
          <w:sz w:val="18"/>
          <w:szCs w:val="18"/>
        </w:rPr>
        <w:t>BIG-register</w:t>
      </w:r>
      <w:proofErr w:type="spellEnd"/>
      <w:r w:rsidRPr="00617EA5" w:rsidR="009E1608">
        <w:rPr>
          <w:rFonts w:ascii="Verdana" w:hAnsi="Verdana"/>
          <w:sz w:val="18"/>
          <w:szCs w:val="18"/>
        </w:rPr>
        <w:t xml:space="preserve">. Het afhandelen van een aanvraag voor registratie in het </w:t>
      </w:r>
      <w:proofErr w:type="spellStart"/>
      <w:r w:rsidRPr="00617EA5" w:rsidR="009E1608">
        <w:rPr>
          <w:rFonts w:ascii="Verdana" w:hAnsi="Verdana"/>
          <w:sz w:val="18"/>
          <w:szCs w:val="18"/>
        </w:rPr>
        <w:t>BIG-register</w:t>
      </w:r>
      <w:proofErr w:type="spellEnd"/>
      <w:r w:rsidRPr="00617EA5" w:rsidR="009E1608">
        <w:rPr>
          <w:rFonts w:ascii="Verdana" w:hAnsi="Verdana"/>
          <w:sz w:val="18"/>
          <w:szCs w:val="18"/>
        </w:rPr>
        <w:t xml:space="preserve"> mag wettelijk gezien maximaal acht weken duren. De gemiddelde doorlooptijd van deze aanvragen was 9,6 dagen voor aanvragen met een Nederlands diploma en gemiddeld 20,6 dagen voor aanvragen met een aangewezen diploma en Nederlands diploma. </w:t>
      </w:r>
    </w:p>
    <w:p w:rsidRPr="00617EA5" w:rsidR="009E1608" w:rsidP="00077E81" w:rsidRDefault="009E1608">
      <w:pPr>
        <w:rPr>
          <w:rFonts w:ascii="Verdana" w:hAnsi="Verdana"/>
          <w:sz w:val="18"/>
          <w:szCs w:val="18"/>
        </w:rPr>
      </w:pPr>
    </w:p>
    <w:p w:rsidRPr="00617EA5" w:rsidR="009E1608" w:rsidP="00077E81" w:rsidRDefault="009E1608">
      <w:pPr>
        <w:rPr>
          <w:rFonts w:ascii="Verdana" w:hAnsi="Verdana"/>
          <w:i/>
          <w:sz w:val="18"/>
          <w:szCs w:val="18"/>
        </w:rPr>
      </w:pPr>
      <w:r w:rsidRPr="00617EA5">
        <w:rPr>
          <w:rFonts w:ascii="Verdana" w:hAnsi="Verdana"/>
          <w:i/>
          <w:sz w:val="18"/>
          <w:szCs w:val="18"/>
        </w:rPr>
        <w:t>IGZ</w:t>
      </w:r>
    </w:p>
    <w:p w:rsidRPr="00617EA5" w:rsidR="009E1608" w:rsidP="00077E81" w:rsidRDefault="009E1608">
      <w:pPr>
        <w:rPr>
          <w:rFonts w:ascii="Verdana" w:hAnsi="Verdana"/>
          <w:sz w:val="18"/>
          <w:szCs w:val="18"/>
        </w:rPr>
      </w:pPr>
      <w:r w:rsidRPr="00617EA5">
        <w:rPr>
          <w:rFonts w:ascii="Verdana" w:hAnsi="Verdana"/>
          <w:sz w:val="18"/>
          <w:szCs w:val="18"/>
        </w:rPr>
        <w:t xml:space="preserve">De Inspectie voor de Gezondheidszorg (IGZ) registreert de invoervergunningen ten behoeve van ongeregistreerde medicijnen. In 2009 ontving de IGZ 260 aanvragen voor invoervergunningen ten behoeve van ongeregistreerde medicijnen. In 2010 waren er 123 aanvragen voor invoervergunningen. In 68% van de gevallen waren deze aanvragen in minder dan 21 dagen afgehandeld. </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tblPr>
      <w:tblGrid>
        <w:gridCol w:w="1526"/>
        <w:gridCol w:w="2126"/>
        <w:gridCol w:w="851"/>
        <w:gridCol w:w="1275"/>
        <w:gridCol w:w="1276"/>
        <w:gridCol w:w="1134"/>
        <w:gridCol w:w="992"/>
      </w:tblGrid>
      <w:tr w:rsidRPr="00A64FE8" w:rsidR="00FC2967" w:rsidTr="00FC2967">
        <w:tc>
          <w:tcPr>
            <w:tcW w:w="1526" w:type="dxa"/>
          </w:tcPr>
          <w:p w:rsidRPr="00B30A95" w:rsidR="009E1608" w:rsidP="00A64FE8" w:rsidRDefault="00B30A95">
            <w:pPr>
              <w:spacing w:after="0" w:line="240" w:lineRule="auto"/>
              <w:rPr>
                <w:rFonts w:ascii="Arial" w:hAnsi="Arial" w:cs="Arial"/>
                <w:i/>
                <w:sz w:val="16"/>
                <w:szCs w:val="16"/>
              </w:rPr>
            </w:pPr>
            <w:r w:rsidRPr="00B30A95">
              <w:rPr>
                <w:rFonts w:ascii="Arial" w:hAnsi="Arial" w:cs="Arial"/>
                <w:i/>
                <w:sz w:val="16"/>
                <w:szCs w:val="16"/>
              </w:rPr>
              <w:t>Organisatie</w:t>
            </w:r>
          </w:p>
        </w:tc>
        <w:tc>
          <w:tcPr>
            <w:tcW w:w="2126"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Aantal verslagjaar -1 </w:t>
            </w:r>
          </w:p>
        </w:tc>
        <w:tc>
          <w:tcPr>
            <w:tcW w:w="851"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Aantal </w:t>
            </w:r>
            <w:proofErr w:type="spellStart"/>
            <w:r w:rsidRPr="00A64FE8">
              <w:rPr>
                <w:rFonts w:ascii="Arial" w:hAnsi="Arial" w:cs="Arial"/>
                <w:b/>
                <w:sz w:val="16"/>
                <w:szCs w:val="16"/>
              </w:rPr>
              <w:t>verslag</w:t>
            </w:r>
            <w:r w:rsidR="00FC2967">
              <w:rPr>
                <w:rFonts w:ascii="Arial" w:hAnsi="Arial" w:cs="Arial"/>
                <w:b/>
                <w:sz w:val="16"/>
                <w:szCs w:val="16"/>
              </w:rPr>
              <w:t>-</w:t>
            </w:r>
            <w:r w:rsidRPr="00A64FE8">
              <w:rPr>
                <w:rFonts w:ascii="Arial" w:hAnsi="Arial" w:cs="Arial"/>
                <w:b/>
                <w:sz w:val="16"/>
                <w:szCs w:val="16"/>
              </w:rPr>
              <w:t>jaar</w:t>
            </w:r>
            <w:proofErr w:type="spellEnd"/>
            <w:r w:rsidRPr="00A64FE8">
              <w:rPr>
                <w:rFonts w:ascii="Arial" w:hAnsi="Arial" w:cs="Arial"/>
                <w:b/>
                <w:sz w:val="16"/>
                <w:szCs w:val="16"/>
              </w:rPr>
              <w:t xml:space="preserve"> </w:t>
            </w:r>
          </w:p>
        </w:tc>
        <w:tc>
          <w:tcPr>
            <w:tcW w:w="1275" w:type="dxa"/>
          </w:tcPr>
          <w:p w:rsidRPr="00A64FE8" w:rsidR="009E1608" w:rsidP="00FC2967" w:rsidRDefault="009E1608">
            <w:pPr>
              <w:pStyle w:val="Default"/>
              <w:rPr>
                <w:rFonts w:ascii="Arial" w:hAnsi="Arial" w:cs="Arial"/>
                <w:b/>
                <w:sz w:val="16"/>
                <w:szCs w:val="16"/>
              </w:rPr>
            </w:pPr>
            <w:r w:rsidRPr="00A64FE8">
              <w:rPr>
                <w:rFonts w:ascii="Arial" w:hAnsi="Arial" w:cs="Arial"/>
                <w:b/>
                <w:sz w:val="16"/>
                <w:szCs w:val="16"/>
              </w:rPr>
              <w:t xml:space="preserve">Gemiddelde </w:t>
            </w:r>
            <w:proofErr w:type="spellStart"/>
            <w:r w:rsidRPr="00A64FE8">
              <w:rPr>
                <w:rFonts w:ascii="Arial" w:hAnsi="Arial" w:cs="Arial"/>
                <w:b/>
                <w:sz w:val="16"/>
                <w:szCs w:val="16"/>
              </w:rPr>
              <w:t>afhandeling</w:t>
            </w:r>
            <w:r w:rsidR="00FC2967">
              <w:rPr>
                <w:rFonts w:ascii="Arial" w:hAnsi="Arial" w:cs="Arial"/>
                <w:b/>
                <w:sz w:val="16"/>
                <w:szCs w:val="16"/>
              </w:rPr>
              <w:t>s</w:t>
            </w:r>
            <w:r w:rsidRPr="00A64FE8">
              <w:rPr>
                <w:rFonts w:ascii="Arial" w:hAnsi="Arial" w:cs="Arial"/>
                <w:b/>
                <w:sz w:val="16"/>
                <w:szCs w:val="16"/>
              </w:rPr>
              <w:t>-termijn</w:t>
            </w:r>
            <w:proofErr w:type="spellEnd"/>
          </w:p>
        </w:tc>
        <w:tc>
          <w:tcPr>
            <w:tcW w:w="1276"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Percentage afgedaan binnen verdaagde wettelijke termijn</w:t>
            </w:r>
          </w:p>
        </w:tc>
        <w:tc>
          <w:tcPr>
            <w:tcW w:w="1134"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Aantal ontvangen </w:t>
            </w:r>
            <w:proofErr w:type="spellStart"/>
            <w:r w:rsidRPr="00A64FE8">
              <w:rPr>
                <w:rFonts w:ascii="Arial" w:hAnsi="Arial" w:cs="Arial"/>
                <w:b/>
                <w:sz w:val="16"/>
                <w:szCs w:val="16"/>
              </w:rPr>
              <w:t>ingebreke</w:t>
            </w:r>
            <w:proofErr w:type="spellEnd"/>
            <w:r w:rsidRPr="00A64FE8">
              <w:rPr>
                <w:rFonts w:ascii="Arial" w:hAnsi="Arial" w:cs="Arial"/>
                <w:b/>
                <w:sz w:val="16"/>
                <w:szCs w:val="16"/>
              </w:rPr>
              <w:t>-</w:t>
            </w:r>
          </w:p>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stellingen</w:t>
            </w:r>
          </w:p>
        </w:tc>
        <w:tc>
          <w:tcPr>
            <w:tcW w:w="992"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Aantal</w:t>
            </w:r>
          </w:p>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betaalde</w:t>
            </w:r>
          </w:p>
          <w:p w:rsidRPr="00A64FE8" w:rsidR="009E1608" w:rsidP="00E467E4" w:rsidRDefault="009E1608">
            <w:pPr>
              <w:pStyle w:val="Default"/>
              <w:rPr>
                <w:rFonts w:ascii="Arial" w:hAnsi="Arial" w:cs="Arial"/>
                <w:b/>
                <w:sz w:val="16"/>
                <w:szCs w:val="16"/>
              </w:rPr>
            </w:pPr>
            <w:proofErr w:type="spellStart"/>
            <w:r w:rsidRPr="00A64FE8">
              <w:rPr>
                <w:rFonts w:ascii="Arial" w:hAnsi="Arial" w:cs="Arial"/>
                <w:b/>
                <w:sz w:val="16"/>
                <w:szCs w:val="16"/>
              </w:rPr>
              <w:t>dwang</w:t>
            </w:r>
            <w:r w:rsidR="00FC2967">
              <w:rPr>
                <w:rFonts w:ascii="Arial" w:hAnsi="Arial" w:cs="Arial"/>
                <w:b/>
                <w:sz w:val="16"/>
                <w:szCs w:val="16"/>
              </w:rPr>
              <w:t>-</w:t>
            </w:r>
            <w:r w:rsidRPr="00A64FE8">
              <w:rPr>
                <w:rFonts w:ascii="Arial" w:hAnsi="Arial" w:cs="Arial"/>
                <w:b/>
                <w:sz w:val="16"/>
                <w:szCs w:val="16"/>
              </w:rPr>
              <w:t>sommen</w:t>
            </w:r>
            <w:proofErr w:type="spellEnd"/>
            <w:r w:rsidRPr="00A64FE8">
              <w:rPr>
                <w:rFonts w:ascii="Arial" w:hAnsi="Arial" w:cs="Arial"/>
                <w:b/>
                <w:sz w:val="16"/>
                <w:szCs w:val="16"/>
              </w:rPr>
              <w:t xml:space="preserve"> </w:t>
            </w:r>
          </w:p>
        </w:tc>
      </w:tr>
      <w:tr w:rsidRPr="00A64FE8" w:rsidR="00FC2967" w:rsidTr="00FC2967">
        <w:tc>
          <w:tcPr>
            <w:tcW w:w="1526" w:type="dxa"/>
          </w:tcPr>
          <w:p w:rsidRPr="00A64FE8" w:rsidR="009E1608" w:rsidP="00E467E4" w:rsidRDefault="009E1608">
            <w:pPr>
              <w:pStyle w:val="Default"/>
              <w:rPr>
                <w:rFonts w:ascii="Arial" w:hAnsi="Arial" w:cs="Arial"/>
                <w:b/>
                <w:sz w:val="16"/>
                <w:szCs w:val="16"/>
              </w:rPr>
            </w:pPr>
            <w:proofErr w:type="spellStart"/>
            <w:r w:rsidRPr="00A64FE8">
              <w:rPr>
                <w:rFonts w:ascii="Arial" w:hAnsi="Arial" w:cs="Arial"/>
                <w:b/>
                <w:sz w:val="16"/>
                <w:szCs w:val="16"/>
              </w:rPr>
              <w:t>Susbsidieaan</w:t>
            </w:r>
            <w:r w:rsidR="00517CE5">
              <w:rPr>
                <w:rFonts w:ascii="Arial" w:hAnsi="Arial" w:cs="Arial"/>
                <w:b/>
                <w:sz w:val="16"/>
                <w:szCs w:val="16"/>
              </w:rPr>
              <w:t>-</w:t>
            </w:r>
            <w:r w:rsidRPr="00A64FE8">
              <w:rPr>
                <w:rFonts w:ascii="Arial" w:hAnsi="Arial" w:cs="Arial"/>
                <w:b/>
                <w:sz w:val="16"/>
                <w:szCs w:val="16"/>
              </w:rPr>
              <w:t>vragen</w:t>
            </w:r>
            <w:proofErr w:type="spellEnd"/>
            <w:r w:rsidR="00517CE5">
              <w:rPr>
                <w:rFonts w:ascii="Arial" w:hAnsi="Arial" w:cs="Arial"/>
                <w:b/>
                <w:sz w:val="16"/>
                <w:szCs w:val="16"/>
              </w:rPr>
              <w:t xml:space="preserve"> </w:t>
            </w:r>
            <w:r w:rsidRPr="00A64FE8">
              <w:rPr>
                <w:rFonts w:ascii="Arial" w:hAnsi="Arial" w:cs="Arial"/>
                <w:b/>
                <w:sz w:val="16"/>
                <w:szCs w:val="16"/>
              </w:rPr>
              <w:t>kerndepartement en uitvoerende diensten</w:t>
            </w:r>
          </w:p>
        </w:tc>
        <w:tc>
          <w:tcPr>
            <w:tcW w:w="212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4539</w:t>
            </w:r>
          </w:p>
        </w:tc>
        <w:tc>
          <w:tcPr>
            <w:tcW w:w="851"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8454</w:t>
            </w:r>
          </w:p>
        </w:tc>
        <w:tc>
          <w:tcPr>
            <w:tcW w:w="127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Zie percentage afgedaan binnen termijn</w:t>
            </w:r>
          </w:p>
        </w:tc>
        <w:tc>
          <w:tcPr>
            <w:tcW w:w="127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94%</w:t>
            </w:r>
          </w:p>
        </w:tc>
        <w:tc>
          <w:tcPr>
            <w:tcW w:w="1134"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c>
          <w:tcPr>
            <w:tcW w:w="992"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r>
      <w:tr w:rsidRPr="00A64FE8" w:rsidR="00FC2967" w:rsidTr="00FC2967">
        <w:trPr>
          <w:trHeight w:val="1103"/>
        </w:trPr>
        <w:tc>
          <w:tcPr>
            <w:tcW w:w="1526" w:type="dxa"/>
            <w:vMerge w:val="restart"/>
          </w:tcPr>
          <w:p w:rsidRPr="00FC2967" w:rsidR="009E1608" w:rsidP="00E467E4" w:rsidRDefault="009E1608">
            <w:pPr>
              <w:pStyle w:val="Default"/>
              <w:rPr>
                <w:rFonts w:ascii="Arial" w:hAnsi="Arial" w:cs="Arial"/>
                <w:b/>
                <w:sz w:val="16"/>
                <w:szCs w:val="16"/>
              </w:rPr>
            </w:pPr>
            <w:r w:rsidRPr="00FC2967">
              <w:rPr>
                <w:rFonts w:ascii="Arial" w:hAnsi="Arial" w:cs="Arial"/>
                <w:b/>
                <w:sz w:val="16"/>
                <w:szCs w:val="16"/>
              </w:rPr>
              <w:t xml:space="preserve">Aanvragen </w:t>
            </w:r>
            <w:proofErr w:type="spellStart"/>
            <w:r w:rsidRPr="00FC2967">
              <w:rPr>
                <w:rFonts w:ascii="Arial" w:hAnsi="Arial" w:cs="Arial"/>
                <w:b/>
                <w:sz w:val="16"/>
                <w:szCs w:val="16"/>
              </w:rPr>
              <w:t>BIG-registraties</w:t>
            </w:r>
            <w:proofErr w:type="spellEnd"/>
            <w:r w:rsidRPr="00FC2967">
              <w:rPr>
                <w:rFonts w:ascii="Arial" w:hAnsi="Arial" w:cs="Arial"/>
                <w:b/>
                <w:sz w:val="16"/>
                <w:szCs w:val="16"/>
              </w:rPr>
              <w:t xml:space="preserve"> CIBG</w:t>
            </w:r>
          </w:p>
        </w:tc>
        <w:tc>
          <w:tcPr>
            <w:tcW w:w="2126" w:type="dxa"/>
            <w:vMerge w:val="restart"/>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11224</w:t>
            </w:r>
          </w:p>
        </w:tc>
        <w:tc>
          <w:tcPr>
            <w:tcW w:w="851" w:type="dxa"/>
            <w:vMerge w:val="restart"/>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11640</w:t>
            </w:r>
          </w:p>
        </w:tc>
        <w:tc>
          <w:tcPr>
            <w:tcW w:w="127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Alleen artikel 3 met Nederlands diploma: 9,6 dagen</w:t>
            </w:r>
          </w:p>
        </w:tc>
        <w:tc>
          <w:tcPr>
            <w:tcW w:w="1276" w:type="dxa"/>
            <w:vMerge w:val="restart"/>
          </w:tcPr>
          <w:p w:rsidRPr="00A64FE8" w:rsidR="009E1608" w:rsidP="00FC2967" w:rsidRDefault="009E1608">
            <w:pPr>
              <w:pStyle w:val="Default"/>
              <w:rPr>
                <w:rFonts w:ascii="Arial" w:hAnsi="Arial" w:cs="Arial"/>
                <w:sz w:val="16"/>
                <w:szCs w:val="16"/>
              </w:rPr>
            </w:pPr>
            <w:r w:rsidRPr="00FC2967">
              <w:rPr>
                <w:rFonts w:ascii="Arial" w:hAnsi="Arial" w:cs="Arial"/>
                <w:sz w:val="16"/>
                <w:szCs w:val="16"/>
              </w:rPr>
              <w:t xml:space="preserve">Zie gemiddelde </w:t>
            </w:r>
            <w:proofErr w:type="spellStart"/>
            <w:r w:rsidRPr="00FC2967">
              <w:rPr>
                <w:rFonts w:ascii="Arial" w:hAnsi="Arial" w:cs="Arial"/>
                <w:sz w:val="16"/>
                <w:szCs w:val="16"/>
              </w:rPr>
              <w:t>afhandeling</w:t>
            </w:r>
            <w:r w:rsidR="00FC2967">
              <w:rPr>
                <w:rFonts w:ascii="Arial" w:hAnsi="Arial" w:cs="Arial"/>
                <w:sz w:val="16"/>
                <w:szCs w:val="16"/>
              </w:rPr>
              <w:t>s-</w:t>
            </w:r>
            <w:r w:rsidRPr="00FC2967">
              <w:rPr>
                <w:rFonts w:ascii="Arial" w:hAnsi="Arial" w:cs="Arial"/>
                <w:sz w:val="16"/>
                <w:szCs w:val="16"/>
              </w:rPr>
              <w:t>termijn</w:t>
            </w:r>
            <w:proofErr w:type="spellEnd"/>
          </w:p>
        </w:tc>
        <w:tc>
          <w:tcPr>
            <w:tcW w:w="1134" w:type="dxa"/>
            <w:vMerge w:val="restart"/>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c>
          <w:tcPr>
            <w:tcW w:w="992" w:type="dxa"/>
            <w:vMerge w:val="restart"/>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r>
      <w:tr w:rsidRPr="00A64FE8" w:rsidR="00FC2967" w:rsidTr="00FC2967">
        <w:trPr>
          <w:trHeight w:val="1102"/>
        </w:trPr>
        <w:tc>
          <w:tcPr>
            <w:tcW w:w="1526" w:type="dxa"/>
            <w:vMerge/>
          </w:tcPr>
          <w:p w:rsidRPr="00A64FE8" w:rsidR="009E1608" w:rsidP="00E467E4" w:rsidRDefault="009E1608">
            <w:pPr>
              <w:pStyle w:val="Default"/>
              <w:rPr>
                <w:rFonts w:ascii="Arial" w:hAnsi="Arial" w:cs="Arial"/>
                <w:b/>
                <w:sz w:val="16"/>
                <w:szCs w:val="16"/>
              </w:rPr>
            </w:pPr>
          </w:p>
        </w:tc>
        <w:tc>
          <w:tcPr>
            <w:tcW w:w="2126" w:type="dxa"/>
            <w:vMerge/>
          </w:tcPr>
          <w:p w:rsidRPr="00A64FE8" w:rsidR="009E1608" w:rsidP="00E467E4" w:rsidRDefault="009E1608">
            <w:pPr>
              <w:pStyle w:val="Default"/>
              <w:rPr>
                <w:rFonts w:ascii="Arial" w:hAnsi="Arial" w:cs="Arial"/>
                <w:sz w:val="16"/>
                <w:szCs w:val="16"/>
              </w:rPr>
            </w:pPr>
          </w:p>
        </w:tc>
        <w:tc>
          <w:tcPr>
            <w:tcW w:w="851" w:type="dxa"/>
            <w:vMerge/>
          </w:tcPr>
          <w:p w:rsidRPr="00A64FE8" w:rsidR="009E1608" w:rsidP="00E467E4" w:rsidRDefault="009E1608">
            <w:pPr>
              <w:pStyle w:val="Default"/>
              <w:rPr>
                <w:rFonts w:ascii="Arial" w:hAnsi="Arial" w:cs="Arial"/>
                <w:sz w:val="16"/>
                <w:szCs w:val="16"/>
              </w:rPr>
            </w:pPr>
          </w:p>
        </w:tc>
        <w:tc>
          <w:tcPr>
            <w:tcW w:w="127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Artikel 3 met aangewezen diploma en Nederlands diploma samen: 20,6 dagen</w:t>
            </w:r>
          </w:p>
        </w:tc>
        <w:tc>
          <w:tcPr>
            <w:tcW w:w="1276" w:type="dxa"/>
            <w:vMerge/>
          </w:tcPr>
          <w:p w:rsidRPr="00A64FE8" w:rsidR="009E1608" w:rsidP="00E467E4" w:rsidRDefault="009E1608">
            <w:pPr>
              <w:pStyle w:val="Default"/>
              <w:rPr>
                <w:rFonts w:ascii="Arial" w:hAnsi="Arial" w:cs="Arial"/>
                <w:sz w:val="16"/>
                <w:szCs w:val="16"/>
                <w:highlight w:val="yellow"/>
              </w:rPr>
            </w:pPr>
          </w:p>
        </w:tc>
        <w:tc>
          <w:tcPr>
            <w:tcW w:w="1134" w:type="dxa"/>
            <w:vMerge/>
          </w:tcPr>
          <w:p w:rsidRPr="00A64FE8" w:rsidR="009E1608" w:rsidP="00E467E4" w:rsidRDefault="009E1608">
            <w:pPr>
              <w:pStyle w:val="Default"/>
              <w:rPr>
                <w:rFonts w:ascii="Arial" w:hAnsi="Arial" w:cs="Arial"/>
                <w:sz w:val="16"/>
                <w:szCs w:val="16"/>
              </w:rPr>
            </w:pPr>
          </w:p>
        </w:tc>
        <w:tc>
          <w:tcPr>
            <w:tcW w:w="992" w:type="dxa"/>
            <w:vMerge/>
          </w:tcPr>
          <w:p w:rsidRPr="00A64FE8" w:rsidR="009E1608" w:rsidP="00E467E4" w:rsidRDefault="009E1608">
            <w:pPr>
              <w:pStyle w:val="Default"/>
              <w:rPr>
                <w:rFonts w:ascii="Arial" w:hAnsi="Arial" w:cs="Arial"/>
                <w:sz w:val="16"/>
                <w:szCs w:val="16"/>
              </w:rPr>
            </w:pPr>
          </w:p>
        </w:tc>
      </w:tr>
      <w:tr w:rsidRPr="00A64FE8" w:rsidR="00FC2967" w:rsidTr="00FC2967">
        <w:tc>
          <w:tcPr>
            <w:tcW w:w="1526"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Inspecties (registraties invoervergunningen ongeregistreerde medicijnen)</w:t>
            </w:r>
          </w:p>
        </w:tc>
        <w:tc>
          <w:tcPr>
            <w:tcW w:w="212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360</w:t>
            </w:r>
          </w:p>
        </w:tc>
        <w:tc>
          <w:tcPr>
            <w:tcW w:w="851"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123</w:t>
            </w:r>
          </w:p>
        </w:tc>
        <w:tc>
          <w:tcPr>
            <w:tcW w:w="1275" w:type="dxa"/>
          </w:tcPr>
          <w:p w:rsidRPr="00A64FE8" w:rsidR="009E1608" w:rsidP="00E467E4" w:rsidRDefault="009E1608">
            <w:pPr>
              <w:pStyle w:val="Default"/>
              <w:rPr>
                <w:rFonts w:ascii="Arial" w:hAnsi="Arial" w:cs="Arial"/>
                <w:sz w:val="16"/>
                <w:szCs w:val="16"/>
                <w:highlight w:val="yellow"/>
              </w:rPr>
            </w:pPr>
            <w:r w:rsidRPr="00FC2967">
              <w:rPr>
                <w:rFonts w:ascii="Arial" w:hAnsi="Arial" w:cs="Arial"/>
                <w:sz w:val="16"/>
                <w:szCs w:val="16"/>
              </w:rPr>
              <w:t>68% in minder dan  21 dagen</w:t>
            </w:r>
          </w:p>
        </w:tc>
        <w:tc>
          <w:tcPr>
            <w:tcW w:w="1276" w:type="dxa"/>
          </w:tcPr>
          <w:p w:rsidRPr="00A64FE8" w:rsidR="009E1608" w:rsidP="00E467E4" w:rsidRDefault="009E1608">
            <w:pPr>
              <w:pStyle w:val="Default"/>
              <w:rPr>
                <w:rFonts w:ascii="Arial" w:hAnsi="Arial" w:cs="Arial"/>
                <w:sz w:val="16"/>
                <w:szCs w:val="16"/>
                <w:highlight w:val="yellow"/>
              </w:rPr>
            </w:pPr>
            <w:r w:rsidRPr="00FC2967">
              <w:rPr>
                <w:rFonts w:ascii="Arial" w:hAnsi="Arial" w:cs="Arial"/>
                <w:sz w:val="16"/>
                <w:szCs w:val="16"/>
              </w:rPr>
              <w:t xml:space="preserve">Zie gemiddelde </w:t>
            </w:r>
            <w:proofErr w:type="spellStart"/>
            <w:r w:rsidRPr="00FC2967">
              <w:rPr>
                <w:rFonts w:ascii="Arial" w:hAnsi="Arial" w:cs="Arial"/>
                <w:sz w:val="16"/>
                <w:szCs w:val="16"/>
              </w:rPr>
              <w:t>afhandelings-termijn</w:t>
            </w:r>
            <w:proofErr w:type="spellEnd"/>
          </w:p>
        </w:tc>
        <w:tc>
          <w:tcPr>
            <w:tcW w:w="1134"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c>
          <w:tcPr>
            <w:tcW w:w="992"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r>
    </w:tbl>
    <w:p w:rsidR="009E1608" w:rsidP="00077E81" w:rsidRDefault="009E1608"/>
    <w:p w:rsidRPr="00617EA5" w:rsidR="009E1608" w:rsidP="00077E81" w:rsidRDefault="009E1608">
      <w:pPr>
        <w:rPr>
          <w:rFonts w:ascii="Verdana" w:hAnsi="Verdana"/>
          <w:b/>
          <w:sz w:val="18"/>
          <w:szCs w:val="18"/>
        </w:rPr>
      </w:pPr>
      <w:r w:rsidRPr="00617EA5">
        <w:rPr>
          <w:rFonts w:ascii="Verdana" w:hAnsi="Verdana"/>
          <w:b/>
          <w:sz w:val="18"/>
          <w:szCs w:val="18"/>
        </w:rPr>
        <w:t>Bezwaarschriften</w:t>
      </w:r>
    </w:p>
    <w:p w:rsidRPr="00617EA5" w:rsidR="009E1608" w:rsidP="00077E81" w:rsidRDefault="009E1608">
      <w:pPr>
        <w:rPr>
          <w:rFonts w:ascii="Verdana" w:hAnsi="Verdana"/>
          <w:sz w:val="18"/>
          <w:szCs w:val="18"/>
        </w:rPr>
      </w:pPr>
      <w:r w:rsidRPr="00617EA5">
        <w:rPr>
          <w:rFonts w:ascii="Verdana" w:hAnsi="Verdana"/>
          <w:sz w:val="18"/>
          <w:szCs w:val="18"/>
        </w:rPr>
        <w:t xml:space="preserve">De behandeling van bezwaarschriften, inclusief bezwaarschriften gericht aan de uitvoeringsdiensten en inspecties, wordt centraal gecoördineerd door de directie Wetgeving en Juridische Zaken van VWS. In 2009 ontving het kerndepartement 387 bezwaarschriften, in 2010 ontving VWS 540 </w:t>
      </w:r>
      <w:r w:rsidRPr="00617EA5">
        <w:rPr>
          <w:rFonts w:ascii="Verdana" w:hAnsi="Verdana"/>
          <w:sz w:val="18"/>
          <w:szCs w:val="18"/>
        </w:rPr>
        <w:lastRenderedPageBreak/>
        <w:t>bezwaarschriften. De uitvoeringsdiensten ontvingen in 2009 gezamenlijk 1354 bezwaarschriften, in 2010 waren dit er 491. Deze teruggang is te verklaren uit het feit dat in 2009 een groot aantal bezwaarschriften werd ingediend met betrekking tot het rookverbod. Veel bezwaren liepen door in 2010, maar zijn niet opnieuw meegeteld. De inspecties ontvingen 47 bezwaarschriften in 2009 en 97 bezwaarschriften in 2010.</w:t>
      </w:r>
    </w:p>
    <w:p w:rsidR="009E1608" w:rsidP="00077E81" w:rsidRDefault="009E1608">
      <w:pPr>
        <w:rPr>
          <w:rFonts w:ascii="Verdana" w:hAnsi="Verdana"/>
          <w:sz w:val="18"/>
          <w:szCs w:val="18"/>
        </w:rPr>
      </w:pPr>
      <w:r w:rsidRPr="00617EA5">
        <w:rPr>
          <w:rFonts w:ascii="Verdana" w:hAnsi="Verdana"/>
          <w:sz w:val="18"/>
          <w:szCs w:val="18"/>
        </w:rPr>
        <w:t>Bij VWS zien we in totaal in 2010 een daling van het aantal bezwaarschriften. Dit is te verklaren door de hierboven genoemde afname van het aantal bezwaarschriften gericht tegen boetebeschikkingen wegens het overtreden van de Warenwet, Drank- en Horecawet en Tabakswet.</w:t>
      </w:r>
    </w:p>
    <w:tbl>
      <w:tblP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tblPr>
      <w:tblGrid>
        <w:gridCol w:w="1668"/>
        <w:gridCol w:w="1134"/>
        <w:gridCol w:w="816"/>
        <w:gridCol w:w="1168"/>
        <w:gridCol w:w="1276"/>
        <w:gridCol w:w="1134"/>
        <w:gridCol w:w="1134"/>
        <w:gridCol w:w="1134"/>
      </w:tblGrid>
      <w:tr w:rsidRPr="00A64FE8" w:rsidR="009E1608" w:rsidTr="00A64FE8">
        <w:tc>
          <w:tcPr>
            <w:tcW w:w="1668" w:type="dxa"/>
          </w:tcPr>
          <w:p w:rsidRPr="00B30A95" w:rsidR="009E1608" w:rsidP="00E467E4" w:rsidRDefault="009E1608">
            <w:pPr>
              <w:pStyle w:val="Default"/>
              <w:rPr>
                <w:rFonts w:ascii="Arial" w:hAnsi="Arial" w:cs="Arial"/>
                <w:i/>
                <w:sz w:val="16"/>
                <w:szCs w:val="16"/>
              </w:rPr>
            </w:pPr>
            <w:r w:rsidRPr="00B30A95">
              <w:rPr>
                <w:rFonts w:ascii="Arial" w:hAnsi="Arial" w:cs="Arial"/>
                <w:i/>
                <w:sz w:val="16"/>
                <w:szCs w:val="16"/>
              </w:rPr>
              <w:t xml:space="preserve">Organisatie </w:t>
            </w:r>
          </w:p>
        </w:tc>
        <w:tc>
          <w:tcPr>
            <w:tcW w:w="1134"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Aantal verslagjaar -2</w:t>
            </w:r>
          </w:p>
        </w:tc>
        <w:tc>
          <w:tcPr>
            <w:tcW w:w="816"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Aantal verslagjaar -1 </w:t>
            </w:r>
          </w:p>
        </w:tc>
        <w:tc>
          <w:tcPr>
            <w:tcW w:w="1168"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Aantal verslagjaar </w:t>
            </w:r>
          </w:p>
        </w:tc>
        <w:tc>
          <w:tcPr>
            <w:tcW w:w="1276"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Percentage afgedaan binnen wettelijke termijn (zonder opschorting) verslagjaar</w:t>
            </w:r>
          </w:p>
        </w:tc>
        <w:tc>
          <w:tcPr>
            <w:tcW w:w="1134"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Percentage afgedaan binnen verdaagde wettelijke termijn</w:t>
            </w:r>
          </w:p>
        </w:tc>
        <w:tc>
          <w:tcPr>
            <w:tcW w:w="1134"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Aantal ontvangen </w:t>
            </w:r>
            <w:proofErr w:type="spellStart"/>
            <w:r w:rsidRPr="00A64FE8">
              <w:rPr>
                <w:rFonts w:ascii="Arial" w:hAnsi="Arial" w:cs="Arial"/>
                <w:b/>
                <w:sz w:val="16"/>
                <w:szCs w:val="16"/>
              </w:rPr>
              <w:t>ingebreke</w:t>
            </w:r>
            <w:proofErr w:type="spellEnd"/>
            <w:r w:rsidRPr="00A64FE8">
              <w:rPr>
                <w:rFonts w:ascii="Arial" w:hAnsi="Arial" w:cs="Arial"/>
                <w:b/>
                <w:sz w:val="16"/>
                <w:szCs w:val="16"/>
              </w:rPr>
              <w:t>-</w:t>
            </w:r>
          </w:p>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stellingen</w:t>
            </w:r>
          </w:p>
        </w:tc>
        <w:tc>
          <w:tcPr>
            <w:tcW w:w="1134"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Aantal</w:t>
            </w:r>
          </w:p>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betaalde</w:t>
            </w:r>
          </w:p>
          <w:p w:rsidRPr="00A64FE8" w:rsidR="009E1608" w:rsidP="00E467E4" w:rsidRDefault="009E1608">
            <w:pPr>
              <w:pStyle w:val="Default"/>
              <w:rPr>
                <w:rFonts w:ascii="Arial" w:hAnsi="Arial" w:cs="Arial"/>
                <w:b/>
                <w:sz w:val="16"/>
                <w:szCs w:val="16"/>
              </w:rPr>
            </w:pPr>
            <w:proofErr w:type="spellStart"/>
            <w:r w:rsidRPr="00A64FE8">
              <w:rPr>
                <w:rFonts w:ascii="Arial" w:hAnsi="Arial" w:cs="Arial"/>
                <w:b/>
                <w:sz w:val="16"/>
                <w:szCs w:val="16"/>
              </w:rPr>
              <w:t>dwangsom-men</w:t>
            </w:r>
            <w:proofErr w:type="spellEnd"/>
            <w:r w:rsidRPr="00A64FE8">
              <w:rPr>
                <w:rFonts w:ascii="Arial" w:hAnsi="Arial" w:cs="Arial"/>
                <w:b/>
                <w:sz w:val="16"/>
                <w:szCs w:val="16"/>
              </w:rPr>
              <w:t xml:space="preserve"> </w:t>
            </w:r>
          </w:p>
        </w:tc>
      </w:tr>
      <w:tr w:rsidRPr="00A64FE8" w:rsidR="009E1608" w:rsidTr="00A64FE8">
        <w:tc>
          <w:tcPr>
            <w:tcW w:w="1668"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Kerndepartement</w:t>
            </w:r>
          </w:p>
        </w:tc>
        <w:tc>
          <w:tcPr>
            <w:tcW w:w="1134"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318</w:t>
            </w:r>
          </w:p>
        </w:tc>
        <w:tc>
          <w:tcPr>
            <w:tcW w:w="81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387</w:t>
            </w:r>
          </w:p>
        </w:tc>
        <w:tc>
          <w:tcPr>
            <w:tcW w:w="1168"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540</w:t>
            </w:r>
          </w:p>
        </w:tc>
        <w:tc>
          <w:tcPr>
            <w:tcW w:w="2410" w:type="dxa"/>
            <w:gridSpan w:val="2"/>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30%</w:t>
            </w:r>
          </w:p>
          <w:p w:rsidRPr="00A64FE8" w:rsidR="009E1608" w:rsidP="00E467E4" w:rsidRDefault="009E1608">
            <w:pPr>
              <w:pStyle w:val="Default"/>
              <w:rPr>
                <w:rFonts w:ascii="Arial" w:hAnsi="Arial" w:cs="Arial"/>
                <w:sz w:val="16"/>
                <w:szCs w:val="16"/>
              </w:rPr>
            </w:pPr>
          </w:p>
        </w:tc>
        <w:tc>
          <w:tcPr>
            <w:tcW w:w="1134"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4</w:t>
            </w:r>
          </w:p>
        </w:tc>
        <w:tc>
          <w:tcPr>
            <w:tcW w:w="1134" w:type="dxa"/>
          </w:tcPr>
          <w:p w:rsidRPr="00A64FE8" w:rsidR="009E1608" w:rsidP="00A64FE8" w:rsidRDefault="009E1608">
            <w:pPr>
              <w:spacing w:after="0" w:line="240" w:lineRule="auto"/>
              <w:rPr>
                <w:rFonts w:ascii="Verdana" w:hAnsi="Verdana"/>
                <w:sz w:val="18"/>
                <w:szCs w:val="18"/>
              </w:rPr>
            </w:pPr>
            <w:r w:rsidRPr="00A64FE8">
              <w:rPr>
                <w:rFonts w:ascii="Verdana" w:hAnsi="Verdana"/>
                <w:sz w:val="18"/>
                <w:szCs w:val="18"/>
              </w:rPr>
              <w:t>4</w:t>
            </w:r>
          </w:p>
        </w:tc>
      </w:tr>
      <w:tr w:rsidRPr="00A64FE8" w:rsidR="009E1608" w:rsidTr="00A64FE8">
        <w:tc>
          <w:tcPr>
            <w:tcW w:w="1668"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Uitvoerende diensten</w:t>
            </w:r>
          </w:p>
        </w:tc>
        <w:tc>
          <w:tcPr>
            <w:tcW w:w="1134"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548</w:t>
            </w:r>
          </w:p>
        </w:tc>
        <w:tc>
          <w:tcPr>
            <w:tcW w:w="81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1354</w:t>
            </w:r>
          </w:p>
        </w:tc>
        <w:tc>
          <w:tcPr>
            <w:tcW w:w="1168"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491</w:t>
            </w:r>
          </w:p>
        </w:tc>
        <w:tc>
          <w:tcPr>
            <w:tcW w:w="2410" w:type="dxa"/>
            <w:gridSpan w:val="2"/>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 xml:space="preserve">30% </w:t>
            </w:r>
          </w:p>
          <w:p w:rsidRPr="00A64FE8" w:rsidR="009E1608" w:rsidP="00E467E4" w:rsidRDefault="009E1608">
            <w:pPr>
              <w:pStyle w:val="Default"/>
              <w:rPr>
                <w:rFonts w:ascii="Arial" w:hAnsi="Arial" w:cs="Arial"/>
                <w:sz w:val="16"/>
                <w:szCs w:val="16"/>
              </w:rPr>
            </w:pPr>
          </w:p>
          <w:p w:rsidRPr="00A64FE8" w:rsidR="009E1608" w:rsidP="00E467E4" w:rsidRDefault="009E1608">
            <w:pPr>
              <w:pStyle w:val="Default"/>
              <w:rPr>
                <w:rFonts w:ascii="Arial" w:hAnsi="Arial" w:cs="Arial"/>
                <w:sz w:val="16"/>
                <w:szCs w:val="16"/>
              </w:rPr>
            </w:pPr>
          </w:p>
        </w:tc>
        <w:tc>
          <w:tcPr>
            <w:tcW w:w="1134"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3</w:t>
            </w:r>
          </w:p>
        </w:tc>
        <w:tc>
          <w:tcPr>
            <w:tcW w:w="1134" w:type="dxa"/>
          </w:tcPr>
          <w:p w:rsidRPr="00A64FE8" w:rsidR="009E1608" w:rsidP="00A64FE8" w:rsidRDefault="009E1608">
            <w:pPr>
              <w:spacing w:after="0" w:line="240" w:lineRule="auto"/>
              <w:rPr>
                <w:rFonts w:ascii="Verdana" w:hAnsi="Verdana"/>
                <w:sz w:val="18"/>
                <w:szCs w:val="18"/>
              </w:rPr>
            </w:pPr>
            <w:r w:rsidRPr="00A64FE8">
              <w:rPr>
                <w:rFonts w:ascii="Verdana" w:hAnsi="Verdana"/>
                <w:sz w:val="18"/>
                <w:szCs w:val="18"/>
              </w:rPr>
              <w:t>1</w:t>
            </w:r>
          </w:p>
        </w:tc>
      </w:tr>
      <w:tr w:rsidRPr="00A64FE8" w:rsidR="009E1608" w:rsidTr="00A64FE8">
        <w:tc>
          <w:tcPr>
            <w:tcW w:w="1668"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Inspecties</w:t>
            </w:r>
          </w:p>
        </w:tc>
        <w:tc>
          <w:tcPr>
            <w:tcW w:w="1134"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4</w:t>
            </w:r>
          </w:p>
        </w:tc>
        <w:tc>
          <w:tcPr>
            <w:tcW w:w="81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47</w:t>
            </w:r>
          </w:p>
        </w:tc>
        <w:tc>
          <w:tcPr>
            <w:tcW w:w="1168"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97</w:t>
            </w:r>
          </w:p>
        </w:tc>
        <w:tc>
          <w:tcPr>
            <w:tcW w:w="2410" w:type="dxa"/>
            <w:gridSpan w:val="2"/>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31%</w:t>
            </w:r>
          </w:p>
          <w:p w:rsidRPr="00A64FE8" w:rsidR="009E1608" w:rsidP="00E467E4" w:rsidRDefault="009E1608">
            <w:pPr>
              <w:pStyle w:val="Default"/>
              <w:rPr>
                <w:rFonts w:ascii="Arial" w:hAnsi="Arial" w:cs="Arial"/>
                <w:sz w:val="16"/>
                <w:szCs w:val="16"/>
              </w:rPr>
            </w:pPr>
          </w:p>
        </w:tc>
        <w:tc>
          <w:tcPr>
            <w:tcW w:w="1134"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3</w:t>
            </w:r>
          </w:p>
        </w:tc>
        <w:tc>
          <w:tcPr>
            <w:tcW w:w="1134" w:type="dxa"/>
          </w:tcPr>
          <w:p w:rsidRPr="00A64FE8" w:rsidR="009E1608" w:rsidP="00A64FE8" w:rsidRDefault="009E1608">
            <w:pPr>
              <w:spacing w:after="0" w:line="240" w:lineRule="auto"/>
              <w:rPr>
                <w:rFonts w:ascii="Verdana" w:hAnsi="Verdana"/>
                <w:sz w:val="18"/>
                <w:szCs w:val="18"/>
              </w:rPr>
            </w:pPr>
            <w:r w:rsidRPr="00A64FE8">
              <w:rPr>
                <w:rFonts w:ascii="Verdana" w:hAnsi="Verdana"/>
                <w:sz w:val="18"/>
                <w:szCs w:val="18"/>
              </w:rPr>
              <w:t>0</w:t>
            </w:r>
          </w:p>
        </w:tc>
      </w:tr>
    </w:tbl>
    <w:p w:rsidR="009E1608" w:rsidP="00077E81" w:rsidRDefault="009E1608"/>
    <w:p w:rsidRPr="00617EA5" w:rsidR="009E1608" w:rsidP="00077E81" w:rsidRDefault="009E1608">
      <w:pPr>
        <w:rPr>
          <w:rFonts w:ascii="Verdana" w:hAnsi="Verdana"/>
          <w:sz w:val="18"/>
          <w:szCs w:val="18"/>
        </w:rPr>
      </w:pPr>
      <w:r w:rsidRPr="00617EA5">
        <w:rPr>
          <w:rFonts w:ascii="Verdana" w:hAnsi="Verdana"/>
          <w:sz w:val="18"/>
          <w:szCs w:val="18"/>
        </w:rPr>
        <w:t>De behandeltermijn van bezwaarschriften bleek in 30% van de gevallen binnen de wettelijke termijn te vallen. Hierbij wordt geen onderscheid gemaakt tussen de eerste termijn (zonder opschorting) en de tweede termijn. Dit heeft in een zeer beperkt aantal gevallen (5) geleid tot het betalen van dwangsommen door VWS.</w:t>
      </w:r>
    </w:p>
    <w:p w:rsidRPr="00617EA5" w:rsidR="009E1608" w:rsidP="00077E81" w:rsidRDefault="009E1608">
      <w:pPr>
        <w:rPr>
          <w:rFonts w:ascii="Verdana" w:hAnsi="Verdana"/>
          <w:sz w:val="18"/>
          <w:szCs w:val="18"/>
        </w:rPr>
      </w:pPr>
      <w:r w:rsidRPr="00617EA5">
        <w:rPr>
          <w:rFonts w:ascii="Verdana" w:hAnsi="Verdana"/>
          <w:sz w:val="18"/>
          <w:szCs w:val="18"/>
        </w:rPr>
        <w:t>Hoewel het handelen binnen de termijn uitgangspunt is, kan nog wel de kanttekening worden geplaatst dat VWS, mede doordat er veel informeel contact is met bezwaarden, vrijwel nooit klachten krijgt over het niet halen van de wettelijke termijnen.</w:t>
      </w:r>
    </w:p>
    <w:p w:rsidRPr="00617EA5" w:rsidR="009E1608" w:rsidP="00077E81" w:rsidRDefault="009E1608">
      <w:pPr>
        <w:rPr>
          <w:rFonts w:ascii="Verdana" w:hAnsi="Verdana"/>
          <w:sz w:val="18"/>
          <w:szCs w:val="18"/>
        </w:rPr>
      </w:pPr>
    </w:p>
    <w:p w:rsidRPr="00617EA5" w:rsidR="009E1608" w:rsidP="00077E81" w:rsidRDefault="009E1608">
      <w:pPr>
        <w:rPr>
          <w:rFonts w:ascii="Verdana" w:hAnsi="Verdana"/>
          <w:b/>
          <w:sz w:val="18"/>
          <w:szCs w:val="18"/>
        </w:rPr>
      </w:pPr>
      <w:r w:rsidRPr="00617EA5">
        <w:rPr>
          <w:rFonts w:ascii="Verdana" w:hAnsi="Verdana"/>
          <w:b/>
          <w:sz w:val="18"/>
          <w:szCs w:val="18"/>
        </w:rPr>
        <w:t>Klaagschriften</w:t>
      </w:r>
    </w:p>
    <w:p w:rsidRPr="00617EA5" w:rsidR="009E1608" w:rsidP="00077E81" w:rsidRDefault="009E1608">
      <w:pPr>
        <w:rPr>
          <w:rFonts w:ascii="Verdana" w:hAnsi="Verdana"/>
          <w:sz w:val="18"/>
          <w:szCs w:val="18"/>
        </w:rPr>
      </w:pPr>
      <w:r w:rsidRPr="00617EA5">
        <w:rPr>
          <w:rFonts w:ascii="Verdana" w:hAnsi="Verdana"/>
          <w:sz w:val="18"/>
          <w:szCs w:val="18"/>
        </w:rPr>
        <w:t xml:space="preserve">Sinds medio 2010 wordt de behandeling van klaagschriften niet meer centraal gecoördineerd door de Directie Wetgeving en Juridische Zaken. Alle kerndirecties evenals uitvoeringsdiensten en inspecties voeren sindsdien zelf, volgens richtlijnen vanuit de Directie Wetgeving en Juridische Zaken, de behandeling en registratie van klaagschriften uit. </w:t>
      </w:r>
    </w:p>
    <w:p w:rsidRPr="00617EA5" w:rsidR="009E1608" w:rsidP="00077E81" w:rsidRDefault="009E1608">
      <w:pPr>
        <w:rPr>
          <w:rFonts w:ascii="Verdana" w:hAnsi="Verdana"/>
          <w:sz w:val="18"/>
          <w:szCs w:val="18"/>
        </w:rPr>
      </w:pPr>
      <w:r w:rsidRPr="00617EA5">
        <w:rPr>
          <w:rFonts w:ascii="Verdana" w:hAnsi="Verdana"/>
          <w:sz w:val="18"/>
          <w:szCs w:val="18"/>
        </w:rPr>
        <w:t>In de Rapportage Burgerbrieven 2009 die mijn ambtsvoorganger in mei 2010 aan uw Kamer zond, was het overzicht van 2008 opgenomen. Volledigheidshalve laat ik u hierbij weten dat VWS in 2009 197 klachten ontving. Hiervan werden er 12 ingediend bij het kerndepartement, 78 bij het CIBG, 52 bij het College Beoordeling Geneesmiddelen (CBG), 26 bij de IGZ en 29 bij het Rijksinstituut voor Volksgezondheid en Milieu (RIVM). Dit overzicht is ook gepubliceerd in de Staatscourant.</w:t>
      </w:r>
    </w:p>
    <w:p w:rsidRPr="00617EA5" w:rsidR="00B518FB" w:rsidP="00077E81" w:rsidRDefault="009E1608">
      <w:pPr>
        <w:rPr>
          <w:rFonts w:ascii="Verdana" w:hAnsi="Verdana"/>
          <w:sz w:val="18"/>
          <w:szCs w:val="18"/>
        </w:rPr>
      </w:pPr>
      <w:r w:rsidRPr="00617EA5">
        <w:rPr>
          <w:rFonts w:ascii="Verdana" w:hAnsi="Verdana"/>
          <w:sz w:val="18"/>
          <w:szCs w:val="18"/>
        </w:rPr>
        <w:t>In 2010 ontving VWS 141 klachten. Hiervan werden er 8 ingediend bij het kerndepartement, 56 bij het CIBG, 34 bij het CBG, 27 bij de IGZ en 16 bij het RIVM. Daarnaast heeft de Nationale Ombudsman van vijf klachten bij de IGZ een rapport en/of een verslag van bevindingen opgesteld.</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
      <w:tblGrid>
        <w:gridCol w:w="2660"/>
        <w:gridCol w:w="2693"/>
        <w:gridCol w:w="3827"/>
      </w:tblGrid>
      <w:tr w:rsidRPr="00A64FE8" w:rsidR="009E1608" w:rsidTr="00B518FB">
        <w:tc>
          <w:tcPr>
            <w:tcW w:w="2660" w:type="dxa"/>
          </w:tcPr>
          <w:p w:rsidRPr="00B30A95" w:rsidR="009E1608" w:rsidP="00E467E4" w:rsidRDefault="00B30A95">
            <w:pPr>
              <w:pStyle w:val="Default"/>
              <w:rPr>
                <w:rFonts w:ascii="Arial" w:hAnsi="Arial" w:cs="Arial"/>
                <w:i/>
                <w:sz w:val="16"/>
                <w:szCs w:val="16"/>
              </w:rPr>
            </w:pPr>
            <w:r w:rsidRPr="00B30A95">
              <w:rPr>
                <w:rFonts w:ascii="Arial" w:hAnsi="Arial" w:cs="Arial"/>
                <w:i/>
                <w:sz w:val="16"/>
                <w:szCs w:val="16"/>
              </w:rPr>
              <w:t>Organisatie</w:t>
            </w:r>
          </w:p>
          <w:p w:rsidRPr="00A64FE8" w:rsidR="00B30A95" w:rsidP="00E467E4" w:rsidRDefault="00B30A95">
            <w:pPr>
              <w:pStyle w:val="Default"/>
              <w:rPr>
                <w:rFonts w:ascii="Arial" w:hAnsi="Arial" w:cs="Arial"/>
                <w:b/>
                <w:sz w:val="16"/>
                <w:szCs w:val="16"/>
              </w:rPr>
            </w:pPr>
          </w:p>
        </w:tc>
        <w:tc>
          <w:tcPr>
            <w:tcW w:w="2693"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Aantal verslagjaar -1 </w:t>
            </w:r>
          </w:p>
        </w:tc>
        <w:tc>
          <w:tcPr>
            <w:tcW w:w="3827"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Aantal verslagjaar </w:t>
            </w:r>
          </w:p>
        </w:tc>
      </w:tr>
      <w:tr w:rsidRPr="00A64FE8" w:rsidR="009E1608" w:rsidTr="00B518FB">
        <w:tc>
          <w:tcPr>
            <w:tcW w:w="2660" w:type="dxa"/>
          </w:tcPr>
          <w:p w:rsidR="009E1608" w:rsidP="00E467E4" w:rsidRDefault="009E1608">
            <w:pPr>
              <w:pStyle w:val="Default"/>
              <w:rPr>
                <w:rFonts w:ascii="Arial" w:hAnsi="Arial" w:cs="Arial"/>
                <w:b/>
                <w:sz w:val="16"/>
                <w:szCs w:val="16"/>
              </w:rPr>
            </w:pPr>
            <w:r w:rsidRPr="00A64FE8">
              <w:rPr>
                <w:rFonts w:ascii="Arial" w:hAnsi="Arial" w:cs="Arial"/>
                <w:b/>
                <w:sz w:val="16"/>
                <w:szCs w:val="16"/>
              </w:rPr>
              <w:t>Kerndepartement</w:t>
            </w:r>
          </w:p>
          <w:p w:rsidRPr="00A64FE8" w:rsidR="00B30A95" w:rsidP="00E467E4" w:rsidRDefault="00B30A95">
            <w:pPr>
              <w:pStyle w:val="Default"/>
              <w:rPr>
                <w:rFonts w:ascii="Arial" w:hAnsi="Arial" w:cs="Arial"/>
                <w:b/>
                <w:sz w:val="16"/>
                <w:szCs w:val="16"/>
              </w:rPr>
            </w:pPr>
          </w:p>
        </w:tc>
        <w:tc>
          <w:tcPr>
            <w:tcW w:w="2693"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12</w:t>
            </w:r>
          </w:p>
        </w:tc>
        <w:tc>
          <w:tcPr>
            <w:tcW w:w="3827"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8</w:t>
            </w:r>
          </w:p>
        </w:tc>
      </w:tr>
      <w:tr w:rsidRPr="00A64FE8" w:rsidR="009E1608" w:rsidTr="00B518FB">
        <w:tc>
          <w:tcPr>
            <w:tcW w:w="2660" w:type="dxa"/>
          </w:tcPr>
          <w:p w:rsidR="009E1608" w:rsidP="00E467E4" w:rsidRDefault="009E1608">
            <w:pPr>
              <w:pStyle w:val="Default"/>
              <w:rPr>
                <w:rFonts w:ascii="Arial" w:hAnsi="Arial" w:cs="Arial"/>
                <w:b/>
                <w:sz w:val="16"/>
                <w:szCs w:val="16"/>
              </w:rPr>
            </w:pPr>
            <w:r w:rsidRPr="00A64FE8">
              <w:rPr>
                <w:rFonts w:ascii="Arial" w:hAnsi="Arial" w:cs="Arial"/>
                <w:b/>
                <w:sz w:val="16"/>
                <w:szCs w:val="16"/>
              </w:rPr>
              <w:t>Uitvoerende diensten</w:t>
            </w:r>
          </w:p>
          <w:p w:rsidRPr="00A64FE8" w:rsidR="00B30A95" w:rsidP="00E467E4" w:rsidRDefault="00B30A95">
            <w:pPr>
              <w:pStyle w:val="Default"/>
              <w:rPr>
                <w:rFonts w:ascii="Arial" w:hAnsi="Arial" w:cs="Arial"/>
                <w:b/>
                <w:sz w:val="16"/>
                <w:szCs w:val="16"/>
              </w:rPr>
            </w:pPr>
          </w:p>
        </w:tc>
        <w:tc>
          <w:tcPr>
            <w:tcW w:w="2693"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159</w:t>
            </w:r>
          </w:p>
        </w:tc>
        <w:tc>
          <w:tcPr>
            <w:tcW w:w="3827"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106</w:t>
            </w:r>
          </w:p>
        </w:tc>
      </w:tr>
      <w:tr w:rsidRPr="00A64FE8" w:rsidR="009E1608" w:rsidTr="00B518FB">
        <w:tc>
          <w:tcPr>
            <w:tcW w:w="2660" w:type="dxa"/>
          </w:tcPr>
          <w:p w:rsidR="009E1608" w:rsidP="00E467E4" w:rsidRDefault="009E1608">
            <w:pPr>
              <w:pStyle w:val="Default"/>
              <w:rPr>
                <w:rFonts w:ascii="Arial" w:hAnsi="Arial" w:cs="Arial"/>
                <w:b/>
                <w:sz w:val="16"/>
                <w:szCs w:val="16"/>
              </w:rPr>
            </w:pPr>
            <w:r w:rsidRPr="00A64FE8">
              <w:rPr>
                <w:rFonts w:ascii="Arial" w:hAnsi="Arial" w:cs="Arial"/>
                <w:b/>
                <w:sz w:val="16"/>
                <w:szCs w:val="16"/>
              </w:rPr>
              <w:t>Inspecties</w:t>
            </w:r>
          </w:p>
          <w:p w:rsidRPr="00A64FE8" w:rsidR="00B30A95" w:rsidP="00E467E4" w:rsidRDefault="00B30A95">
            <w:pPr>
              <w:pStyle w:val="Default"/>
              <w:rPr>
                <w:rFonts w:ascii="Arial" w:hAnsi="Arial" w:cs="Arial"/>
                <w:b/>
                <w:sz w:val="16"/>
                <w:szCs w:val="16"/>
              </w:rPr>
            </w:pPr>
          </w:p>
        </w:tc>
        <w:tc>
          <w:tcPr>
            <w:tcW w:w="2693"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26</w:t>
            </w:r>
          </w:p>
        </w:tc>
        <w:tc>
          <w:tcPr>
            <w:tcW w:w="3827"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27</w:t>
            </w:r>
          </w:p>
        </w:tc>
      </w:tr>
    </w:tbl>
    <w:p w:rsidRPr="00617EA5" w:rsidR="009E1608" w:rsidP="00077E81" w:rsidRDefault="00B518FB">
      <w:pPr>
        <w:rPr>
          <w:rFonts w:ascii="Verdana" w:hAnsi="Verdana"/>
          <w:b/>
          <w:sz w:val="18"/>
          <w:szCs w:val="18"/>
        </w:rPr>
      </w:pPr>
      <w:r>
        <w:rPr>
          <w:rFonts w:ascii="Verdana" w:hAnsi="Verdana"/>
          <w:b/>
          <w:sz w:val="18"/>
          <w:szCs w:val="18"/>
        </w:rPr>
        <w:lastRenderedPageBreak/>
        <w:t>O</w:t>
      </w:r>
      <w:r w:rsidRPr="00617EA5" w:rsidR="009E1608">
        <w:rPr>
          <w:rFonts w:ascii="Verdana" w:hAnsi="Verdana"/>
          <w:b/>
          <w:sz w:val="18"/>
          <w:szCs w:val="18"/>
        </w:rPr>
        <w:t>verige brieven</w:t>
      </w:r>
    </w:p>
    <w:p w:rsidRPr="00617EA5" w:rsidR="009E1608" w:rsidP="00077E81" w:rsidRDefault="009E1608">
      <w:pPr>
        <w:rPr>
          <w:rFonts w:ascii="Verdana" w:hAnsi="Verdana"/>
          <w:i/>
          <w:sz w:val="18"/>
          <w:szCs w:val="18"/>
        </w:rPr>
      </w:pPr>
      <w:r w:rsidRPr="00617EA5">
        <w:rPr>
          <w:rFonts w:ascii="Verdana" w:hAnsi="Verdana"/>
          <w:i/>
          <w:sz w:val="18"/>
          <w:szCs w:val="18"/>
        </w:rPr>
        <w:t>VWS kern</w:t>
      </w:r>
    </w:p>
    <w:p w:rsidRPr="00617EA5" w:rsidR="00B1722F" w:rsidP="00B1722F" w:rsidRDefault="009E1608">
      <w:pPr>
        <w:rPr>
          <w:rFonts w:ascii="Verdana" w:hAnsi="Verdana"/>
          <w:sz w:val="18"/>
          <w:szCs w:val="18"/>
        </w:rPr>
      </w:pPr>
      <w:r w:rsidRPr="00617EA5">
        <w:rPr>
          <w:rFonts w:ascii="Verdana" w:hAnsi="Verdana"/>
          <w:sz w:val="18"/>
          <w:szCs w:val="18"/>
        </w:rPr>
        <w:t xml:space="preserve">In 2009 ontving VWS 2457 burgerbrieven. In 2010 ontving VWS 2885 burgerbrieven, een aanzienlijke stijging ten opzichte van 2009 (ruim 17%). De gemiddelde beantwoordingtermijn van deze brieven is 42 dagen. </w:t>
      </w:r>
      <w:r w:rsidRPr="00617EA5" w:rsidR="00B1722F">
        <w:rPr>
          <w:rFonts w:ascii="Verdana" w:hAnsi="Verdana"/>
          <w:sz w:val="18"/>
          <w:szCs w:val="18"/>
        </w:rPr>
        <w:t xml:space="preserve"> </w:t>
      </w:r>
    </w:p>
    <w:p w:rsidRPr="00617EA5" w:rsidR="009E1608" w:rsidP="00077E81" w:rsidRDefault="009E1608">
      <w:pPr>
        <w:rPr>
          <w:rFonts w:ascii="Verdana" w:hAnsi="Verdana"/>
          <w:sz w:val="18"/>
          <w:szCs w:val="18"/>
        </w:rPr>
      </w:pPr>
      <w:r w:rsidRPr="00617EA5">
        <w:rPr>
          <w:rFonts w:ascii="Verdana" w:hAnsi="Verdana"/>
          <w:sz w:val="18"/>
          <w:szCs w:val="18"/>
        </w:rPr>
        <w:t>Er is tevens gebleken dat 77% van de brieven niet binnen de door de Nationale Ombudsman vastgestelde maximum termijn van drie weken is beantwoord. Bij een maximum termijn van vier weken is dit 71% en bij een maximumtermijn van zes weken is dit teruggelopen naar 53%.</w:t>
      </w:r>
      <w:r w:rsidRPr="00617EA5" w:rsidR="00B1722F">
        <w:rPr>
          <w:rFonts w:ascii="Verdana" w:hAnsi="Verdana"/>
          <w:sz w:val="18"/>
          <w:szCs w:val="18"/>
        </w:rPr>
        <w:t xml:space="preserve"> Daarbij valt nog aan te tekenen dat bij de meeste brieven die langer dan 3 weken in behandeling zijn geweest er nadere briefwisseling of telefonisch contact heeft plaatsgevonden om nadere informatie op te vragen bij de burger. Dit kan tot vertraging hebben geleid bij de definitieve beantwoording. Daarnaast geldt dat brieven gericht aan de Koningin op het terrein van het ministerie van VWS een langere </w:t>
      </w:r>
      <w:r w:rsidRPr="00617EA5" w:rsidR="00E80524">
        <w:rPr>
          <w:rFonts w:ascii="Verdana" w:hAnsi="Verdana"/>
          <w:sz w:val="18"/>
          <w:szCs w:val="18"/>
        </w:rPr>
        <w:t>afhandelingduur</w:t>
      </w:r>
      <w:r w:rsidRPr="00617EA5" w:rsidR="00B1722F">
        <w:rPr>
          <w:rFonts w:ascii="Verdana" w:hAnsi="Verdana"/>
          <w:sz w:val="18"/>
          <w:szCs w:val="18"/>
        </w:rPr>
        <w:t xml:space="preserve"> vragen. Deze worden namens de </w:t>
      </w:r>
      <w:r w:rsidRPr="00617EA5" w:rsidR="00E80524">
        <w:rPr>
          <w:rFonts w:ascii="Verdana" w:hAnsi="Verdana"/>
          <w:sz w:val="18"/>
          <w:szCs w:val="18"/>
        </w:rPr>
        <w:t>Koningin</w:t>
      </w:r>
      <w:r w:rsidRPr="00617EA5" w:rsidR="00B1722F">
        <w:rPr>
          <w:rFonts w:ascii="Verdana" w:hAnsi="Verdana"/>
          <w:sz w:val="18"/>
          <w:szCs w:val="18"/>
        </w:rPr>
        <w:t xml:space="preserve"> beantwoord door de bewindspersonen, hetgeen gezien de administratieve procedures meer tijd kost dan een burgerbrief</w:t>
      </w:r>
      <w:r w:rsidRPr="00617EA5" w:rsidR="00E80524">
        <w:rPr>
          <w:rFonts w:ascii="Verdana" w:hAnsi="Verdana"/>
          <w:sz w:val="18"/>
          <w:szCs w:val="18"/>
        </w:rPr>
        <w:t xml:space="preserve"> gericht aan een bewindspersoon van VWS/J&amp;G</w:t>
      </w:r>
      <w:r w:rsidRPr="00617EA5" w:rsidR="00B1722F">
        <w:rPr>
          <w:rFonts w:ascii="Verdana" w:hAnsi="Verdana"/>
          <w:sz w:val="18"/>
          <w:szCs w:val="18"/>
        </w:rPr>
        <w:t xml:space="preserve"> die door een directeur van VWS wordt ondertekend.</w:t>
      </w:r>
    </w:p>
    <w:p w:rsidRPr="00C3268A" w:rsidR="00E80524" w:rsidP="00764F69" w:rsidRDefault="00E80524">
      <w:pPr>
        <w:pStyle w:val="Default"/>
        <w:rPr>
          <w:rFonts w:ascii="Arial" w:hAnsi="Arial" w:cs="Arial"/>
          <w:b/>
          <w:color w:val="FF0000"/>
          <w:sz w:val="16"/>
          <w:szCs w:val="16"/>
        </w:rPr>
      </w:pPr>
    </w:p>
    <w:tbl>
      <w:tblPr>
        <w:tblW w:w="4942" w:type="pct"/>
        <w:tblBorders>
          <w:top w:val="single" w:color="000000" w:sz="8" w:space="0"/>
          <w:left w:val="single" w:color="000000" w:sz="8" w:space="0"/>
          <w:bottom w:val="single" w:color="000000" w:sz="8" w:space="0"/>
          <w:right w:val="single" w:color="000000" w:sz="8" w:space="0"/>
        </w:tblBorders>
        <w:tblLook w:val="0000"/>
      </w:tblPr>
      <w:tblGrid>
        <w:gridCol w:w="2233"/>
        <w:gridCol w:w="1562"/>
        <w:gridCol w:w="1985"/>
        <w:gridCol w:w="3400"/>
      </w:tblGrid>
      <w:tr w:rsidRPr="00A64FE8" w:rsidR="009E1608" w:rsidTr="00B518FB">
        <w:trPr>
          <w:trHeight w:val="545"/>
        </w:trPr>
        <w:tc>
          <w:tcPr>
            <w:tcW w:w="1216" w:type="pct"/>
            <w:tcBorders>
              <w:top w:val="single" w:color="000000" w:sz="8" w:space="0"/>
              <w:bottom w:val="single" w:color="000000" w:sz="8" w:space="0"/>
              <w:right w:val="single" w:color="000000" w:sz="8" w:space="0"/>
            </w:tcBorders>
          </w:tcPr>
          <w:p w:rsidRPr="00B30A95" w:rsidR="009E1608" w:rsidP="00E467E4" w:rsidRDefault="00B30A95">
            <w:pPr>
              <w:pStyle w:val="Default"/>
              <w:rPr>
                <w:rFonts w:ascii="Arial" w:hAnsi="Arial" w:cs="Arial"/>
                <w:i/>
                <w:sz w:val="16"/>
                <w:szCs w:val="16"/>
              </w:rPr>
            </w:pPr>
            <w:r w:rsidRPr="00B30A95">
              <w:rPr>
                <w:rFonts w:ascii="Arial" w:hAnsi="Arial" w:cs="Arial"/>
                <w:i/>
                <w:sz w:val="16"/>
                <w:szCs w:val="16"/>
              </w:rPr>
              <w:t>Organisatie</w:t>
            </w:r>
          </w:p>
        </w:tc>
        <w:tc>
          <w:tcPr>
            <w:tcW w:w="851" w:type="pct"/>
            <w:tcBorders>
              <w:top w:val="single" w:color="000000" w:sz="8" w:space="0"/>
              <w:left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b/>
                <w:sz w:val="16"/>
                <w:szCs w:val="16"/>
              </w:rPr>
            </w:pPr>
            <w:r w:rsidRPr="00C3268A">
              <w:rPr>
                <w:rFonts w:ascii="Arial" w:hAnsi="Arial" w:cs="Arial"/>
                <w:b/>
                <w:sz w:val="16"/>
                <w:szCs w:val="16"/>
              </w:rPr>
              <w:t xml:space="preserve">Aantal verslagjaar -1 </w:t>
            </w:r>
          </w:p>
        </w:tc>
        <w:tc>
          <w:tcPr>
            <w:tcW w:w="1081" w:type="pct"/>
            <w:tcBorders>
              <w:top w:val="single" w:color="000000" w:sz="8" w:space="0"/>
              <w:left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b/>
                <w:sz w:val="16"/>
                <w:szCs w:val="16"/>
              </w:rPr>
            </w:pPr>
            <w:r w:rsidRPr="00C3268A">
              <w:rPr>
                <w:rFonts w:ascii="Arial" w:hAnsi="Arial" w:cs="Arial"/>
                <w:b/>
                <w:sz w:val="16"/>
                <w:szCs w:val="16"/>
              </w:rPr>
              <w:t xml:space="preserve">Aantal verslagjaar </w:t>
            </w:r>
          </w:p>
        </w:tc>
        <w:tc>
          <w:tcPr>
            <w:tcW w:w="1852" w:type="pct"/>
            <w:tcBorders>
              <w:top w:val="single" w:color="000000" w:sz="8" w:space="0"/>
              <w:left w:val="single" w:color="000000" w:sz="8" w:space="0"/>
              <w:bottom w:val="single" w:color="000000" w:sz="8" w:space="0"/>
            </w:tcBorders>
          </w:tcPr>
          <w:p w:rsidRPr="00C3268A" w:rsidR="009E1608" w:rsidP="00E467E4" w:rsidRDefault="009E1608">
            <w:pPr>
              <w:pStyle w:val="Default"/>
              <w:rPr>
                <w:rFonts w:ascii="Arial" w:hAnsi="Arial" w:cs="Arial"/>
                <w:b/>
                <w:sz w:val="16"/>
                <w:szCs w:val="16"/>
              </w:rPr>
            </w:pPr>
            <w:r w:rsidRPr="00C3268A">
              <w:rPr>
                <w:rFonts w:ascii="Arial" w:hAnsi="Arial" w:cs="Arial"/>
                <w:b/>
                <w:sz w:val="16"/>
                <w:szCs w:val="16"/>
              </w:rPr>
              <w:t xml:space="preserve">Gemiddelde behandeltijd verslagjaar </w:t>
            </w:r>
          </w:p>
        </w:tc>
      </w:tr>
      <w:tr w:rsidRPr="00A64FE8" w:rsidR="009E1608" w:rsidTr="00B518FB">
        <w:trPr>
          <w:trHeight w:val="545"/>
        </w:trPr>
        <w:tc>
          <w:tcPr>
            <w:tcW w:w="1216" w:type="pct"/>
            <w:tcBorders>
              <w:top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b/>
                <w:sz w:val="16"/>
                <w:szCs w:val="16"/>
              </w:rPr>
            </w:pPr>
            <w:r w:rsidRPr="00C3268A">
              <w:rPr>
                <w:rFonts w:ascii="Arial" w:hAnsi="Arial" w:cs="Arial"/>
                <w:b/>
                <w:sz w:val="16"/>
                <w:szCs w:val="16"/>
              </w:rPr>
              <w:t>Kerndepartement</w:t>
            </w:r>
          </w:p>
        </w:tc>
        <w:tc>
          <w:tcPr>
            <w:tcW w:w="851" w:type="pct"/>
            <w:tcBorders>
              <w:top w:val="single" w:color="000000" w:sz="8" w:space="0"/>
              <w:left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sz w:val="16"/>
                <w:szCs w:val="16"/>
              </w:rPr>
            </w:pPr>
            <w:r w:rsidRPr="00C3268A">
              <w:rPr>
                <w:rFonts w:ascii="Arial" w:hAnsi="Arial" w:cs="Arial"/>
                <w:sz w:val="16"/>
                <w:szCs w:val="16"/>
              </w:rPr>
              <w:t>2457</w:t>
            </w:r>
          </w:p>
        </w:tc>
        <w:tc>
          <w:tcPr>
            <w:tcW w:w="1081" w:type="pct"/>
            <w:tcBorders>
              <w:top w:val="single" w:color="000000" w:sz="8" w:space="0"/>
              <w:left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sz w:val="16"/>
                <w:szCs w:val="16"/>
              </w:rPr>
            </w:pPr>
            <w:r w:rsidRPr="00C3268A">
              <w:rPr>
                <w:rFonts w:ascii="Arial" w:hAnsi="Arial" w:cs="Arial"/>
                <w:sz w:val="16"/>
                <w:szCs w:val="16"/>
              </w:rPr>
              <w:t>2885</w:t>
            </w:r>
          </w:p>
        </w:tc>
        <w:tc>
          <w:tcPr>
            <w:tcW w:w="1852" w:type="pct"/>
            <w:tcBorders>
              <w:top w:val="single" w:color="000000" w:sz="8" w:space="0"/>
              <w:left w:val="single" w:color="000000" w:sz="8" w:space="0"/>
              <w:bottom w:val="single" w:color="000000" w:sz="8" w:space="0"/>
            </w:tcBorders>
          </w:tcPr>
          <w:p w:rsidRPr="00C3268A" w:rsidR="009E1608" w:rsidP="00E467E4" w:rsidRDefault="009E1608">
            <w:pPr>
              <w:pStyle w:val="Default"/>
              <w:rPr>
                <w:rFonts w:ascii="Arial" w:hAnsi="Arial" w:cs="Arial"/>
                <w:sz w:val="16"/>
                <w:szCs w:val="16"/>
              </w:rPr>
            </w:pPr>
            <w:r w:rsidRPr="00C3268A">
              <w:rPr>
                <w:rFonts w:ascii="Arial" w:hAnsi="Arial" w:cs="Arial"/>
                <w:sz w:val="16"/>
                <w:szCs w:val="16"/>
              </w:rPr>
              <w:t xml:space="preserve">42 dagen </w:t>
            </w:r>
          </w:p>
        </w:tc>
      </w:tr>
      <w:tr w:rsidRPr="00A64FE8" w:rsidR="009E1608" w:rsidTr="00B518FB">
        <w:trPr>
          <w:trHeight w:val="545"/>
        </w:trPr>
        <w:tc>
          <w:tcPr>
            <w:tcW w:w="1216" w:type="pct"/>
            <w:tcBorders>
              <w:top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b/>
                <w:sz w:val="16"/>
                <w:szCs w:val="16"/>
              </w:rPr>
            </w:pPr>
            <w:r w:rsidRPr="00C3268A">
              <w:rPr>
                <w:rFonts w:ascii="Arial" w:hAnsi="Arial" w:cs="Arial"/>
                <w:b/>
                <w:sz w:val="16"/>
                <w:szCs w:val="16"/>
              </w:rPr>
              <w:t>Uitvoerende diensten</w:t>
            </w:r>
          </w:p>
        </w:tc>
        <w:tc>
          <w:tcPr>
            <w:tcW w:w="851" w:type="pct"/>
            <w:tcBorders>
              <w:top w:val="single" w:color="000000" w:sz="8" w:space="0"/>
              <w:left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sz w:val="16"/>
                <w:szCs w:val="16"/>
              </w:rPr>
            </w:pPr>
            <w:r>
              <w:rPr>
                <w:rFonts w:ascii="Arial" w:hAnsi="Arial" w:cs="Arial"/>
                <w:sz w:val="16"/>
                <w:szCs w:val="16"/>
              </w:rPr>
              <w:t>3</w:t>
            </w:r>
          </w:p>
        </w:tc>
        <w:tc>
          <w:tcPr>
            <w:tcW w:w="1081" w:type="pct"/>
            <w:tcBorders>
              <w:top w:val="single" w:color="000000" w:sz="8" w:space="0"/>
              <w:left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sz w:val="16"/>
                <w:szCs w:val="16"/>
              </w:rPr>
            </w:pPr>
            <w:r>
              <w:rPr>
                <w:rFonts w:ascii="Arial" w:hAnsi="Arial" w:cs="Arial"/>
                <w:sz w:val="16"/>
                <w:szCs w:val="16"/>
              </w:rPr>
              <w:t>20</w:t>
            </w:r>
          </w:p>
        </w:tc>
        <w:tc>
          <w:tcPr>
            <w:tcW w:w="1852" w:type="pct"/>
            <w:tcBorders>
              <w:top w:val="single" w:color="000000" w:sz="8" w:space="0"/>
              <w:left w:val="single" w:color="000000" w:sz="8" w:space="0"/>
              <w:bottom w:val="single" w:color="000000" w:sz="8" w:space="0"/>
            </w:tcBorders>
          </w:tcPr>
          <w:p w:rsidRPr="00C3268A" w:rsidR="009E1608" w:rsidP="00E467E4" w:rsidRDefault="009E1608">
            <w:pPr>
              <w:pStyle w:val="Default"/>
              <w:rPr>
                <w:rFonts w:ascii="Arial" w:hAnsi="Arial" w:cs="Arial"/>
                <w:sz w:val="16"/>
                <w:szCs w:val="16"/>
              </w:rPr>
            </w:pPr>
            <w:r w:rsidRPr="00C3268A">
              <w:rPr>
                <w:rFonts w:ascii="Arial" w:hAnsi="Arial" w:cs="Arial"/>
                <w:sz w:val="16"/>
                <w:szCs w:val="16"/>
              </w:rPr>
              <w:t xml:space="preserve">6 dagen </w:t>
            </w:r>
          </w:p>
        </w:tc>
      </w:tr>
      <w:tr w:rsidRPr="00A64FE8" w:rsidR="009E1608" w:rsidTr="00B518FB">
        <w:trPr>
          <w:trHeight w:val="545"/>
        </w:trPr>
        <w:tc>
          <w:tcPr>
            <w:tcW w:w="1216" w:type="pct"/>
            <w:tcBorders>
              <w:top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b/>
                <w:sz w:val="16"/>
                <w:szCs w:val="16"/>
              </w:rPr>
            </w:pPr>
            <w:r w:rsidRPr="00C3268A">
              <w:rPr>
                <w:rFonts w:ascii="Arial" w:hAnsi="Arial" w:cs="Arial"/>
                <w:b/>
                <w:sz w:val="16"/>
                <w:szCs w:val="16"/>
              </w:rPr>
              <w:t>Inspecties</w:t>
            </w:r>
          </w:p>
        </w:tc>
        <w:tc>
          <w:tcPr>
            <w:tcW w:w="851" w:type="pct"/>
            <w:tcBorders>
              <w:top w:val="single" w:color="000000" w:sz="8" w:space="0"/>
              <w:left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sz w:val="16"/>
                <w:szCs w:val="16"/>
              </w:rPr>
            </w:pPr>
            <w:r w:rsidRPr="00C3268A">
              <w:rPr>
                <w:rFonts w:ascii="Arial" w:hAnsi="Arial" w:cs="Arial"/>
                <w:sz w:val="16"/>
                <w:szCs w:val="16"/>
              </w:rPr>
              <w:t>1074</w:t>
            </w:r>
          </w:p>
        </w:tc>
        <w:tc>
          <w:tcPr>
            <w:tcW w:w="1081" w:type="pct"/>
            <w:tcBorders>
              <w:top w:val="single" w:color="000000" w:sz="8" w:space="0"/>
              <w:left w:val="single" w:color="000000" w:sz="8" w:space="0"/>
              <w:bottom w:val="single" w:color="000000" w:sz="8" w:space="0"/>
              <w:right w:val="single" w:color="000000" w:sz="8" w:space="0"/>
            </w:tcBorders>
          </w:tcPr>
          <w:p w:rsidRPr="00C3268A" w:rsidR="009E1608" w:rsidP="00E467E4" w:rsidRDefault="009E1608">
            <w:pPr>
              <w:pStyle w:val="Default"/>
              <w:rPr>
                <w:rFonts w:ascii="Arial" w:hAnsi="Arial" w:cs="Arial"/>
                <w:sz w:val="16"/>
                <w:szCs w:val="16"/>
              </w:rPr>
            </w:pPr>
            <w:r w:rsidRPr="00C3268A">
              <w:rPr>
                <w:rFonts w:ascii="Arial" w:hAnsi="Arial" w:cs="Arial"/>
                <w:sz w:val="16"/>
                <w:szCs w:val="16"/>
              </w:rPr>
              <w:t xml:space="preserve">51 </w:t>
            </w:r>
          </w:p>
        </w:tc>
        <w:tc>
          <w:tcPr>
            <w:tcW w:w="1852" w:type="pct"/>
            <w:tcBorders>
              <w:top w:val="single" w:color="000000" w:sz="8" w:space="0"/>
              <w:left w:val="single" w:color="000000" w:sz="8" w:space="0"/>
              <w:bottom w:val="single" w:color="000000" w:sz="8" w:space="0"/>
            </w:tcBorders>
          </w:tcPr>
          <w:p w:rsidRPr="00C3268A" w:rsidR="009E1608" w:rsidP="00E467E4" w:rsidRDefault="009E1608">
            <w:pPr>
              <w:pStyle w:val="Default"/>
              <w:rPr>
                <w:rFonts w:ascii="Arial" w:hAnsi="Arial" w:cs="Arial"/>
                <w:sz w:val="16"/>
                <w:szCs w:val="16"/>
              </w:rPr>
            </w:pPr>
            <w:r w:rsidRPr="00C3268A">
              <w:rPr>
                <w:rFonts w:ascii="Arial" w:hAnsi="Arial" w:cs="Arial"/>
                <w:sz w:val="16"/>
                <w:szCs w:val="16"/>
              </w:rPr>
              <w:t>39 dagen</w:t>
            </w:r>
          </w:p>
        </w:tc>
      </w:tr>
    </w:tbl>
    <w:p w:rsidR="009E1608" w:rsidP="00077E81" w:rsidRDefault="009E1608"/>
    <w:p w:rsidR="00617EA5" w:rsidP="00077E81" w:rsidRDefault="009E1608">
      <w:pPr>
        <w:rPr>
          <w:rFonts w:ascii="Verdana" w:hAnsi="Verdana"/>
          <w:sz w:val="18"/>
          <w:szCs w:val="18"/>
        </w:rPr>
      </w:pPr>
      <w:r w:rsidRPr="00617EA5">
        <w:rPr>
          <w:rFonts w:ascii="Verdana" w:hAnsi="Verdana"/>
          <w:sz w:val="18"/>
          <w:szCs w:val="18"/>
        </w:rPr>
        <w:t>Hierbij kan wel nog een kanttekening worden geplaatst. Het systeem dat VWS gebruikt voor het registreren van burgerbrieven registreert de datum dat een brief binnenkomt en een datum dat en brief wordt afgedaan. Echter, het afdoen van een brief gebeurt door een archiefmedewerker, vaak enige tijd nadat de brief is verzonden. De feitelijke beantwoordingtermijn valt hierdoor lager uit. Bovendien ontving VWS eind</w:t>
      </w:r>
      <w:r w:rsidRPr="00617EA5" w:rsidR="00244330">
        <w:rPr>
          <w:rFonts w:ascii="Verdana" w:hAnsi="Verdana"/>
          <w:sz w:val="18"/>
          <w:szCs w:val="18"/>
        </w:rPr>
        <w:t xml:space="preserve"> december</w:t>
      </w:r>
      <w:r w:rsidRPr="00617EA5">
        <w:rPr>
          <w:rFonts w:ascii="Verdana" w:hAnsi="Verdana"/>
          <w:sz w:val="18"/>
          <w:szCs w:val="18"/>
        </w:rPr>
        <w:t xml:space="preserve"> 2010 </w:t>
      </w:r>
      <w:r w:rsidRPr="00617EA5" w:rsidR="0019008C">
        <w:rPr>
          <w:rFonts w:ascii="Verdana" w:hAnsi="Verdana"/>
          <w:sz w:val="18"/>
          <w:szCs w:val="18"/>
        </w:rPr>
        <w:t xml:space="preserve">naar aanleiding van een uitspraak van het Europees Hof </w:t>
      </w:r>
      <w:r w:rsidRPr="00617EA5">
        <w:rPr>
          <w:rFonts w:ascii="Verdana" w:hAnsi="Verdana"/>
          <w:sz w:val="18"/>
          <w:szCs w:val="18"/>
        </w:rPr>
        <w:t xml:space="preserve">circa 1050 brieven van </w:t>
      </w:r>
      <w:r w:rsidRPr="00617EA5" w:rsidR="0019008C">
        <w:rPr>
          <w:rFonts w:ascii="Verdana" w:hAnsi="Verdana"/>
          <w:sz w:val="18"/>
          <w:szCs w:val="18"/>
        </w:rPr>
        <w:t xml:space="preserve">Nederlandse </w:t>
      </w:r>
      <w:r w:rsidRPr="00617EA5">
        <w:rPr>
          <w:rFonts w:ascii="Verdana" w:hAnsi="Verdana"/>
          <w:sz w:val="18"/>
          <w:szCs w:val="18"/>
        </w:rPr>
        <w:t>gepensioneerden</w:t>
      </w:r>
      <w:r w:rsidRPr="00617EA5" w:rsidR="0019008C">
        <w:rPr>
          <w:rFonts w:ascii="Verdana" w:hAnsi="Verdana"/>
          <w:sz w:val="18"/>
          <w:szCs w:val="18"/>
        </w:rPr>
        <w:t xml:space="preserve"> woonachtig in een andere EU-lidstaat</w:t>
      </w:r>
      <w:r w:rsidRPr="00617EA5">
        <w:rPr>
          <w:rFonts w:ascii="Verdana" w:hAnsi="Verdana"/>
          <w:sz w:val="18"/>
          <w:szCs w:val="18"/>
        </w:rPr>
        <w:t xml:space="preserve"> die </w:t>
      </w:r>
      <w:r w:rsidRPr="00617EA5" w:rsidR="0019008C">
        <w:rPr>
          <w:rFonts w:ascii="Verdana" w:hAnsi="Verdana"/>
          <w:sz w:val="18"/>
          <w:szCs w:val="18"/>
        </w:rPr>
        <w:t xml:space="preserve">zich door </w:t>
      </w:r>
      <w:r w:rsidRPr="00617EA5">
        <w:rPr>
          <w:rFonts w:ascii="Verdana" w:hAnsi="Verdana"/>
          <w:sz w:val="18"/>
          <w:szCs w:val="18"/>
        </w:rPr>
        <w:t xml:space="preserve">de overheid </w:t>
      </w:r>
      <w:r w:rsidRPr="00617EA5" w:rsidR="0019008C">
        <w:rPr>
          <w:rFonts w:ascii="Verdana" w:hAnsi="Verdana"/>
          <w:sz w:val="18"/>
          <w:szCs w:val="18"/>
        </w:rPr>
        <w:t xml:space="preserve">ongelijk behandeld achtten bij de invoering van de zorgverzekeringswet en de overheid </w:t>
      </w:r>
      <w:r w:rsidRPr="00617EA5">
        <w:rPr>
          <w:rFonts w:ascii="Verdana" w:hAnsi="Verdana"/>
          <w:sz w:val="18"/>
          <w:szCs w:val="18"/>
        </w:rPr>
        <w:t xml:space="preserve">aansprakelijk stelden voor veronderstelde schade. </w:t>
      </w:r>
      <w:r w:rsidRPr="00617EA5" w:rsidR="007E7955">
        <w:rPr>
          <w:rFonts w:ascii="Verdana" w:hAnsi="Verdana"/>
          <w:sz w:val="18"/>
          <w:szCs w:val="18"/>
        </w:rPr>
        <w:t xml:space="preserve"> De zorgvuldige administratie van de beantwoording van een dergelijk groot aantal tegelijk ontvangen burgerbrieven vergde de nodige tijd.</w:t>
      </w:r>
    </w:p>
    <w:p w:rsidR="00617EA5" w:rsidP="00077E81" w:rsidRDefault="00617EA5">
      <w:pPr>
        <w:rPr>
          <w:rFonts w:ascii="Verdana" w:hAnsi="Verdana"/>
          <w:sz w:val="18"/>
          <w:szCs w:val="18"/>
        </w:rPr>
      </w:pPr>
    </w:p>
    <w:p w:rsidRPr="00617EA5" w:rsidR="009E1608" w:rsidP="00077E81" w:rsidRDefault="009E1608">
      <w:pPr>
        <w:rPr>
          <w:rFonts w:ascii="Verdana" w:hAnsi="Verdana"/>
          <w:i/>
          <w:sz w:val="18"/>
          <w:szCs w:val="18"/>
        </w:rPr>
      </w:pPr>
      <w:r w:rsidRPr="00617EA5">
        <w:rPr>
          <w:rFonts w:ascii="Verdana" w:hAnsi="Verdana"/>
          <w:i/>
          <w:sz w:val="18"/>
          <w:szCs w:val="18"/>
        </w:rPr>
        <w:t>Uitvoeringsdiensten</w:t>
      </w:r>
    </w:p>
    <w:p w:rsidRPr="00617EA5" w:rsidR="009E1608" w:rsidP="00077E81" w:rsidRDefault="009E1608">
      <w:pPr>
        <w:rPr>
          <w:rFonts w:ascii="Verdana" w:hAnsi="Verdana"/>
          <w:sz w:val="18"/>
          <w:szCs w:val="18"/>
        </w:rPr>
      </w:pPr>
      <w:r w:rsidRPr="00617EA5">
        <w:rPr>
          <w:rFonts w:ascii="Verdana" w:hAnsi="Verdana"/>
          <w:sz w:val="18"/>
          <w:szCs w:val="18"/>
        </w:rPr>
        <w:t>De uitvoeringsdiensten hebben in 2010 gezamenlijk een beperkt aantal (20) burgerbrieven ontvangen. Het CIBG en het Nederlands Vaccin Instituut (NVI) geven zelf aan geen burgerbrieven te hebben ontvangen in 2010. De Gezondheidsraad (GR) en het Sociaal Cultureel Planbureau (SCP) ontvingen ieder twee brieven. Het CBG ontving 13 brieven en het RIVM ontving 3 brieven in 2010. Overig contact verloopt per e-mail of telefoon. Hiervan worden echter geen registraties bijgehouden en er kunnen dus ook geen uitspraken worden gedaan over de termijnen. Zo ontving het RIVM in 2010 bij de telefonische 24-uurs dienst over acute vergiftigingen en calamiteiten 814 telefoontjes, welke allen onmiddellijk afgehandeld werden.</w:t>
      </w:r>
    </w:p>
    <w:p w:rsidRPr="00617EA5" w:rsidR="009E1608" w:rsidP="00077E81" w:rsidRDefault="009E1608">
      <w:pPr>
        <w:rPr>
          <w:rFonts w:ascii="Verdana" w:hAnsi="Verdana"/>
          <w:i/>
          <w:sz w:val="18"/>
          <w:szCs w:val="18"/>
        </w:rPr>
      </w:pPr>
      <w:r w:rsidRPr="00617EA5">
        <w:rPr>
          <w:rFonts w:ascii="Verdana" w:hAnsi="Verdana"/>
          <w:i/>
          <w:sz w:val="18"/>
          <w:szCs w:val="18"/>
        </w:rPr>
        <w:t>Inspecties</w:t>
      </w:r>
    </w:p>
    <w:p w:rsidRPr="00617EA5" w:rsidR="009E1608" w:rsidP="00077E81" w:rsidRDefault="009E1608">
      <w:pPr>
        <w:rPr>
          <w:rFonts w:ascii="Verdana" w:hAnsi="Verdana"/>
          <w:sz w:val="18"/>
          <w:szCs w:val="18"/>
        </w:rPr>
      </w:pPr>
      <w:r w:rsidRPr="00617EA5">
        <w:rPr>
          <w:rFonts w:ascii="Verdana" w:hAnsi="Verdana"/>
          <w:sz w:val="18"/>
          <w:szCs w:val="18"/>
        </w:rPr>
        <w:lastRenderedPageBreak/>
        <w:t xml:space="preserve">In 2009 heeft de IGZ 1037 brieven ontvangen, in 2010 waren dit 9 brieven. </w:t>
      </w:r>
      <w:r w:rsidRPr="00617EA5" w:rsidR="003A5DD3">
        <w:rPr>
          <w:rFonts w:ascii="Verdana" w:hAnsi="Verdana"/>
          <w:sz w:val="18"/>
          <w:szCs w:val="18"/>
        </w:rPr>
        <w:t xml:space="preserve">Dit grote verschil is te verklaren uit het feit dat de IGZ in de opgave voor 2010 een andere benadering koos dan in de opgave voor 2009. Werden in 2009 nog alle meldingen waarover gecommuniceerd werd in de opgave meegenomen, in 2010 werd alleen de correspondentie opgenomen die ook daadwerkelijk  als (overige) burgerbrief werd geregistreerd. </w:t>
      </w:r>
      <w:r w:rsidRPr="00617EA5">
        <w:rPr>
          <w:rFonts w:ascii="Verdana" w:hAnsi="Verdana"/>
          <w:sz w:val="18"/>
          <w:szCs w:val="18"/>
        </w:rPr>
        <w:t xml:space="preserve">De gemiddelde beantwoordingtermijn voor de IGZ lag in 2010 op 28 dagen. De Inspectie Jeugdzorg ontving in 2010 43 brieven, welke gemiddeld binnen 41 dagen werden beantwoord. </w:t>
      </w:r>
    </w:p>
    <w:p w:rsidRPr="00617EA5" w:rsidR="009E1608" w:rsidP="00077E81" w:rsidRDefault="009E1608">
      <w:pPr>
        <w:rPr>
          <w:rFonts w:ascii="Verdana" w:hAnsi="Verdana"/>
          <w:sz w:val="18"/>
          <w:szCs w:val="18"/>
        </w:rPr>
      </w:pPr>
      <w:r w:rsidRPr="00617EA5">
        <w:rPr>
          <w:rFonts w:ascii="Verdana" w:hAnsi="Verdana"/>
          <w:sz w:val="18"/>
          <w:szCs w:val="18"/>
        </w:rPr>
        <w:t xml:space="preserve">Tevens kan worden gesteld dat er bij VWS weinig klachten over de inhoud </w:t>
      </w:r>
      <w:proofErr w:type="spellStart"/>
      <w:r w:rsidRPr="00617EA5">
        <w:rPr>
          <w:rFonts w:ascii="Verdana" w:hAnsi="Verdana"/>
          <w:sz w:val="18"/>
          <w:szCs w:val="18"/>
        </w:rPr>
        <w:t>danwel</w:t>
      </w:r>
      <w:proofErr w:type="spellEnd"/>
      <w:r w:rsidRPr="00617EA5">
        <w:rPr>
          <w:rFonts w:ascii="Verdana" w:hAnsi="Verdana"/>
          <w:sz w:val="18"/>
          <w:szCs w:val="18"/>
        </w:rPr>
        <w:t xml:space="preserve"> doorlooptijd van de overige burgerbrieven binnenkomen. Dit is en blijft uiteraard wel een aandachtspunt. Indien er klachten zijn, betreffen dit klachten over de besluiten die zijn genomen door VWS.</w:t>
      </w:r>
    </w:p>
    <w:p w:rsidRPr="00617EA5" w:rsidR="009E1608" w:rsidP="00077E81" w:rsidRDefault="009E1608">
      <w:pPr>
        <w:rPr>
          <w:rFonts w:ascii="Verdana" w:hAnsi="Verdana"/>
          <w:sz w:val="18"/>
          <w:szCs w:val="18"/>
        </w:rPr>
      </w:pPr>
    </w:p>
    <w:p w:rsidRPr="00617EA5" w:rsidR="009E1608" w:rsidP="00077E81" w:rsidRDefault="009E1608">
      <w:pPr>
        <w:rPr>
          <w:rFonts w:ascii="Verdana" w:hAnsi="Verdana"/>
          <w:b/>
          <w:sz w:val="18"/>
          <w:szCs w:val="18"/>
        </w:rPr>
      </w:pPr>
      <w:proofErr w:type="spellStart"/>
      <w:r w:rsidRPr="00617EA5">
        <w:rPr>
          <w:rFonts w:ascii="Verdana" w:hAnsi="Verdana"/>
          <w:b/>
          <w:sz w:val="18"/>
          <w:szCs w:val="18"/>
        </w:rPr>
        <w:t>W</w:t>
      </w:r>
      <w:r w:rsidRPr="00617EA5" w:rsidR="00FC2967">
        <w:rPr>
          <w:rFonts w:ascii="Verdana" w:hAnsi="Verdana"/>
          <w:b/>
          <w:sz w:val="18"/>
          <w:szCs w:val="18"/>
        </w:rPr>
        <w:t>ob-</w:t>
      </w:r>
      <w:r w:rsidRPr="00617EA5">
        <w:rPr>
          <w:rFonts w:ascii="Verdana" w:hAnsi="Verdana"/>
          <w:b/>
          <w:sz w:val="18"/>
          <w:szCs w:val="18"/>
        </w:rPr>
        <w:t>verzoeken</w:t>
      </w:r>
      <w:proofErr w:type="spellEnd"/>
    </w:p>
    <w:p w:rsidRPr="00617EA5" w:rsidR="009E1608" w:rsidP="00077E81" w:rsidRDefault="009E1608">
      <w:pPr>
        <w:rPr>
          <w:rFonts w:ascii="Verdana" w:hAnsi="Verdana"/>
          <w:sz w:val="18"/>
          <w:szCs w:val="18"/>
        </w:rPr>
      </w:pPr>
      <w:proofErr w:type="spellStart"/>
      <w:r w:rsidRPr="00617EA5">
        <w:rPr>
          <w:rFonts w:ascii="Verdana" w:hAnsi="Verdana"/>
          <w:sz w:val="18"/>
          <w:szCs w:val="18"/>
        </w:rPr>
        <w:t>W</w:t>
      </w:r>
      <w:r w:rsidRPr="00617EA5" w:rsidR="00FC2967">
        <w:rPr>
          <w:rFonts w:ascii="Verdana" w:hAnsi="Verdana"/>
          <w:sz w:val="18"/>
          <w:szCs w:val="18"/>
        </w:rPr>
        <w:t>ob-</w:t>
      </w:r>
      <w:r w:rsidRPr="00617EA5">
        <w:rPr>
          <w:rFonts w:ascii="Verdana" w:hAnsi="Verdana"/>
          <w:sz w:val="18"/>
          <w:szCs w:val="18"/>
        </w:rPr>
        <w:t>verzoeken</w:t>
      </w:r>
      <w:proofErr w:type="spellEnd"/>
      <w:r w:rsidRPr="00617EA5">
        <w:rPr>
          <w:rFonts w:ascii="Verdana" w:hAnsi="Verdana"/>
          <w:sz w:val="18"/>
          <w:szCs w:val="18"/>
        </w:rPr>
        <w:t xml:space="preserve"> worden bij VWS zowel voor de kern, uitvoeringsorganisaties als de inspecties geregistreerd door de Directie Communicatie. In de onderstaande tabel is zowel het percentage verzoeken opgenomen dat binnen de wettelijke termijn is afgehandeld, als de gemiddelde afhandelingduur.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
      <w:tblGrid>
        <w:gridCol w:w="1954"/>
        <w:gridCol w:w="1155"/>
        <w:gridCol w:w="1155"/>
        <w:gridCol w:w="1246"/>
        <w:gridCol w:w="1166"/>
        <w:gridCol w:w="1575"/>
        <w:gridCol w:w="1037"/>
      </w:tblGrid>
      <w:tr w:rsidRPr="00A64FE8" w:rsidR="009E1608" w:rsidTr="00B30A95">
        <w:tc>
          <w:tcPr>
            <w:tcW w:w="1954" w:type="dxa"/>
          </w:tcPr>
          <w:p w:rsidRPr="00B30A95" w:rsidR="009E1608" w:rsidP="00E467E4" w:rsidRDefault="009E1608">
            <w:pPr>
              <w:pStyle w:val="Default"/>
              <w:rPr>
                <w:rFonts w:ascii="Arial" w:hAnsi="Arial" w:cs="Arial"/>
                <w:i/>
                <w:sz w:val="16"/>
                <w:szCs w:val="16"/>
              </w:rPr>
            </w:pPr>
            <w:r w:rsidRPr="00B30A95">
              <w:rPr>
                <w:rFonts w:ascii="Arial" w:hAnsi="Arial" w:cs="Arial"/>
                <w:i/>
                <w:sz w:val="16"/>
                <w:szCs w:val="16"/>
              </w:rPr>
              <w:t xml:space="preserve">Organisatie </w:t>
            </w:r>
          </w:p>
        </w:tc>
        <w:tc>
          <w:tcPr>
            <w:tcW w:w="1155"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Aantal verslagjaar -1 </w:t>
            </w:r>
          </w:p>
        </w:tc>
        <w:tc>
          <w:tcPr>
            <w:tcW w:w="1155"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Aantal verslagjaar </w:t>
            </w:r>
          </w:p>
        </w:tc>
        <w:tc>
          <w:tcPr>
            <w:tcW w:w="1246"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Percentage binnen de basis wettelijke termijn (zonder opschorting) verslagjaar (=binnen 4 weken)</w:t>
            </w:r>
          </w:p>
        </w:tc>
        <w:tc>
          <w:tcPr>
            <w:tcW w:w="1166"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Percentage afgedaan binnen verdaagde wettelijke termijn (=binnen 10 weken)</w:t>
            </w:r>
          </w:p>
        </w:tc>
        <w:tc>
          <w:tcPr>
            <w:tcW w:w="1575"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 xml:space="preserve">Gemiddelde </w:t>
            </w:r>
            <w:proofErr w:type="spellStart"/>
            <w:r w:rsidRPr="00A64FE8">
              <w:rPr>
                <w:rFonts w:ascii="Arial" w:hAnsi="Arial" w:cs="Arial"/>
                <w:b/>
                <w:sz w:val="16"/>
                <w:szCs w:val="16"/>
              </w:rPr>
              <w:t>beantwoordings-termijn</w:t>
            </w:r>
            <w:proofErr w:type="spellEnd"/>
          </w:p>
        </w:tc>
        <w:tc>
          <w:tcPr>
            <w:tcW w:w="1037"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Aantal</w:t>
            </w:r>
          </w:p>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betaalde</w:t>
            </w:r>
          </w:p>
          <w:p w:rsidRPr="00A64FE8" w:rsidR="009E1608" w:rsidP="00E467E4" w:rsidRDefault="009E1608">
            <w:pPr>
              <w:pStyle w:val="Default"/>
              <w:rPr>
                <w:rFonts w:ascii="Arial" w:hAnsi="Arial" w:cs="Arial"/>
                <w:b/>
                <w:sz w:val="16"/>
                <w:szCs w:val="16"/>
              </w:rPr>
            </w:pPr>
            <w:proofErr w:type="spellStart"/>
            <w:r w:rsidRPr="00A64FE8">
              <w:rPr>
                <w:rFonts w:ascii="Arial" w:hAnsi="Arial" w:cs="Arial"/>
                <w:b/>
                <w:sz w:val="16"/>
                <w:szCs w:val="16"/>
              </w:rPr>
              <w:t>dwang-sommen</w:t>
            </w:r>
            <w:proofErr w:type="spellEnd"/>
            <w:r w:rsidRPr="00A64FE8">
              <w:rPr>
                <w:rFonts w:ascii="Arial" w:hAnsi="Arial" w:cs="Arial"/>
                <w:b/>
                <w:sz w:val="16"/>
                <w:szCs w:val="16"/>
              </w:rPr>
              <w:t xml:space="preserve"> </w:t>
            </w:r>
          </w:p>
        </w:tc>
      </w:tr>
      <w:tr w:rsidRPr="00A64FE8" w:rsidR="009E1608" w:rsidTr="00B30A95">
        <w:tc>
          <w:tcPr>
            <w:tcW w:w="1954" w:type="dxa"/>
          </w:tcPr>
          <w:p w:rsidR="009E1608" w:rsidP="00E467E4" w:rsidRDefault="009E1608">
            <w:pPr>
              <w:pStyle w:val="Default"/>
              <w:rPr>
                <w:rFonts w:ascii="Arial" w:hAnsi="Arial" w:cs="Arial"/>
                <w:b/>
                <w:sz w:val="16"/>
                <w:szCs w:val="16"/>
              </w:rPr>
            </w:pPr>
            <w:r w:rsidRPr="00A64FE8">
              <w:rPr>
                <w:rFonts w:ascii="Arial" w:hAnsi="Arial" w:cs="Arial"/>
                <w:b/>
                <w:sz w:val="16"/>
                <w:szCs w:val="16"/>
              </w:rPr>
              <w:t>Kerndepartement VWS</w:t>
            </w:r>
          </w:p>
          <w:p w:rsidRPr="00A64FE8" w:rsidR="00B30A95" w:rsidP="00E467E4" w:rsidRDefault="00B30A95">
            <w:pPr>
              <w:pStyle w:val="Default"/>
              <w:rPr>
                <w:rFonts w:ascii="Arial" w:hAnsi="Arial" w:cs="Arial"/>
                <w:b/>
                <w:sz w:val="16"/>
                <w:szCs w:val="16"/>
              </w:rPr>
            </w:pP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51</w:t>
            </w: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72</w:t>
            </w:r>
          </w:p>
        </w:tc>
        <w:tc>
          <w:tcPr>
            <w:tcW w:w="124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32%</w:t>
            </w:r>
          </w:p>
        </w:tc>
        <w:tc>
          <w:tcPr>
            <w:tcW w:w="116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70%</w:t>
            </w:r>
          </w:p>
        </w:tc>
        <w:tc>
          <w:tcPr>
            <w:tcW w:w="1575" w:type="dxa"/>
          </w:tcPr>
          <w:p w:rsidRPr="00FC2967" w:rsidR="009E1608" w:rsidP="00E467E4" w:rsidRDefault="009E1608">
            <w:pPr>
              <w:pStyle w:val="Default"/>
              <w:rPr>
                <w:rFonts w:ascii="Arial" w:hAnsi="Arial" w:cs="Arial"/>
                <w:sz w:val="16"/>
                <w:szCs w:val="16"/>
              </w:rPr>
            </w:pPr>
            <w:r w:rsidRPr="00FC2967">
              <w:rPr>
                <w:rFonts w:ascii="Arial" w:hAnsi="Arial" w:cs="Arial"/>
                <w:sz w:val="16"/>
                <w:szCs w:val="16"/>
              </w:rPr>
              <w:t>9.1 weken</w:t>
            </w:r>
          </w:p>
        </w:tc>
        <w:tc>
          <w:tcPr>
            <w:tcW w:w="1037" w:type="dxa"/>
          </w:tcPr>
          <w:p w:rsidRPr="00FC2967" w:rsidR="009E1608" w:rsidP="00FC2967" w:rsidRDefault="009E1608">
            <w:pPr>
              <w:pStyle w:val="Default"/>
              <w:rPr>
                <w:rFonts w:ascii="Arial" w:hAnsi="Arial" w:cs="Arial"/>
                <w:sz w:val="16"/>
                <w:szCs w:val="16"/>
              </w:rPr>
            </w:pPr>
            <w:r w:rsidRPr="00FC2967">
              <w:rPr>
                <w:rFonts w:ascii="Arial" w:hAnsi="Arial" w:cs="Arial"/>
                <w:sz w:val="16"/>
                <w:szCs w:val="16"/>
              </w:rPr>
              <w:t>1</w:t>
            </w:r>
          </w:p>
        </w:tc>
      </w:tr>
      <w:tr w:rsidRPr="00A64FE8" w:rsidR="009E1608" w:rsidTr="00B30A95">
        <w:tc>
          <w:tcPr>
            <w:tcW w:w="1954" w:type="dxa"/>
          </w:tcPr>
          <w:p w:rsidRPr="00A64FE8" w:rsidR="009E1608" w:rsidP="00E467E4" w:rsidRDefault="009E1608">
            <w:pPr>
              <w:pStyle w:val="Default"/>
              <w:rPr>
                <w:rFonts w:ascii="Arial" w:hAnsi="Arial" w:cs="Arial"/>
                <w:b/>
                <w:sz w:val="16"/>
                <w:szCs w:val="16"/>
              </w:rPr>
            </w:pPr>
            <w:r w:rsidRPr="00A64FE8">
              <w:rPr>
                <w:rFonts w:ascii="Arial" w:hAnsi="Arial" w:cs="Arial"/>
                <w:b/>
                <w:sz w:val="16"/>
                <w:szCs w:val="16"/>
              </w:rPr>
              <w:t>Kerndepartement Jeugd en Gezin</w:t>
            </w: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4</w:t>
            </w: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2</w:t>
            </w:r>
          </w:p>
        </w:tc>
        <w:tc>
          <w:tcPr>
            <w:tcW w:w="124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50%</w:t>
            </w:r>
          </w:p>
        </w:tc>
        <w:tc>
          <w:tcPr>
            <w:tcW w:w="116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100%</w:t>
            </w:r>
          </w:p>
        </w:tc>
        <w:tc>
          <w:tcPr>
            <w:tcW w:w="157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4.5 weken</w:t>
            </w:r>
          </w:p>
        </w:tc>
        <w:tc>
          <w:tcPr>
            <w:tcW w:w="1037"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r>
      <w:tr w:rsidRPr="00A64FE8" w:rsidR="009E1608" w:rsidTr="00B30A95">
        <w:tc>
          <w:tcPr>
            <w:tcW w:w="9288" w:type="dxa"/>
            <w:gridSpan w:val="7"/>
            <w:shd w:val="clear" w:color="auto" w:fill="D9D9D9"/>
          </w:tcPr>
          <w:p w:rsidRPr="00A64FE8" w:rsidR="009E1608" w:rsidP="00A64FE8" w:rsidRDefault="009E1608">
            <w:pPr>
              <w:spacing w:after="0" w:line="240" w:lineRule="auto"/>
              <w:rPr>
                <w:rFonts w:ascii="Arial" w:hAnsi="Arial" w:cs="Arial"/>
                <w:sz w:val="16"/>
                <w:szCs w:val="16"/>
              </w:rPr>
            </w:pPr>
            <w:r w:rsidRPr="00A64FE8">
              <w:rPr>
                <w:rFonts w:ascii="Arial" w:hAnsi="Arial" w:cs="Arial"/>
                <w:b/>
                <w:i/>
                <w:sz w:val="16"/>
                <w:szCs w:val="16"/>
              </w:rPr>
              <w:t>Uitvoeringsdiensten</w:t>
            </w:r>
          </w:p>
        </w:tc>
      </w:tr>
      <w:tr w:rsidRPr="00A64FE8" w:rsidR="009E1608" w:rsidTr="00B30A95">
        <w:tc>
          <w:tcPr>
            <w:tcW w:w="1954" w:type="dxa"/>
          </w:tcPr>
          <w:p w:rsidR="009E1608" w:rsidP="00E467E4" w:rsidRDefault="009E1608">
            <w:pPr>
              <w:pStyle w:val="Default"/>
              <w:rPr>
                <w:rFonts w:ascii="Arial" w:hAnsi="Arial" w:cs="Arial"/>
                <w:b/>
                <w:sz w:val="16"/>
                <w:szCs w:val="16"/>
              </w:rPr>
            </w:pPr>
            <w:r w:rsidRPr="00A64FE8">
              <w:rPr>
                <w:rFonts w:ascii="Arial" w:hAnsi="Arial" w:cs="Arial"/>
                <w:b/>
                <w:sz w:val="16"/>
                <w:szCs w:val="16"/>
              </w:rPr>
              <w:t>CIBG</w:t>
            </w:r>
          </w:p>
          <w:p w:rsidRPr="00A64FE8" w:rsidR="00B30A95" w:rsidP="00E467E4" w:rsidRDefault="00B30A95">
            <w:pPr>
              <w:pStyle w:val="Default"/>
              <w:rPr>
                <w:rFonts w:ascii="Arial" w:hAnsi="Arial" w:cs="Arial"/>
                <w:b/>
                <w:sz w:val="16"/>
                <w:szCs w:val="16"/>
              </w:rPr>
            </w:pP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7</w:t>
            </w: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5</w:t>
            </w:r>
          </w:p>
        </w:tc>
        <w:tc>
          <w:tcPr>
            <w:tcW w:w="124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20%</w:t>
            </w:r>
          </w:p>
        </w:tc>
        <w:tc>
          <w:tcPr>
            <w:tcW w:w="116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100%</w:t>
            </w:r>
          </w:p>
        </w:tc>
        <w:tc>
          <w:tcPr>
            <w:tcW w:w="157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6.6. weken</w:t>
            </w:r>
          </w:p>
        </w:tc>
        <w:tc>
          <w:tcPr>
            <w:tcW w:w="1037"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r>
      <w:tr w:rsidRPr="00A64FE8" w:rsidR="009E1608" w:rsidTr="00B30A95">
        <w:tc>
          <w:tcPr>
            <w:tcW w:w="1954" w:type="dxa"/>
          </w:tcPr>
          <w:p w:rsidR="009E1608" w:rsidP="00E467E4" w:rsidRDefault="009E1608">
            <w:pPr>
              <w:pStyle w:val="Default"/>
              <w:rPr>
                <w:rFonts w:ascii="Arial" w:hAnsi="Arial" w:cs="Arial"/>
                <w:b/>
                <w:sz w:val="16"/>
                <w:szCs w:val="16"/>
              </w:rPr>
            </w:pPr>
            <w:r w:rsidRPr="00A64FE8">
              <w:rPr>
                <w:rFonts w:ascii="Arial" w:hAnsi="Arial" w:cs="Arial"/>
                <w:b/>
                <w:sz w:val="16"/>
                <w:szCs w:val="16"/>
              </w:rPr>
              <w:t>RIVM</w:t>
            </w:r>
          </w:p>
          <w:p w:rsidRPr="00A64FE8" w:rsidR="00B30A95" w:rsidP="00E467E4" w:rsidRDefault="00B30A95">
            <w:pPr>
              <w:pStyle w:val="Default"/>
              <w:rPr>
                <w:rFonts w:ascii="Arial" w:hAnsi="Arial" w:cs="Arial"/>
                <w:b/>
                <w:sz w:val="16"/>
                <w:szCs w:val="16"/>
              </w:rPr>
            </w:pP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2</w:t>
            </w: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4</w:t>
            </w:r>
          </w:p>
        </w:tc>
        <w:tc>
          <w:tcPr>
            <w:tcW w:w="124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c>
          <w:tcPr>
            <w:tcW w:w="116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75%</w:t>
            </w:r>
          </w:p>
        </w:tc>
        <w:tc>
          <w:tcPr>
            <w:tcW w:w="157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11.7 weken</w:t>
            </w:r>
          </w:p>
        </w:tc>
        <w:tc>
          <w:tcPr>
            <w:tcW w:w="1037"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r>
      <w:tr w:rsidRPr="00A64FE8" w:rsidR="009E1608" w:rsidTr="00B30A95">
        <w:tc>
          <w:tcPr>
            <w:tcW w:w="1954" w:type="dxa"/>
          </w:tcPr>
          <w:p w:rsidR="009E1608" w:rsidP="00E467E4" w:rsidRDefault="009E1608">
            <w:pPr>
              <w:pStyle w:val="Default"/>
              <w:rPr>
                <w:rFonts w:ascii="Arial" w:hAnsi="Arial" w:cs="Arial"/>
                <w:b/>
                <w:sz w:val="16"/>
                <w:szCs w:val="16"/>
              </w:rPr>
            </w:pPr>
            <w:r w:rsidRPr="00A64FE8">
              <w:rPr>
                <w:rFonts w:ascii="Arial" w:hAnsi="Arial" w:cs="Arial"/>
                <w:b/>
                <w:sz w:val="16"/>
                <w:szCs w:val="16"/>
              </w:rPr>
              <w:t>NVI</w:t>
            </w:r>
          </w:p>
          <w:p w:rsidRPr="00A64FE8" w:rsidR="00B30A95" w:rsidP="00E467E4" w:rsidRDefault="00B30A95">
            <w:pPr>
              <w:pStyle w:val="Default"/>
              <w:rPr>
                <w:rFonts w:ascii="Arial" w:hAnsi="Arial" w:cs="Arial"/>
                <w:b/>
                <w:sz w:val="16"/>
                <w:szCs w:val="16"/>
              </w:rPr>
            </w:pP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7</w:t>
            </w: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3</w:t>
            </w:r>
          </w:p>
        </w:tc>
        <w:tc>
          <w:tcPr>
            <w:tcW w:w="124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c>
          <w:tcPr>
            <w:tcW w:w="116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50%</w:t>
            </w:r>
          </w:p>
        </w:tc>
        <w:tc>
          <w:tcPr>
            <w:tcW w:w="157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16.5 weken</w:t>
            </w:r>
          </w:p>
        </w:tc>
        <w:tc>
          <w:tcPr>
            <w:tcW w:w="1037"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r>
      <w:tr w:rsidRPr="00A64FE8" w:rsidR="009E1608" w:rsidTr="00B30A95">
        <w:tc>
          <w:tcPr>
            <w:tcW w:w="9288" w:type="dxa"/>
            <w:gridSpan w:val="7"/>
            <w:shd w:val="clear" w:color="auto" w:fill="D9D9D9"/>
          </w:tcPr>
          <w:p w:rsidRPr="00A64FE8" w:rsidR="009E1608" w:rsidP="00A64FE8" w:rsidRDefault="009E1608">
            <w:pPr>
              <w:spacing w:after="0" w:line="240" w:lineRule="auto"/>
              <w:rPr>
                <w:rFonts w:ascii="Arial" w:hAnsi="Arial" w:cs="Arial"/>
                <w:sz w:val="16"/>
                <w:szCs w:val="16"/>
              </w:rPr>
            </w:pPr>
            <w:r w:rsidRPr="00A64FE8">
              <w:rPr>
                <w:rFonts w:ascii="Arial" w:hAnsi="Arial" w:cs="Arial"/>
                <w:b/>
                <w:i/>
                <w:sz w:val="16"/>
                <w:szCs w:val="16"/>
              </w:rPr>
              <w:t>Inspecties</w:t>
            </w:r>
          </w:p>
        </w:tc>
      </w:tr>
      <w:tr w:rsidRPr="00A64FE8" w:rsidR="009E1608" w:rsidTr="00B30A95">
        <w:tc>
          <w:tcPr>
            <w:tcW w:w="1954" w:type="dxa"/>
          </w:tcPr>
          <w:p w:rsidR="009E1608" w:rsidP="00E467E4" w:rsidRDefault="009E1608">
            <w:pPr>
              <w:pStyle w:val="Default"/>
              <w:rPr>
                <w:rFonts w:ascii="Arial" w:hAnsi="Arial" w:cs="Arial"/>
                <w:b/>
                <w:sz w:val="16"/>
                <w:szCs w:val="16"/>
              </w:rPr>
            </w:pPr>
            <w:r w:rsidRPr="00A64FE8">
              <w:rPr>
                <w:rFonts w:ascii="Arial" w:hAnsi="Arial" w:cs="Arial"/>
                <w:b/>
                <w:sz w:val="16"/>
                <w:szCs w:val="16"/>
              </w:rPr>
              <w:t>IGZ</w:t>
            </w:r>
          </w:p>
          <w:p w:rsidRPr="00A64FE8" w:rsidR="00B30A95" w:rsidP="00E467E4" w:rsidRDefault="00B30A95">
            <w:pPr>
              <w:pStyle w:val="Default"/>
              <w:rPr>
                <w:rFonts w:ascii="Arial" w:hAnsi="Arial" w:cs="Arial"/>
                <w:b/>
                <w:sz w:val="16"/>
                <w:szCs w:val="16"/>
              </w:rPr>
            </w:pP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79</w:t>
            </w: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83</w:t>
            </w:r>
          </w:p>
        </w:tc>
        <w:tc>
          <w:tcPr>
            <w:tcW w:w="124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25%</w:t>
            </w:r>
          </w:p>
        </w:tc>
        <w:tc>
          <w:tcPr>
            <w:tcW w:w="116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49%</w:t>
            </w:r>
          </w:p>
        </w:tc>
        <w:tc>
          <w:tcPr>
            <w:tcW w:w="157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12.3 weken</w:t>
            </w:r>
          </w:p>
        </w:tc>
        <w:tc>
          <w:tcPr>
            <w:tcW w:w="1037"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r>
      <w:tr w:rsidRPr="00A64FE8" w:rsidR="009E1608" w:rsidTr="00B30A95">
        <w:tc>
          <w:tcPr>
            <w:tcW w:w="1954" w:type="dxa"/>
          </w:tcPr>
          <w:p w:rsidR="009E1608" w:rsidP="00E467E4" w:rsidRDefault="009E1608">
            <w:pPr>
              <w:pStyle w:val="Default"/>
              <w:rPr>
                <w:rFonts w:ascii="Arial" w:hAnsi="Arial" w:cs="Arial"/>
                <w:b/>
                <w:sz w:val="16"/>
                <w:szCs w:val="16"/>
              </w:rPr>
            </w:pPr>
            <w:r w:rsidRPr="00A64FE8">
              <w:rPr>
                <w:rFonts w:ascii="Arial" w:hAnsi="Arial" w:cs="Arial"/>
                <w:b/>
                <w:sz w:val="16"/>
                <w:szCs w:val="16"/>
              </w:rPr>
              <w:t>IJZ</w:t>
            </w:r>
          </w:p>
          <w:p w:rsidRPr="00A64FE8" w:rsidR="00B30A95" w:rsidP="00E467E4" w:rsidRDefault="00B30A95">
            <w:pPr>
              <w:pStyle w:val="Default"/>
              <w:rPr>
                <w:rFonts w:ascii="Arial" w:hAnsi="Arial" w:cs="Arial"/>
                <w:b/>
                <w:sz w:val="16"/>
                <w:szCs w:val="16"/>
              </w:rPr>
            </w:pP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3</w:t>
            </w:r>
          </w:p>
        </w:tc>
        <w:tc>
          <w:tcPr>
            <w:tcW w:w="115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c>
          <w:tcPr>
            <w:tcW w:w="124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c>
          <w:tcPr>
            <w:tcW w:w="1166"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c>
          <w:tcPr>
            <w:tcW w:w="1575"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c>
          <w:tcPr>
            <w:tcW w:w="1037" w:type="dxa"/>
          </w:tcPr>
          <w:p w:rsidRPr="00A64FE8" w:rsidR="009E1608" w:rsidP="00E467E4" w:rsidRDefault="009E1608">
            <w:pPr>
              <w:pStyle w:val="Default"/>
              <w:rPr>
                <w:rFonts w:ascii="Arial" w:hAnsi="Arial" w:cs="Arial"/>
                <w:sz w:val="16"/>
                <w:szCs w:val="16"/>
              </w:rPr>
            </w:pPr>
            <w:r w:rsidRPr="00A64FE8">
              <w:rPr>
                <w:rFonts w:ascii="Arial" w:hAnsi="Arial" w:cs="Arial"/>
                <w:sz w:val="16"/>
                <w:szCs w:val="16"/>
              </w:rPr>
              <w:t>0</w:t>
            </w:r>
          </w:p>
        </w:tc>
      </w:tr>
    </w:tbl>
    <w:p w:rsidRPr="00F22CDC" w:rsidR="009E1608" w:rsidP="00764F69" w:rsidRDefault="009E1608">
      <w:pPr>
        <w:rPr>
          <w:rFonts w:ascii="Verdana" w:hAnsi="Verdana"/>
          <w:sz w:val="18"/>
          <w:szCs w:val="18"/>
        </w:rPr>
      </w:pPr>
    </w:p>
    <w:p w:rsidRPr="00617EA5" w:rsidR="009E1608" w:rsidP="00077E81" w:rsidRDefault="009E1608">
      <w:pPr>
        <w:rPr>
          <w:rFonts w:ascii="Verdana" w:hAnsi="Verdana"/>
          <w:sz w:val="18"/>
          <w:szCs w:val="18"/>
        </w:rPr>
      </w:pPr>
      <w:r w:rsidRPr="00617EA5">
        <w:rPr>
          <w:rFonts w:ascii="Verdana" w:hAnsi="Verdana"/>
          <w:sz w:val="18"/>
          <w:szCs w:val="18"/>
        </w:rPr>
        <w:t xml:space="preserve">Er </w:t>
      </w:r>
      <w:r w:rsidRPr="00617EA5" w:rsidR="00FC2967">
        <w:rPr>
          <w:rFonts w:ascii="Verdana" w:hAnsi="Verdana"/>
          <w:sz w:val="18"/>
          <w:szCs w:val="18"/>
        </w:rPr>
        <w:t>is</w:t>
      </w:r>
      <w:r w:rsidRPr="00617EA5">
        <w:rPr>
          <w:rFonts w:ascii="Verdana" w:hAnsi="Verdana"/>
          <w:sz w:val="18"/>
          <w:szCs w:val="18"/>
        </w:rPr>
        <w:t xml:space="preserve"> in 2010 </w:t>
      </w:r>
      <w:r w:rsidR="00B518FB">
        <w:rPr>
          <w:rFonts w:ascii="Verdana" w:hAnsi="Verdana"/>
          <w:sz w:val="18"/>
          <w:szCs w:val="18"/>
        </w:rPr>
        <w:t>één</w:t>
      </w:r>
      <w:r w:rsidRPr="00617EA5" w:rsidR="00FC2967">
        <w:rPr>
          <w:rFonts w:ascii="Verdana" w:hAnsi="Verdana"/>
          <w:sz w:val="18"/>
          <w:szCs w:val="18"/>
        </w:rPr>
        <w:t xml:space="preserve"> </w:t>
      </w:r>
      <w:r w:rsidRPr="00617EA5">
        <w:rPr>
          <w:rFonts w:ascii="Verdana" w:hAnsi="Verdana"/>
          <w:sz w:val="18"/>
          <w:szCs w:val="18"/>
        </w:rPr>
        <w:t>dwangsom</w:t>
      </w:r>
      <w:r w:rsidRPr="00617EA5" w:rsidR="00FC2967">
        <w:rPr>
          <w:rFonts w:ascii="Verdana" w:hAnsi="Verdana"/>
          <w:sz w:val="18"/>
          <w:szCs w:val="18"/>
        </w:rPr>
        <w:t xml:space="preserve"> </w:t>
      </w:r>
      <w:r w:rsidRPr="00617EA5">
        <w:rPr>
          <w:rFonts w:ascii="Verdana" w:hAnsi="Verdana"/>
          <w:sz w:val="18"/>
          <w:szCs w:val="18"/>
        </w:rPr>
        <w:t xml:space="preserve"> door VWS betaald voor het niet halen van de wettelijke beantwoordingtermijn.</w:t>
      </w:r>
      <w:r w:rsidRPr="00617EA5" w:rsidR="00244330">
        <w:rPr>
          <w:rFonts w:ascii="Verdana" w:hAnsi="Verdana"/>
          <w:sz w:val="18"/>
          <w:szCs w:val="18"/>
        </w:rPr>
        <w:t xml:space="preserve"> Dat is een zeer </w:t>
      </w:r>
      <w:r w:rsidRPr="00617EA5" w:rsidR="00FC2967">
        <w:rPr>
          <w:rFonts w:ascii="Verdana" w:hAnsi="Verdana"/>
          <w:sz w:val="18"/>
          <w:szCs w:val="18"/>
        </w:rPr>
        <w:t>gering</w:t>
      </w:r>
      <w:r w:rsidRPr="00617EA5" w:rsidR="00244330">
        <w:rPr>
          <w:rFonts w:ascii="Verdana" w:hAnsi="Verdana"/>
          <w:sz w:val="18"/>
          <w:szCs w:val="18"/>
        </w:rPr>
        <w:t xml:space="preserve"> percentage van het totale aantal </w:t>
      </w:r>
      <w:proofErr w:type="spellStart"/>
      <w:r w:rsidRPr="00617EA5" w:rsidR="00244330">
        <w:rPr>
          <w:rFonts w:ascii="Verdana" w:hAnsi="Verdana"/>
          <w:sz w:val="18"/>
          <w:szCs w:val="18"/>
        </w:rPr>
        <w:t>W</w:t>
      </w:r>
      <w:r w:rsidRPr="00617EA5" w:rsidR="00E80524">
        <w:rPr>
          <w:rFonts w:ascii="Verdana" w:hAnsi="Verdana"/>
          <w:sz w:val="18"/>
          <w:szCs w:val="18"/>
        </w:rPr>
        <w:t>ob</w:t>
      </w:r>
      <w:r w:rsidRPr="00617EA5" w:rsidR="00FC2967">
        <w:rPr>
          <w:rFonts w:ascii="Verdana" w:hAnsi="Verdana"/>
          <w:sz w:val="18"/>
          <w:szCs w:val="18"/>
        </w:rPr>
        <w:t>-verzoeken</w:t>
      </w:r>
      <w:proofErr w:type="spellEnd"/>
      <w:r w:rsidRPr="00617EA5" w:rsidR="00FC2967">
        <w:rPr>
          <w:rFonts w:ascii="Verdana" w:hAnsi="Verdana"/>
          <w:sz w:val="18"/>
          <w:szCs w:val="18"/>
        </w:rPr>
        <w:t>, te weten 0,6 %</w:t>
      </w:r>
    </w:p>
    <w:p w:rsidRPr="006F3E86" w:rsidR="009E1608" w:rsidP="00077E81" w:rsidRDefault="009E1608">
      <w:pPr>
        <w:rPr>
          <w:b/>
        </w:rPr>
      </w:pPr>
    </w:p>
    <w:p w:rsidRPr="00617EA5" w:rsidR="009E1608" w:rsidP="00077E81" w:rsidRDefault="009E1608">
      <w:pPr>
        <w:rPr>
          <w:rFonts w:ascii="Verdana" w:hAnsi="Verdana"/>
          <w:b/>
          <w:sz w:val="18"/>
          <w:szCs w:val="18"/>
        </w:rPr>
      </w:pPr>
      <w:r w:rsidRPr="00617EA5">
        <w:rPr>
          <w:rFonts w:ascii="Verdana" w:hAnsi="Verdana"/>
          <w:b/>
          <w:sz w:val="18"/>
          <w:szCs w:val="18"/>
        </w:rPr>
        <w:t>E-mailberichten</w:t>
      </w:r>
    </w:p>
    <w:p w:rsidRPr="00617EA5" w:rsidR="009E1608" w:rsidP="00077E81" w:rsidRDefault="009E1608">
      <w:pPr>
        <w:rPr>
          <w:rFonts w:ascii="Verdana" w:hAnsi="Verdana"/>
          <w:sz w:val="18"/>
          <w:szCs w:val="18"/>
        </w:rPr>
      </w:pPr>
      <w:r w:rsidRPr="00617EA5">
        <w:rPr>
          <w:rFonts w:ascii="Verdana" w:hAnsi="Verdana"/>
          <w:sz w:val="18"/>
          <w:szCs w:val="18"/>
        </w:rPr>
        <w:t xml:space="preserve">Tenslotte hierbij nog enige informatie over de door VWS ontvangen e-mailberichten van burgers. Deze worden bij VWS als burgercontact geregistreerd en niet apart onder de vermelding van e-mail bijgehouden. In 2010 heeft Postbus51 voor VWS 9759 e-mails ontvangen. Hiervan zijn er 3397 doorgestuurd naar VWS. Buiten de e-mails die Postbus51 heeft doorgestuurd, heeft de Afdeling Publieksvoorlichting van VWS nog 1062 burgercontacten geregistreerd. Deze laatste categorie is echter niet uitgesplitst naar soort contact (e-mail, telefoon). De contacten die via </w:t>
      </w:r>
      <w:r w:rsidRPr="00617EA5">
        <w:rPr>
          <w:rFonts w:ascii="Verdana" w:hAnsi="Verdana"/>
          <w:sz w:val="18"/>
          <w:szCs w:val="18"/>
        </w:rPr>
        <w:lastRenderedPageBreak/>
        <w:t>Publieksvoorlichting verlopen worden niet in een apart systeem geregistreerd, maar vooralsnog handmatig bijgehouden.</w:t>
      </w:r>
    </w:p>
    <w:p w:rsidRPr="00617EA5" w:rsidR="009E1608" w:rsidP="00077E81" w:rsidRDefault="009E1608">
      <w:pPr>
        <w:rPr>
          <w:rFonts w:ascii="Verdana" w:hAnsi="Verdana"/>
          <w:sz w:val="18"/>
          <w:szCs w:val="18"/>
        </w:rPr>
      </w:pPr>
      <w:r w:rsidRPr="00617EA5">
        <w:rPr>
          <w:rFonts w:ascii="Verdana" w:hAnsi="Verdana"/>
          <w:sz w:val="18"/>
          <w:szCs w:val="18"/>
        </w:rPr>
        <w:t xml:space="preserve">Ook enkele uitvoeringsdiensten van VWS </w:t>
      </w:r>
      <w:r w:rsidR="00517CE5">
        <w:rPr>
          <w:rFonts w:ascii="Verdana" w:hAnsi="Verdana"/>
          <w:sz w:val="18"/>
          <w:szCs w:val="18"/>
        </w:rPr>
        <w:t>zijn</w:t>
      </w:r>
      <w:r w:rsidRPr="00617EA5">
        <w:rPr>
          <w:rFonts w:ascii="Verdana" w:hAnsi="Verdana"/>
          <w:sz w:val="18"/>
          <w:szCs w:val="18"/>
        </w:rPr>
        <w:t xml:space="preserve"> per e-mail benaderd door burgers. In het verslagjaar 2010 ontving het RIVM via Postbus51 5 e-mails, terwijl rechtstreeks </w:t>
      </w:r>
      <w:r w:rsidRPr="00617EA5" w:rsidR="00FC2967">
        <w:rPr>
          <w:rFonts w:ascii="Verdana" w:hAnsi="Verdana"/>
          <w:sz w:val="18"/>
          <w:szCs w:val="18"/>
        </w:rPr>
        <w:t>circa 3000</w:t>
      </w:r>
      <w:r w:rsidRPr="00617EA5">
        <w:rPr>
          <w:rFonts w:ascii="Verdana" w:hAnsi="Verdana"/>
          <w:sz w:val="18"/>
          <w:szCs w:val="18"/>
        </w:rPr>
        <w:t xml:space="preserve"> e-mails werden ontvangen. Het CIBG ontving maarliefst ruim 20</w:t>
      </w:r>
      <w:r w:rsidRPr="00617EA5" w:rsidR="00FC2967">
        <w:rPr>
          <w:rFonts w:ascii="Verdana" w:hAnsi="Verdana"/>
          <w:sz w:val="18"/>
          <w:szCs w:val="18"/>
        </w:rPr>
        <w:t>.000</w:t>
      </w:r>
      <w:r w:rsidRPr="00617EA5">
        <w:rPr>
          <w:rFonts w:ascii="Verdana" w:hAnsi="Verdana"/>
          <w:sz w:val="18"/>
          <w:szCs w:val="18"/>
        </w:rPr>
        <w:t xml:space="preserve"> e-mails</w:t>
      </w:r>
      <w:r w:rsidRPr="00617EA5" w:rsidR="00FC2967">
        <w:rPr>
          <w:rFonts w:ascii="Verdana" w:hAnsi="Verdana"/>
          <w:sz w:val="18"/>
          <w:szCs w:val="18"/>
        </w:rPr>
        <w:t xml:space="preserve">. Deze grote toename ten opzichte van 2009 is tweeledig te verklaren. Ten eerste hanteert het CIBG sinds 2010 een registratiesysteem waarin alle e-mailcorrespondentie wordt opgenomen, terwijl dit in 2009 nog niet het geval was. Ten tweede is deze stijging te verklaren </w:t>
      </w:r>
      <w:r w:rsidRPr="00617EA5">
        <w:rPr>
          <w:rFonts w:ascii="Verdana" w:hAnsi="Verdana"/>
          <w:sz w:val="18"/>
          <w:szCs w:val="18"/>
        </w:rPr>
        <w:t>vanuit</w:t>
      </w:r>
      <w:r w:rsidRPr="00617EA5" w:rsidR="00FC2967">
        <w:rPr>
          <w:rFonts w:ascii="Verdana" w:hAnsi="Verdana"/>
          <w:sz w:val="18"/>
          <w:szCs w:val="18"/>
        </w:rPr>
        <w:t xml:space="preserve"> diverse</w:t>
      </w:r>
      <w:r w:rsidRPr="00617EA5">
        <w:rPr>
          <w:rFonts w:ascii="Verdana" w:hAnsi="Verdana"/>
          <w:sz w:val="18"/>
          <w:szCs w:val="18"/>
        </w:rPr>
        <w:t xml:space="preserve"> publiekscampagnes die zijn gevoerd</w:t>
      </w:r>
      <w:r w:rsidRPr="00617EA5" w:rsidR="00FC2967">
        <w:rPr>
          <w:rFonts w:ascii="Verdana" w:hAnsi="Verdana"/>
          <w:sz w:val="18"/>
          <w:szCs w:val="18"/>
        </w:rPr>
        <w:t xml:space="preserve"> in 2010, onder andere</w:t>
      </w:r>
      <w:r w:rsidRPr="00617EA5">
        <w:rPr>
          <w:rFonts w:ascii="Verdana" w:hAnsi="Verdana"/>
          <w:sz w:val="18"/>
          <w:szCs w:val="18"/>
        </w:rPr>
        <w:t xml:space="preserve"> in het kader van donorregistratie en het </w:t>
      </w:r>
      <w:r w:rsidRPr="00617EA5" w:rsidR="00E80524">
        <w:rPr>
          <w:rFonts w:ascii="Verdana" w:hAnsi="Verdana"/>
          <w:sz w:val="18"/>
          <w:szCs w:val="18"/>
        </w:rPr>
        <w:t>E</w:t>
      </w:r>
      <w:r w:rsidRPr="00617EA5">
        <w:rPr>
          <w:rFonts w:ascii="Verdana" w:hAnsi="Verdana"/>
          <w:sz w:val="18"/>
          <w:szCs w:val="18"/>
        </w:rPr>
        <w:t xml:space="preserve">lektronisch </w:t>
      </w:r>
      <w:r w:rsidRPr="00617EA5" w:rsidR="00E80524">
        <w:rPr>
          <w:rFonts w:ascii="Verdana" w:hAnsi="Verdana"/>
          <w:sz w:val="18"/>
          <w:szCs w:val="18"/>
        </w:rPr>
        <w:t>P</w:t>
      </w:r>
      <w:r w:rsidRPr="00617EA5">
        <w:rPr>
          <w:rFonts w:ascii="Verdana" w:hAnsi="Verdana"/>
          <w:sz w:val="18"/>
          <w:szCs w:val="18"/>
        </w:rPr>
        <w:t>atiënten</w:t>
      </w:r>
      <w:r w:rsidRPr="00617EA5" w:rsidR="00E80524">
        <w:rPr>
          <w:rFonts w:ascii="Verdana" w:hAnsi="Verdana"/>
          <w:sz w:val="18"/>
          <w:szCs w:val="18"/>
        </w:rPr>
        <w:t xml:space="preserve"> D</w:t>
      </w:r>
      <w:r w:rsidRPr="00617EA5">
        <w:rPr>
          <w:rFonts w:ascii="Verdana" w:hAnsi="Verdana"/>
          <w:sz w:val="18"/>
          <w:szCs w:val="18"/>
        </w:rPr>
        <w:t>ossier. Het CBG, NVI, de Gezondheidsraad en het SCP ontvingen ieder circa 700-1000 e-mails in 2010. In de regel worden e-mailcontacten binnen één week afgehandeld.</w:t>
      </w:r>
    </w:p>
    <w:p w:rsidRPr="00617EA5" w:rsidR="009E1608" w:rsidP="00077E81" w:rsidRDefault="009E1608">
      <w:pPr>
        <w:rPr>
          <w:rFonts w:ascii="Verdana" w:hAnsi="Verdana"/>
          <w:sz w:val="18"/>
          <w:szCs w:val="18"/>
        </w:rPr>
      </w:pPr>
    </w:p>
    <w:sectPr w:rsidRPr="00617EA5" w:rsidR="009E1608" w:rsidSect="004E330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C28" w:rsidRDefault="00576C28" w:rsidP="00576C28">
      <w:pPr>
        <w:spacing w:after="0" w:line="240" w:lineRule="auto"/>
      </w:pPr>
      <w:r>
        <w:separator/>
      </w:r>
    </w:p>
  </w:endnote>
  <w:endnote w:type="continuationSeparator" w:id="0">
    <w:p w:rsidR="00576C28" w:rsidRDefault="00576C28" w:rsidP="00576C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C28" w:rsidRDefault="00576C2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6969"/>
      <w:docPartObj>
        <w:docPartGallery w:val="Page Numbers (Bottom of Page)"/>
        <w:docPartUnique/>
      </w:docPartObj>
    </w:sdtPr>
    <w:sdtContent>
      <w:p w:rsidR="00576C28" w:rsidRDefault="00070519">
        <w:pPr>
          <w:pStyle w:val="Voettekst"/>
          <w:jc w:val="right"/>
        </w:pPr>
        <w:fldSimple w:instr=" PAGE   \* MERGEFORMAT ">
          <w:r w:rsidR="002320AE">
            <w:rPr>
              <w:noProof/>
            </w:rPr>
            <w:t>2</w:t>
          </w:r>
        </w:fldSimple>
      </w:p>
    </w:sdtContent>
  </w:sdt>
  <w:p w:rsidR="00576C28" w:rsidRDefault="00576C2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C28" w:rsidRDefault="00576C2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C28" w:rsidRDefault="00576C28" w:rsidP="00576C28">
      <w:pPr>
        <w:spacing w:after="0" w:line="240" w:lineRule="auto"/>
      </w:pPr>
      <w:r>
        <w:separator/>
      </w:r>
    </w:p>
  </w:footnote>
  <w:footnote w:type="continuationSeparator" w:id="0">
    <w:p w:rsidR="00576C28" w:rsidRDefault="00576C28" w:rsidP="00576C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C28" w:rsidRDefault="00576C2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C28" w:rsidRDefault="00576C28">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C28" w:rsidRDefault="00576C28">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81FC8"/>
    <w:rsid w:val="00010159"/>
    <w:rsid w:val="000347EF"/>
    <w:rsid w:val="00047FF0"/>
    <w:rsid w:val="00053601"/>
    <w:rsid w:val="00070519"/>
    <w:rsid w:val="00077E81"/>
    <w:rsid w:val="00130567"/>
    <w:rsid w:val="00151F18"/>
    <w:rsid w:val="0019008C"/>
    <w:rsid w:val="00201055"/>
    <w:rsid w:val="002320AE"/>
    <w:rsid w:val="00244330"/>
    <w:rsid w:val="0026182A"/>
    <w:rsid w:val="0028278C"/>
    <w:rsid w:val="002C0314"/>
    <w:rsid w:val="002D06FC"/>
    <w:rsid w:val="002D23A3"/>
    <w:rsid w:val="003557BF"/>
    <w:rsid w:val="003A5DD3"/>
    <w:rsid w:val="00436E2C"/>
    <w:rsid w:val="004735DA"/>
    <w:rsid w:val="004B6FD4"/>
    <w:rsid w:val="004E3306"/>
    <w:rsid w:val="0050408B"/>
    <w:rsid w:val="00517CE5"/>
    <w:rsid w:val="0053231A"/>
    <w:rsid w:val="00532736"/>
    <w:rsid w:val="00547505"/>
    <w:rsid w:val="00554ABA"/>
    <w:rsid w:val="00576C28"/>
    <w:rsid w:val="005D14F6"/>
    <w:rsid w:val="00617EA5"/>
    <w:rsid w:val="00662C03"/>
    <w:rsid w:val="006D73EA"/>
    <w:rsid w:val="006F3E86"/>
    <w:rsid w:val="007614D7"/>
    <w:rsid w:val="00761A9B"/>
    <w:rsid w:val="00764F69"/>
    <w:rsid w:val="00781FC8"/>
    <w:rsid w:val="00790874"/>
    <w:rsid w:val="007A7817"/>
    <w:rsid w:val="007B682E"/>
    <w:rsid w:val="007E7955"/>
    <w:rsid w:val="00802C87"/>
    <w:rsid w:val="00885940"/>
    <w:rsid w:val="00925582"/>
    <w:rsid w:val="0093243B"/>
    <w:rsid w:val="009352D4"/>
    <w:rsid w:val="00996CE4"/>
    <w:rsid w:val="009A07C9"/>
    <w:rsid w:val="009C4D84"/>
    <w:rsid w:val="009E1608"/>
    <w:rsid w:val="009F578D"/>
    <w:rsid w:val="00A0444F"/>
    <w:rsid w:val="00A4637E"/>
    <w:rsid w:val="00A64FE8"/>
    <w:rsid w:val="00A655F1"/>
    <w:rsid w:val="00A85D03"/>
    <w:rsid w:val="00B1722F"/>
    <w:rsid w:val="00B30A95"/>
    <w:rsid w:val="00B518FB"/>
    <w:rsid w:val="00BF5441"/>
    <w:rsid w:val="00C3268A"/>
    <w:rsid w:val="00C77C80"/>
    <w:rsid w:val="00CD305D"/>
    <w:rsid w:val="00D04454"/>
    <w:rsid w:val="00DD0DFA"/>
    <w:rsid w:val="00DD3615"/>
    <w:rsid w:val="00E07B66"/>
    <w:rsid w:val="00E467E4"/>
    <w:rsid w:val="00E57F6D"/>
    <w:rsid w:val="00E80524"/>
    <w:rsid w:val="00F0729F"/>
    <w:rsid w:val="00F22CDC"/>
    <w:rsid w:val="00F2716F"/>
    <w:rsid w:val="00F5652E"/>
    <w:rsid w:val="00F73B73"/>
    <w:rsid w:val="00FC29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3306"/>
    <w:pPr>
      <w:spacing w:after="200" w:line="276"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764F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764F69"/>
    <w:pPr>
      <w:autoSpaceDE w:val="0"/>
      <w:autoSpaceDN w:val="0"/>
      <w:adjustRightInd w:val="0"/>
    </w:pPr>
    <w:rPr>
      <w:rFonts w:ascii="Verdana" w:eastAsia="Times New Roman" w:hAnsi="Verdana" w:cs="Verdana"/>
      <w:color w:val="000000"/>
      <w:sz w:val="24"/>
      <w:szCs w:val="24"/>
      <w:lang w:val="nl-NL" w:eastAsia="nl-NL"/>
    </w:rPr>
  </w:style>
  <w:style w:type="paragraph" w:styleId="Ballontekst">
    <w:name w:val="Balloon Text"/>
    <w:basedOn w:val="Standaard"/>
    <w:link w:val="BallontekstChar"/>
    <w:uiPriority w:val="99"/>
    <w:semiHidden/>
    <w:rsid w:val="00D04454"/>
    <w:rPr>
      <w:rFonts w:ascii="Tahoma" w:hAnsi="Tahoma" w:cs="Tahoma"/>
      <w:sz w:val="16"/>
      <w:szCs w:val="16"/>
    </w:rPr>
  </w:style>
  <w:style w:type="character" w:customStyle="1" w:styleId="BallontekstChar">
    <w:name w:val="Ballontekst Char"/>
    <w:basedOn w:val="Standaardalinea-lettertype"/>
    <w:link w:val="Ballontekst"/>
    <w:uiPriority w:val="99"/>
    <w:semiHidden/>
    <w:rsid w:val="005C43F2"/>
    <w:rPr>
      <w:rFonts w:ascii="Times New Roman" w:hAnsi="Times New Roman"/>
      <w:sz w:val="0"/>
      <w:szCs w:val="0"/>
      <w:lang w:val="nl-NL"/>
    </w:rPr>
  </w:style>
  <w:style w:type="character" w:styleId="Verwijzingopmerking">
    <w:name w:val="annotation reference"/>
    <w:basedOn w:val="Standaardalinea-lettertype"/>
    <w:uiPriority w:val="99"/>
    <w:semiHidden/>
    <w:rsid w:val="00D04454"/>
    <w:rPr>
      <w:rFonts w:cs="Times New Roman"/>
      <w:sz w:val="16"/>
      <w:szCs w:val="16"/>
    </w:rPr>
  </w:style>
  <w:style w:type="paragraph" w:styleId="Tekstopmerking">
    <w:name w:val="annotation text"/>
    <w:basedOn w:val="Standaard"/>
    <w:link w:val="TekstopmerkingChar"/>
    <w:uiPriority w:val="99"/>
    <w:semiHidden/>
    <w:rsid w:val="00D04454"/>
    <w:rPr>
      <w:sz w:val="20"/>
      <w:szCs w:val="20"/>
    </w:rPr>
  </w:style>
  <w:style w:type="character" w:customStyle="1" w:styleId="TekstopmerkingChar">
    <w:name w:val="Tekst opmerking Char"/>
    <w:basedOn w:val="Standaardalinea-lettertype"/>
    <w:link w:val="Tekstopmerking"/>
    <w:uiPriority w:val="99"/>
    <w:semiHidden/>
    <w:rsid w:val="005C43F2"/>
    <w:rPr>
      <w:sz w:val="20"/>
      <w:szCs w:val="20"/>
      <w:lang w:val="nl-NL"/>
    </w:rPr>
  </w:style>
  <w:style w:type="paragraph" w:styleId="Onderwerpvanopmerking">
    <w:name w:val="annotation subject"/>
    <w:basedOn w:val="Tekstopmerking"/>
    <w:next w:val="Tekstopmerking"/>
    <w:link w:val="OnderwerpvanopmerkingChar"/>
    <w:uiPriority w:val="99"/>
    <w:semiHidden/>
    <w:rsid w:val="00D04454"/>
    <w:rPr>
      <w:b/>
      <w:bCs/>
    </w:rPr>
  </w:style>
  <w:style w:type="character" w:customStyle="1" w:styleId="OnderwerpvanopmerkingChar">
    <w:name w:val="Onderwerp van opmerking Char"/>
    <w:basedOn w:val="TekstopmerkingChar"/>
    <w:link w:val="Onderwerpvanopmerking"/>
    <w:uiPriority w:val="99"/>
    <w:semiHidden/>
    <w:rsid w:val="005C43F2"/>
    <w:rPr>
      <w:b/>
      <w:bCs/>
    </w:rPr>
  </w:style>
  <w:style w:type="paragraph" w:styleId="Koptekst">
    <w:name w:val="header"/>
    <w:basedOn w:val="Standaard"/>
    <w:link w:val="KoptekstChar"/>
    <w:uiPriority w:val="99"/>
    <w:semiHidden/>
    <w:unhideWhenUsed/>
    <w:rsid w:val="00576C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76C28"/>
    <w:rPr>
      <w:lang w:val="nl-NL"/>
    </w:rPr>
  </w:style>
  <w:style w:type="paragraph" w:styleId="Voettekst">
    <w:name w:val="footer"/>
    <w:basedOn w:val="Standaard"/>
    <w:link w:val="VoettekstChar"/>
    <w:uiPriority w:val="99"/>
    <w:unhideWhenUsed/>
    <w:rsid w:val="00576C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6C28"/>
    <w:rPr>
      <w:lang w:val="nl-NL"/>
    </w:rPr>
  </w:style>
</w:styles>
</file>

<file path=word/webSettings.xml><?xml version="1.0" encoding="utf-8"?>
<w:webSettings xmlns:r="http://schemas.openxmlformats.org/officeDocument/2006/relationships" xmlns:w="http://schemas.openxmlformats.org/wordprocessingml/2006/main">
  <w:divs>
    <w:div w:id="1672879168">
      <w:marLeft w:val="0"/>
      <w:marRight w:val="0"/>
      <w:marTop w:val="0"/>
      <w:marBottom w:val="0"/>
      <w:divBdr>
        <w:top w:val="none" w:sz="0" w:space="0" w:color="auto"/>
        <w:left w:val="none" w:sz="0" w:space="0" w:color="auto"/>
        <w:bottom w:val="none" w:sz="0" w:space="0" w:color="auto"/>
        <w:right w:val="none" w:sz="0" w:space="0" w:color="auto"/>
      </w:divBdr>
    </w:div>
    <w:div w:id="1997370062">
      <w:bodyDiv w:val="1"/>
      <w:marLeft w:val="0"/>
      <w:marRight w:val="0"/>
      <w:marTop w:val="0"/>
      <w:marBottom w:val="0"/>
      <w:divBdr>
        <w:top w:val="none" w:sz="0" w:space="0" w:color="auto"/>
        <w:left w:val="none" w:sz="0" w:space="0" w:color="auto"/>
        <w:bottom w:val="none" w:sz="0" w:space="0" w:color="auto"/>
        <w:right w:val="none" w:sz="0" w:space="0" w:color="auto"/>
      </w:divBdr>
      <w:divsChild>
        <w:div w:id="642085115">
          <w:marLeft w:val="0"/>
          <w:marRight w:val="0"/>
          <w:marTop w:val="0"/>
          <w:marBottom w:val="0"/>
          <w:divBdr>
            <w:top w:val="none" w:sz="0" w:space="0" w:color="auto"/>
            <w:left w:val="none" w:sz="0" w:space="0" w:color="auto"/>
            <w:bottom w:val="none" w:sz="0" w:space="0" w:color="auto"/>
            <w:right w:val="none" w:sz="0" w:space="0" w:color="auto"/>
          </w:divBdr>
          <w:divsChild>
            <w:div w:id="1845241766">
              <w:marLeft w:val="0"/>
              <w:marRight w:val="0"/>
              <w:marTop w:val="0"/>
              <w:marBottom w:val="0"/>
              <w:divBdr>
                <w:top w:val="none" w:sz="0" w:space="0" w:color="auto"/>
                <w:left w:val="none" w:sz="0" w:space="0" w:color="auto"/>
                <w:bottom w:val="none" w:sz="0" w:space="0" w:color="auto"/>
                <w:right w:val="none" w:sz="0" w:space="0" w:color="auto"/>
              </w:divBdr>
              <w:divsChild>
                <w:div w:id="620108608">
                  <w:marLeft w:val="0"/>
                  <w:marRight w:val="0"/>
                  <w:marTop w:val="0"/>
                  <w:marBottom w:val="0"/>
                  <w:divBdr>
                    <w:top w:val="none" w:sz="0" w:space="0" w:color="auto"/>
                    <w:left w:val="none" w:sz="0" w:space="0" w:color="auto"/>
                    <w:bottom w:val="none" w:sz="0" w:space="0" w:color="auto"/>
                    <w:right w:val="none" w:sz="0" w:space="0" w:color="auto"/>
                  </w:divBdr>
                  <w:divsChild>
                    <w:div w:id="457069928">
                      <w:marLeft w:val="0"/>
                      <w:marRight w:val="0"/>
                      <w:marTop w:val="0"/>
                      <w:marBottom w:val="0"/>
                      <w:divBdr>
                        <w:top w:val="none" w:sz="0" w:space="0" w:color="auto"/>
                        <w:left w:val="none" w:sz="0" w:space="0" w:color="auto"/>
                        <w:bottom w:val="none" w:sz="0" w:space="0" w:color="auto"/>
                        <w:right w:val="none" w:sz="0" w:space="0" w:color="auto"/>
                      </w:divBdr>
                      <w:divsChild>
                        <w:div w:id="16742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05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2213</ap:Words>
  <ap:Characters>13129</ap:Characters>
  <ap:DocSecurity>0</ap:DocSecurity>
  <ap:Lines>109</ap:Lines>
  <ap:Paragraphs>30</ap:Paragraphs>
  <ap:ScaleCrop>false</ap:ScaleCrop>
  <ap:HeadingPairs>
    <vt:vector baseType="variant" size="2">
      <vt:variant>
        <vt:lpstr>Titel</vt:lpstr>
      </vt:variant>
      <vt:variant>
        <vt:i4>1</vt:i4>
      </vt:variant>
    </vt:vector>
  </ap:HeadingPairs>
  <ap:TitlesOfParts>
    <vt:vector baseType="lpstr" size="1">
      <vt:lpstr>Bijlage 1</vt:lpstr>
    </vt:vector>
  </ap:TitlesOfParts>
  <ap:LinksUpToDate>false</ap:LinksUpToDate>
  <ap:CharactersWithSpaces>15312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2011-05-09T12:35:00.0000000Z</dcterms:created>
  <dcterms:modified xsi:type="dcterms:W3CDTF">2011-05-09T12:35:00.0000000Z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0x010100197450995805EE4B8DF71FDC60F5CBD8</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