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14:paraId="11059593" w14:textId="77777777">
        <w:tc>
          <w:tcPr>
            <w:tcW w:w="6379" w:type="dxa"/>
            <w:gridSpan w:val="2"/>
            <w:tcBorders>
              <w:top w:val="nil"/>
              <w:left w:val="nil"/>
              <w:bottom w:val="nil"/>
              <w:right w:val="nil"/>
            </w:tcBorders>
            <w:vAlign w:val="center"/>
          </w:tcPr>
          <w:p w:rsidR="004330ED" w:rsidP="00EA1CE4" w:rsidRDefault="004330ED" w14:paraId="637D9057" w14:textId="77777777">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14:paraId="63175430" w14:textId="77777777">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14:paraId="460D3570" w14:textId="77777777">
        <w:trPr>
          <w:cantSplit/>
        </w:trPr>
        <w:tc>
          <w:tcPr>
            <w:tcW w:w="10348" w:type="dxa"/>
            <w:gridSpan w:val="3"/>
            <w:tcBorders>
              <w:top w:val="single" w:color="auto" w:sz="4" w:space="0"/>
              <w:left w:val="nil"/>
              <w:bottom w:val="nil"/>
              <w:right w:val="nil"/>
            </w:tcBorders>
          </w:tcPr>
          <w:p w:rsidR="004330ED" w:rsidP="004A1E29" w:rsidRDefault="004330ED" w14:paraId="1E47DD9B" w14:textId="77777777">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14:paraId="23AA83A9" w14:textId="77777777">
        <w:trPr>
          <w:cantSplit/>
        </w:trPr>
        <w:tc>
          <w:tcPr>
            <w:tcW w:w="10348" w:type="dxa"/>
            <w:gridSpan w:val="3"/>
            <w:tcBorders>
              <w:top w:val="nil"/>
              <w:left w:val="nil"/>
              <w:bottom w:val="nil"/>
              <w:right w:val="nil"/>
            </w:tcBorders>
          </w:tcPr>
          <w:p w:rsidR="004330ED" w:rsidP="00BF623B" w:rsidRDefault="004330ED" w14:paraId="03C7D106" w14:textId="77777777">
            <w:pPr>
              <w:pStyle w:val="Amendement"/>
              <w:tabs>
                <w:tab w:val="clear" w:pos="3310"/>
                <w:tab w:val="clear" w:pos="3600"/>
              </w:tabs>
              <w:rPr>
                <w:rFonts w:ascii="Times New Roman" w:hAnsi="Times New Roman"/>
                <w:b w:val="0"/>
              </w:rPr>
            </w:pPr>
          </w:p>
        </w:tc>
      </w:tr>
      <w:tr w:rsidR="004330ED" w:rsidTr="00EA1CE4" w14:paraId="4079C327" w14:textId="77777777">
        <w:trPr>
          <w:cantSplit/>
        </w:trPr>
        <w:tc>
          <w:tcPr>
            <w:tcW w:w="10348" w:type="dxa"/>
            <w:gridSpan w:val="3"/>
            <w:tcBorders>
              <w:top w:val="nil"/>
              <w:left w:val="nil"/>
              <w:bottom w:val="single" w:color="auto" w:sz="4" w:space="0"/>
              <w:right w:val="nil"/>
            </w:tcBorders>
          </w:tcPr>
          <w:p w:rsidR="004330ED" w:rsidP="00BF623B" w:rsidRDefault="004330ED" w14:paraId="5F89B1E0" w14:textId="77777777">
            <w:pPr>
              <w:pStyle w:val="Amendement"/>
              <w:tabs>
                <w:tab w:val="clear" w:pos="3310"/>
                <w:tab w:val="clear" w:pos="3600"/>
              </w:tabs>
              <w:rPr>
                <w:rFonts w:ascii="Times New Roman" w:hAnsi="Times New Roman"/>
              </w:rPr>
            </w:pPr>
          </w:p>
        </w:tc>
      </w:tr>
      <w:tr w:rsidR="004330ED" w:rsidTr="00EA1CE4" w14:paraId="7B538A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14:paraId="1A4094C6" w14:textId="77777777">
            <w:pPr>
              <w:pStyle w:val="Amendement"/>
              <w:tabs>
                <w:tab w:val="clear" w:pos="3310"/>
                <w:tab w:val="clear" w:pos="3600"/>
              </w:tabs>
              <w:rPr>
                <w:rFonts w:ascii="Times New Roman" w:hAnsi="Times New Roman"/>
              </w:rPr>
            </w:pPr>
          </w:p>
        </w:tc>
        <w:tc>
          <w:tcPr>
            <w:tcW w:w="7371" w:type="dxa"/>
            <w:gridSpan w:val="2"/>
          </w:tcPr>
          <w:p w:rsidR="004330ED" w:rsidP="006E0971" w:rsidRDefault="004330ED" w14:paraId="3A982F18" w14:textId="77777777">
            <w:pPr>
              <w:suppressAutoHyphens/>
              <w:ind w:left="-70"/>
              <w:rPr>
                <w:b/>
              </w:rPr>
            </w:pPr>
          </w:p>
        </w:tc>
      </w:tr>
      <w:tr w:rsidR="003C21AC" w:rsidTr="00EA1CE4" w14:paraId="17CE2C0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9F05E3" w14:paraId="4EECA879" w14:textId="77777777">
            <w:pPr>
              <w:pStyle w:val="Amendement"/>
              <w:tabs>
                <w:tab w:val="clear" w:pos="3310"/>
                <w:tab w:val="clear" w:pos="3600"/>
              </w:tabs>
              <w:rPr>
                <w:rFonts w:ascii="Times New Roman" w:hAnsi="Times New Roman"/>
              </w:rPr>
            </w:pPr>
            <w:r>
              <w:rPr>
                <w:rFonts w:ascii="Times New Roman" w:hAnsi="Times New Roman"/>
              </w:rPr>
              <w:t>36 378</w:t>
            </w:r>
          </w:p>
        </w:tc>
        <w:tc>
          <w:tcPr>
            <w:tcW w:w="7371" w:type="dxa"/>
            <w:gridSpan w:val="2"/>
          </w:tcPr>
          <w:p w:rsidRPr="00C035D4" w:rsidR="003C21AC" w:rsidP="009F05E3" w:rsidRDefault="009F05E3" w14:paraId="68080C56" w14:textId="77777777">
            <w:pPr>
              <w:rPr>
                <w:b/>
              </w:rPr>
            </w:pPr>
            <w:r w:rsidRPr="009F05E3">
              <w:rPr>
                <w:b/>
              </w:rPr>
              <w:t>Regels over energiemarkten en energiesystemen (Energiewet)</w:t>
            </w:r>
            <w:r w:rsidRPr="009F05E3">
              <w:rPr>
                <w:b/>
              </w:rPr>
              <w:tab/>
              <w:t xml:space="preserve"> </w:t>
            </w:r>
            <w:r w:rsidRPr="009F05E3">
              <w:rPr>
                <w:b/>
              </w:rPr>
              <w:tab/>
            </w:r>
            <w:r w:rsidRPr="009F05E3">
              <w:rPr>
                <w:b/>
              </w:rPr>
              <w:tab/>
            </w:r>
          </w:p>
        </w:tc>
      </w:tr>
      <w:tr w:rsidR="003C21AC" w:rsidTr="00EA1CE4" w14:paraId="3B86645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14:paraId="5B7C4B94" w14:textId="77777777">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14:paraId="4A6C65B3" w14:textId="77777777">
            <w:pPr>
              <w:pStyle w:val="Amendement"/>
              <w:tabs>
                <w:tab w:val="clear" w:pos="3310"/>
                <w:tab w:val="clear" w:pos="3600"/>
              </w:tabs>
              <w:ind w:left="-70"/>
              <w:rPr>
                <w:rFonts w:ascii="Times New Roman" w:hAnsi="Times New Roman"/>
              </w:rPr>
            </w:pPr>
          </w:p>
        </w:tc>
      </w:tr>
      <w:tr w:rsidR="003C21AC" w:rsidTr="00EA1CE4" w14:paraId="5ABF72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14:paraId="2DC31433" w14:textId="77777777">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14:paraId="2FEAB8C7" w14:textId="77777777">
            <w:pPr>
              <w:pStyle w:val="Amendement"/>
              <w:tabs>
                <w:tab w:val="clear" w:pos="3310"/>
                <w:tab w:val="clear" w:pos="3600"/>
              </w:tabs>
              <w:ind w:left="-70"/>
              <w:rPr>
                <w:rFonts w:ascii="Times New Roman" w:hAnsi="Times New Roman"/>
              </w:rPr>
            </w:pPr>
          </w:p>
        </w:tc>
      </w:tr>
      <w:tr w:rsidR="003C21AC" w:rsidTr="00EA1CE4" w14:paraId="2D85203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9F05E3" w:rsidRDefault="003C21AC" w14:paraId="7D939CAC" w14:textId="1E54E550">
            <w:pPr>
              <w:pStyle w:val="Amendement"/>
              <w:tabs>
                <w:tab w:val="clear" w:pos="3310"/>
                <w:tab w:val="clear" w:pos="3600"/>
              </w:tabs>
              <w:rPr>
                <w:rFonts w:ascii="Times New Roman" w:hAnsi="Times New Roman"/>
              </w:rPr>
            </w:pPr>
            <w:r w:rsidRPr="00C035D4">
              <w:rPr>
                <w:rFonts w:ascii="Times New Roman" w:hAnsi="Times New Roman"/>
              </w:rPr>
              <w:t xml:space="preserve">Nr. </w:t>
            </w:r>
            <w:r w:rsidR="00054FA5">
              <w:rPr>
                <w:rFonts w:ascii="Times New Roman" w:hAnsi="Times New Roman"/>
              </w:rPr>
              <w:t>47</w:t>
            </w:r>
          </w:p>
        </w:tc>
        <w:tc>
          <w:tcPr>
            <w:tcW w:w="7371" w:type="dxa"/>
            <w:gridSpan w:val="2"/>
          </w:tcPr>
          <w:p w:rsidRPr="00C035D4" w:rsidR="003C21AC" w:rsidP="00054FA5" w:rsidRDefault="003E0850" w14:paraId="22EE5D7C" w14:textId="4EA4B265">
            <w:pPr>
              <w:pStyle w:val="Amendement"/>
              <w:tabs>
                <w:tab w:val="clear" w:pos="3310"/>
                <w:tab w:val="clear" w:pos="3600"/>
              </w:tabs>
              <w:ind w:left="-70"/>
              <w:rPr>
                <w:rFonts w:ascii="Times New Roman" w:hAnsi="Times New Roman"/>
                <w:caps/>
              </w:rPr>
            </w:pPr>
            <w:r>
              <w:rPr>
                <w:rFonts w:ascii="Times New Roman" w:hAnsi="Times New Roman"/>
                <w:caps/>
              </w:rPr>
              <w:t xml:space="preserve">Gewijzigd </w:t>
            </w:r>
            <w:r w:rsidRPr="00C035D4" w:rsidR="003C21AC">
              <w:rPr>
                <w:rFonts w:ascii="Times New Roman" w:hAnsi="Times New Roman"/>
                <w:caps/>
              </w:rPr>
              <w:t xml:space="preserve">AMENDEMENT VAN </w:t>
            </w:r>
            <w:r w:rsidR="00054FA5">
              <w:rPr>
                <w:rFonts w:ascii="Times New Roman" w:hAnsi="Times New Roman"/>
                <w:caps/>
              </w:rPr>
              <w:t>De leden</w:t>
            </w:r>
            <w:r w:rsidRPr="00C035D4" w:rsidR="003C21AC">
              <w:rPr>
                <w:rFonts w:ascii="Times New Roman" w:hAnsi="Times New Roman"/>
                <w:caps/>
              </w:rPr>
              <w:t xml:space="preserve"> </w:t>
            </w:r>
            <w:r w:rsidR="009F05E3">
              <w:rPr>
                <w:rFonts w:ascii="Times New Roman" w:hAnsi="Times New Roman"/>
                <w:caps/>
              </w:rPr>
              <w:t>Flach</w:t>
            </w:r>
            <w:r>
              <w:rPr>
                <w:rFonts w:ascii="Times New Roman" w:hAnsi="Times New Roman"/>
                <w:caps/>
              </w:rPr>
              <w:t xml:space="preserve"> </w:t>
            </w:r>
            <w:r w:rsidR="00054FA5">
              <w:rPr>
                <w:rFonts w:ascii="Times New Roman" w:hAnsi="Times New Roman"/>
                <w:caps/>
              </w:rPr>
              <w:t xml:space="preserve">en Postma </w:t>
            </w:r>
            <w:r w:rsidRPr="00A805C2">
              <w:rPr>
                <w:rFonts w:ascii="Times New Roman" w:hAnsi="Times New Roman"/>
                <w:caps/>
                <w:szCs w:val="24"/>
              </w:rPr>
              <w:t>TER VERVANGING VAN DAT GEDRUKT ONDER NR.</w:t>
            </w:r>
            <w:r w:rsidRPr="003E0850">
              <w:rPr>
                <w:rFonts w:ascii="Times New Roman" w:hAnsi="Times New Roman"/>
                <w:caps/>
              </w:rPr>
              <w:t xml:space="preserve"> 20</w:t>
            </w:r>
          </w:p>
        </w:tc>
      </w:tr>
      <w:tr w:rsidR="003C21AC" w:rsidTr="00EA1CE4" w14:paraId="6F56AAF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14:paraId="67317A00" w14:textId="77777777">
            <w:pPr>
              <w:pStyle w:val="Amendement"/>
              <w:tabs>
                <w:tab w:val="clear" w:pos="3310"/>
                <w:tab w:val="clear" w:pos="3600"/>
              </w:tabs>
              <w:rPr>
                <w:rFonts w:ascii="Times New Roman" w:hAnsi="Times New Roman"/>
              </w:rPr>
            </w:pPr>
          </w:p>
        </w:tc>
        <w:tc>
          <w:tcPr>
            <w:tcW w:w="7371" w:type="dxa"/>
            <w:gridSpan w:val="2"/>
          </w:tcPr>
          <w:p w:rsidR="003C21AC" w:rsidP="00E56A86" w:rsidRDefault="003C21AC" w14:paraId="70224FA7" w14:textId="0408BD72">
            <w:pPr>
              <w:pStyle w:val="Amendement"/>
              <w:tabs>
                <w:tab w:val="clear" w:pos="3310"/>
                <w:tab w:val="clear" w:pos="3600"/>
              </w:tabs>
              <w:ind w:left="-70"/>
              <w:rPr>
                <w:rFonts w:ascii="Times New Roman" w:hAnsi="Times New Roman"/>
              </w:rPr>
            </w:pPr>
            <w:r>
              <w:rPr>
                <w:rFonts w:ascii="Times New Roman" w:hAnsi="Times New Roman"/>
                <w:b w:val="0"/>
              </w:rPr>
              <w:t>Ontvangen</w:t>
            </w:r>
            <w:r w:rsidR="00054FA5">
              <w:rPr>
                <w:rFonts w:ascii="Times New Roman" w:hAnsi="Times New Roman"/>
                <w:b w:val="0"/>
              </w:rPr>
              <w:t xml:space="preserve"> 17 mei</w:t>
            </w:r>
            <w:r w:rsidR="00DF3422">
              <w:rPr>
                <w:rFonts w:ascii="Times New Roman" w:hAnsi="Times New Roman"/>
                <w:b w:val="0"/>
              </w:rPr>
              <w:t xml:space="preserve"> 2024</w:t>
            </w:r>
          </w:p>
        </w:tc>
      </w:tr>
      <w:tr w:rsidR="00B01BA6" w:rsidTr="00EA1CE4" w14:paraId="5A929C8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14:paraId="6AE96B6B" w14:textId="77777777">
            <w:pPr>
              <w:pStyle w:val="Amendement"/>
              <w:tabs>
                <w:tab w:val="clear" w:pos="3310"/>
                <w:tab w:val="clear" w:pos="3600"/>
              </w:tabs>
              <w:rPr>
                <w:rFonts w:ascii="Times New Roman" w:hAnsi="Times New Roman"/>
              </w:rPr>
            </w:pPr>
          </w:p>
        </w:tc>
        <w:tc>
          <w:tcPr>
            <w:tcW w:w="7371" w:type="dxa"/>
            <w:gridSpan w:val="2"/>
          </w:tcPr>
          <w:p w:rsidR="00B01BA6" w:rsidP="006E0971" w:rsidRDefault="00B01BA6" w14:paraId="17CACFCD" w14:textId="77777777">
            <w:pPr>
              <w:pStyle w:val="Amendement"/>
              <w:tabs>
                <w:tab w:val="clear" w:pos="3310"/>
                <w:tab w:val="clear" w:pos="3600"/>
              </w:tabs>
              <w:ind w:left="-70"/>
              <w:rPr>
                <w:rFonts w:ascii="Times New Roman" w:hAnsi="Times New Roman"/>
                <w:b w:val="0"/>
              </w:rPr>
            </w:pPr>
          </w:p>
        </w:tc>
      </w:tr>
      <w:tr w:rsidRPr="00EA69AC" w:rsidR="00B01BA6" w:rsidTr="00EA1CE4" w14:paraId="3FCC842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14:paraId="458CA616" w14:textId="43E6802B">
            <w:pPr>
              <w:ind w:firstLine="284"/>
            </w:pPr>
            <w:r w:rsidRPr="00EA69AC">
              <w:t>De ondergetekende</w:t>
            </w:r>
            <w:r w:rsidR="00054FA5">
              <w:t>n stellen</w:t>
            </w:r>
            <w:r w:rsidRPr="00EA69AC">
              <w:t xml:space="preserve"> het volgende amendement voor:</w:t>
            </w:r>
          </w:p>
        </w:tc>
      </w:tr>
    </w:tbl>
    <w:p w:rsidRPr="00974044" w:rsidR="003C21AC" w:rsidP="00BF623B" w:rsidRDefault="003C21AC" w14:paraId="1A2ACF4E" w14:textId="77777777">
      <w:pPr>
        <w:rPr>
          <w:szCs w:val="24"/>
        </w:rPr>
      </w:pPr>
    </w:p>
    <w:p w:rsidRPr="00974044" w:rsidR="00A7305A" w:rsidP="00A7305A" w:rsidRDefault="00DC62E6" w14:paraId="716E839B" w14:textId="56D02721">
      <w:pPr>
        <w:rPr>
          <w:szCs w:val="24"/>
        </w:rPr>
      </w:pPr>
      <w:r>
        <w:rPr>
          <w:szCs w:val="24"/>
        </w:rPr>
        <w:tab/>
        <w:t xml:space="preserve">Na artikel 7.7 wordt een </w:t>
      </w:r>
      <w:r w:rsidRPr="00974044" w:rsidR="00AC0AEC">
        <w:rPr>
          <w:szCs w:val="24"/>
        </w:rPr>
        <w:t xml:space="preserve">artikel </w:t>
      </w:r>
      <w:r>
        <w:rPr>
          <w:szCs w:val="24"/>
        </w:rPr>
        <w:t>ingevoegd, luidende</w:t>
      </w:r>
      <w:r w:rsidRPr="00974044" w:rsidR="00974044">
        <w:rPr>
          <w:szCs w:val="24"/>
        </w:rPr>
        <w:t>:</w:t>
      </w:r>
    </w:p>
    <w:p w:rsidR="00974044" w:rsidP="00A7305A" w:rsidRDefault="00974044" w14:paraId="0E4C8C9A" w14:textId="1C6208AD">
      <w:pPr>
        <w:rPr>
          <w:szCs w:val="24"/>
        </w:rPr>
      </w:pPr>
    </w:p>
    <w:p w:rsidRPr="00A805C2" w:rsidR="00DC62E6" w:rsidP="00A7305A" w:rsidRDefault="00DC62E6" w14:paraId="77F383F9" w14:textId="4B177699">
      <w:pPr>
        <w:rPr>
          <w:b/>
          <w:szCs w:val="24"/>
        </w:rPr>
      </w:pPr>
      <w:r w:rsidRPr="00A805C2">
        <w:rPr>
          <w:b/>
          <w:szCs w:val="24"/>
        </w:rPr>
        <w:t>Artikel 7.7a wijziging Telecommunicatiewet</w:t>
      </w:r>
    </w:p>
    <w:p w:rsidR="00DC62E6" w:rsidP="00A7305A" w:rsidRDefault="00DC62E6" w14:paraId="5E2DA3EC" w14:textId="17F6747F">
      <w:pPr>
        <w:rPr>
          <w:szCs w:val="24"/>
        </w:rPr>
      </w:pPr>
    </w:p>
    <w:p w:rsidRPr="00A805C2" w:rsidR="00B661EC" w:rsidP="00B661EC" w:rsidRDefault="00DC62E6" w14:paraId="10DBA4BD" w14:textId="0A7A13C1">
      <w:pPr>
        <w:rPr>
          <w:rFonts w:eastAsiaTheme="minorHAnsi"/>
          <w:szCs w:val="24"/>
        </w:rPr>
      </w:pPr>
      <w:r>
        <w:rPr>
          <w:szCs w:val="24"/>
        </w:rPr>
        <w:tab/>
      </w:r>
      <w:r w:rsidRPr="00A805C2" w:rsidR="00B661EC">
        <w:rPr>
          <w:rFonts w:eastAsiaTheme="minorHAnsi"/>
          <w:szCs w:val="24"/>
        </w:rPr>
        <w:t>Artikel 11.7 van de Telecommunicatiewet wordt als volgt gewijzigd:</w:t>
      </w:r>
    </w:p>
    <w:p w:rsidR="00DC62E6" w:rsidP="00B661EC" w:rsidRDefault="00DC62E6" w14:paraId="582FCC93" w14:textId="77777777">
      <w:pPr>
        <w:rPr>
          <w:rFonts w:eastAsiaTheme="minorHAnsi"/>
          <w:szCs w:val="24"/>
        </w:rPr>
      </w:pPr>
    </w:p>
    <w:p w:rsidR="00B661EC" w:rsidP="00A805C2" w:rsidRDefault="00DC62E6" w14:paraId="554BA1ED" w14:textId="085482C5">
      <w:pPr>
        <w:ind w:firstLine="284"/>
        <w:rPr>
          <w:rFonts w:eastAsiaTheme="minorHAnsi"/>
          <w:szCs w:val="24"/>
        </w:rPr>
      </w:pPr>
      <w:r>
        <w:rPr>
          <w:rFonts w:eastAsiaTheme="minorHAnsi"/>
          <w:szCs w:val="24"/>
        </w:rPr>
        <w:t>1</w:t>
      </w:r>
      <w:r w:rsidRPr="00A805C2" w:rsidR="00B661EC">
        <w:rPr>
          <w:rFonts w:eastAsiaTheme="minorHAnsi"/>
          <w:szCs w:val="24"/>
        </w:rPr>
        <w:t>. In het vierde lid, aanhef, vervalt “en tweede”.</w:t>
      </w:r>
    </w:p>
    <w:p w:rsidR="00DC62E6" w:rsidP="00A805C2" w:rsidRDefault="00DC62E6" w14:paraId="410A0CA9" w14:textId="39947DFF">
      <w:pPr>
        <w:ind w:firstLine="284"/>
        <w:rPr>
          <w:rFonts w:eastAsiaTheme="minorHAnsi"/>
          <w:szCs w:val="24"/>
        </w:rPr>
      </w:pPr>
    </w:p>
    <w:p w:rsidRPr="00CE0602" w:rsidR="002974F8" w:rsidP="002974F8" w:rsidRDefault="00DC62E6" w14:paraId="774F85DC" w14:textId="1BDF582E">
      <w:pPr>
        <w:ind w:firstLine="284"/>
        <w:rPr>
          <w:rFonts w:eastAsiaTheme="minorHAnsi"/>
          <w:szCs w:val="24"/>
        </w:rPr>
      </w:pPr>
      <w:r>
        <w:rPr>
          <w:rFonts w:eastAsiaTheme="minorHAnsi"/>
          <w:szCs w:val="24"/>
        </w:rPr>
        <w:t>2.</w:t>
      </w:r>
      <w:r w:rsidRPr="00A805C2" w:rsidR="00B661EC">
        <w:rPr>
          <w:rFonts w:eastAsiaTheme="minorHAnsi"/>
          <w:szCs w:val="24"/>
        </w:rPr>
        <w:t>Het vijfde lid</w:t>
      </w:r>
      <w:r w:rsidR="002974F8">
        <w:rPr>
          <w:rFonts w:eastAsiaTheme="minorHAnsi"/>
          <w:szCs w:val="24"/>
        </w:rPr>
        <w:t xml:space="preserve"> komt te luiden</w:t>
      </w:r>
      <w:r w:rsidRPr="00CE0602" w:rsidR="002974F8">
        <w:rPr>
          <w:rFonts w:eastAsiaTheme="minorHAnsi"/>
          <w:szCs w:val="24"/>
        </w:rPr>
        <w:t>:</w:t>
      </w:r>
    </w:p>
    <w:p w:rsidRPr="00CE0602" w:rsidR="002974F8" w:rsidP="002974F8" w:rsidRDefault="002974F8" w14:paraId="40CF4587" w14:textId="77777777">
      <w:pPr>
        <w:ind w:firstLine="284"/>
        <w:rPr>
          <w:rFonts w:eastAsiaTheme="minorHAnsi"/>
          <w:szCs w:val="24"/>
        </w:rPr>
      </w:pPr>
      <w:r w:rsidRPr="00CE0602">
        <w:rPr>
          <w:rFonts w:eastAsiaTheme="minorHAnsi"/>
          <w:szCs w:val="24"/>
        </w:rPr>
        <w:t>5. In afwijking van het eerste en tweede lid, kan een ideële of charitatieve organisatie die kan aantonen dat zij gebruik maakt van contactgegevens die zij heeft verkregen in het kader van een schenking aan die ideële of charitatieve organisatie of, voor zover zij gebruik maakt van andere dan de in het eerste lid bedoelde middelen, van contactgegevens die zij heeft verkregen in het kader van vrijwilligerswerk bij die organisatie of het bijwonen van manifestaties van die organisatie, deze contactgegevens gebruiken voor het overbrengen van ongevraagde communicatie voor eigen ideële of charitatieve doeleinden, mits zij de betreffende eindgebruiker duidelijk en expliciet de gelegenheid heeft geboden om kosteloos en op gemakkelijke wijze verzet aan te tekenen tegen het gebruik van die contactgegevens:</w:t>
      </w:r>
    </w:p>
    <w:p w:rsidRPr="00CE0602" w:rsidR="002974F8" w:rsidP="002974F8" w:rsidRDefault="002974F8" w14:paraId="6AAB2894" w14:textId="77777777">
      <w:pPr>
        <w:ind w:firstLine="284"/>
        <w:rPr>
          <w:rFonts w:eastAsiaTheme="minorHAnsi"/>
          <w:szCs w:val="24"/>
        </w:rPr>
      </w:pPr>
      <w:r w:rsidRPr="00CE0602">
        <w:rPr>
          <w:rFonts w:eastAsiaTheme="minorHAnsi"/>
          <w:szCs w:val="24"/>
        </w:rPr>
        <w:t>a. op het moment dat zij worden verzameld, en</w:t>
      </w:r>
    </w:p>
    <w:p w:rsidRPr="00CE0602" w:rsidR="002974F8" w:rsidP="002974F8" w:rsidRDefault="002974F8" w14:paraId="43409C1E" w14:textId="77777777">
      <w:pPr>
        <w:ind w:firstLine="284"/>
        <w:rPr>
          <w:rFonts w:eastAsiaTheme="minorHAnsi"/>
          <w:szCs w:val="24"/>
        </w:rPr>
      </w:pPr>
      <w:r w:rsidRPr="00CE0602">
        <w:rPr>
          <w:rFonts w:eastAsiaTheme="minorHAnsi"/>
          <w:szCs w:val="24"/>
        </w:rPr>
        <w:t xml:space="preserve">b. ingeval de abonnee of gebruiker zich bij de verzameling niet tegen het gebruik heeft verzet, bij iedere verzonden boodschap. </w:t>
      </w:r>
    </w:p>
    <w:p w:rsidR="00963E28" w:rsidP="00B661EC" w:rsidRDefault="00963E28" w14:paraId="75201BBF" w14:textId="62469847">
      <w:pPr>
        <w:rPr>
          <w:rFonts w:eastAsiaTheme="minorHAnsi"/>
          <w:szCs w:val="24"/>
        </w:rPr>
      </w:pPr>
    </w:p>
    <w:p w:rsidRPr="00A805C2" w:rsidR="00B661EC" w:rsidP="00B661EC" w:rsidRDefault="00C40B55" w14:paraId="69E089AD" w14:textId="496DD3A4">
      <w:pPr>
        <w:rPr>
          <w:rFonts w:eastAsiaTheme="minorHAnsi"/>
          <w:szCs w:val="24"/>
        </w:rPr>
      </w:pPr>
      <w:r>
        <w:rPr>
          <w:rFonts w:eastAsiaTheme="minorHAnsi"/>
          <w:szCs w:val="24"/>
        </w:rPr>
        <w:tab/>
        <w:t>3</w:t>
      </w:r>
      <w:r w:rsidR="00963E28">
        <w:rPr>
          <w:rFonts w:eastAsiaTheme="minorHAnsi"/>
          <w:szCs w:val="24"/>
        </w:rPr>
        <w:t>.</w:t>
      </w:r>
      <w:r w:rsidRPr="00A805C2" w:rsidR="00B661EC">
        <w:rPr>
          <w:rFonts w:eastAsiaTheme="minorHAnsi"/>
          <w:szCs w:val="24"/>
        </w:rPr>
        <w:t xml:space="preserve">In het negende lid vervallen “vierde en” en “commerciële,”.  </w:t>
      </w:r>
    </w:p>
    <w:p w:rsidR="00B661EC" w:rsidP="00A7305A" w:rsidRDefault="00B661EC" w14:paraId="20F35952" w14:textId="77777777"/>
    <w:p w:rsidRPr="006C4184" w:rsidR="00A7305A" w:rsidP="00A7305A" w:rsidRDefault="00A7305A" w14:paraId="37BBC4A0" w14:textId="77777777">
      <w:pPr>
        <w:rPr>
          <w:b/>
          <w:bCs/>
        </w:rPr>
      </w:pPr>
      <w:r w:rsidRPr="006C4184">
        <w:rPr>
          <w:b/>
          <w:bCs/>
        </w:rPr>
        <w:t>Toelichting</w:t>
      </w:r>
    </w:p>
    <w:p w:rsidR="00A7305A" w:rsidP="00A7305A" w:rsidRDefault="00A7305A" w14:paraId="629CB98F" w14:textId="77777777"/>
    <w:p w:rsidR="00EB148D" w:rsidP="00A7305A" w:rsidRDefault="002A4A52" w14:paraId="1435D499" w14:textId="0EB7E582">
      <w:r>
        <w:t xml:space="preserve">De indiener stelt voor om </w:t>
      </w:r>
      <w:r w:rsidR="005E2FAF">
        <w:t xml:space="preserve">de mogelijkheden voor telefonische verkoop van energiecontracten en andere producten en diensten aan consumenten te </w:t>
      </w:r>
      <w:r w:rsidR="006D267D">
        <w:t xml:space="preserve">beperken. </w:t>
      </w:r>
      <w:r w:rsidR="00A7305A">
        <w:t xml:space="preserve">Er blijven ondanks de aangescherpte regels voor telemarketing veel klachten binnenkomen over de telefonische verkoop van </w:t>
      </w:r>
      <w:r w:rsidR="00C74477">
        <w:t xml:space="preserve">onder meer </w:t>
      </w:r>
      <w:r w:rsidR="00A7305A">
        <w:t>energiecontracten</w:t>
      </w:r>
      <w:r w:rsidR="00C74477">
        <w:t xml:space="preserve"> en</w:t>
      </w:r>
      <w:r w:rsidR="00562C15">
        <w:t xml:space="preserve"> </w:t>
      </w:r>
      <w:r w:rsidR="00A805C2">
        <w:t>telecommunicatiediensten</w:t>
      </w:r>
      <w:r w:rsidR="00A7305A">
        <w:t xml:space="preserve">. </w:t>
      </w:r>
      <w:r w:rsidR="00C74477">
        <w:t>Een</w:t>
      </w:r>
      <w:r w:rsidR="00042A51">
        <w:t xml:space="preserve"> energiecontract </w:t>
      </w:r>
      <w:r w:rsidR="00A7305A">
        <w:t xml:space="preserve">is </w:t>
      </w:r>
      <w:r w:rsidR="00C74477">
        <w:t xml:space="preserve">bijvoorbeeld </w:t>
      </w:r>
      <w:r w:rsidR="00A7305A">
        <w:t>een complex product, waarbij het voor consumenten, waaronder veel ouderen, lastig is om te overzien waar ze voor tekenen. De Autoriteit Consument en Markt</w:t>
      </w:r>
      <w:r w:rsidR="00A805C2">
        <w:t xml:space="preserve"> </w:t>
      </w:r>
      <w:r w:rsidR="00A7305A">
        <w:t xml:space="preserve">pleit daarom zelfs voor een verbod op telefonische verkoop van energiecontracten. </w:t>
      </w:r>
      <w:r w:rsidR="00342A48">
        <w:t xml:space="preserve">Verder constateert de indiener dat </w:t>
      </w:r>
      <w:r w:rsidR="008172BC">
        <w:t>consumenten onvoldoende op de hoogte worden gesteld van hun rechten. B</w:t>
      </w:r>
      <w:r w:rsidRPr="002B4338" w:rsidR="00EB148D">
        <w:rPr>
          <w:rFonts w:cs="Calibri"/>
        </w:rPr>
        <w:t xml:space="preserve">ij telemarketing </w:t>
      </w:r>
      <w:r w:rsidR="008172BC">
        <w:rPr>
          <w:rFonts w:cs="Calibri"/>
        </w:rPr>
        <w:t xml:space="preserve">is </w:t>
      </w:r>
      <w:r w:rsidRPr="002B4338" w:rsidR="00EB148D">
        <w:rPr>
          <w:rFonts w:cs="Calibri"/>
        </w:rPr>
        <w:t>het schriftelijkheidsvereiste van toepassing</w:t>
      </w:r>
      <w:r w:rsidR="00342A48">
        <w:rPr>
          <w:rFonts w:cs="Calibri"/>
        </w:rPr>
        <w:t xml:space="preserve"> </w:t>
      </w:r>
      <w:r w:rsidR="003301F8">
        <w:rPr>
          <w:rFonts w:cs="Calibri"/>
        </w:rPr>
        <w:t>en zijn c</w:t>
      </w:r>
      <w:r w:rsidRPr="002B4338" w:rsidR="00EB148D">
        <w:rPr>
          <w:rFonts w:cs="Calibri"/>
        </w:rPr>
        <w:t>onsumenten daarmee formeel beschermd tegen de druk om aan de telefoon direct een contract af te sluiten</w:t>
      </w:r>
      <w:r w:rsidR="008172BC">
        <w:rPr>
          <w:rFonts w:cs="Calibri"/>
        </w:rPr>
        <w:t>. I</w:t>
      </w:r>
      <w:r w:rsidRPr="002B4338" w:rsidR="00EB148D">
        <w:rPr>
          <w:rFonts w:cs="Calibri"/>
        </w:rPr>
        <w:t xml:space="preserve">n de praktijk blijkt echter dat bepaalde telemarketeers zich hier niet aan houden en consumenten tijdens het gesprek laten </w:t>
      </w:r>
      <w:r w:rsidRPr="002B4338" w:rsidR="00EB148D">
        <w:rPr>
          <w:rFonts w:cs="Calibri"/>
        </w:rPr>
        <w:lastRenderedPageBreak/>
        <w:t xml:space="preserve">instemmen met een overeenkomst zonder te melden dat een schriftelijkheidsvereiste geldt. </w:t>
      </w:r>
    </w:p>
    <w:p w:rsidR="00EB148D" w:rsidP="00A7305A" w:rsidRDefault="00EB148D" w14:paraId="1CEA8885" w14:textId="77777777"/>
    <w:p w:rsidR="00A7305A" w:rsidP="00A7305A" w:rsidRDefault="00A7305A" w14:paraId="3972F695" w14:textId="702018FE">
      <w:r>
        <w:t>Telefonische verkoop is op dit moment mogelijk bij voorafgaande toestemming van de consument (opt-in; artikel 11.7, tweede lid, van de Telecommunicatiewet) en wanneer gebruik wordt gemaakt van gegevens van oude en bestaande klantrelaties (artikel 11.7, vierde lid van de Telecommunicatiewet). De Europese regelgeving biedt nog geen ruimte voor een algeheel verbod</w:t>
      </w:r>
      <w:r w:rsidR="00BC5120">
        <w:t xml:space="preserve"> op telemarketing</w:t>
      </w:r>
      <w:r>
        <w:t xml:space="preserve">, maar wel voor een verbod om gegevens van oude en bestaande klantrelaties (zonder voorafgaande toestemming) te gebruiken. De indiener stelt voor om telefonische verkoop van energiecontracten </w:t>
      </w:r>
      <w:r w:rsidR="00520EC9">
        <w:t xml:space="preserve">en andere producten en diensten </w:t>
      </w:r>
      <w:r>
        <w:t xml:space="preserve">met behulp van gegevens van oude en bestaande klantrelaties zonder voorafgaande toestemming van de consument te verbieden. </w:t>
      </w:r>
    </w:p>
    <w:p w:rsidR="003B68FF" w:rsidP="00A7305A" w:rsidRDefault="003B68FF" w14:paraId="30E0D6EE" w14:textId="77777777"/>
    <w:p w:rsidR="003B68FF" w:rsidP="00A7305A" w:rsidRDefault="004A4D3A" w14:paraId="3971033A" w14:textId="7CA138CD">
      <w:r>
        <w:t xml:space="preserve">Het kabinet heeft aangegeven dat zij </w:t>
      </w:r>
      <w:r w:rsidR="00EA091A">
        <w:t>telefonische verkoop op basis van klantrelatie generiek wil verbieden</w:t>
      </w:r>
      <w:r w:rsidR="00A25591">
        <w:rPr>
          <w:rStyle w:val="Voetnootmarkering"/>
        </w:rPr>
        <w:footnoteReference w:id="1"/>
      </w:r>
      <w:r w:rsidR="00EA091A">
        <w:t>. Een generiek</w:t>
      </w:r>
      <w:r w:rsidR="00CD0F78">
        <w:t xml:space="preserve"> verbod is duidelijker voor consumenten en handelaren dan een sectorspecifiek verbod en beter handhaafbaar door de </w:t>
      </w:r>
      <w:r w:rsidR="00A805C2">
        <w:t>Autoriteit Consument en Markt</w:t>
      </w:r>
      <w:r w:rsidR="00CD0F78">
        <w:t xml:space="preserve">. </w:t>
      </w:r>
      <w:r w:rsidR="00C06959">
        <w:t xml:space="preserve">De indiener stelt voor </w:t>
      </w:r>
      <w:r w:rsidR="00041246">
        <w:t xml:space="preserve">om </w:t>
      </w:r>
      <w:r w:rsidR="00455267">
        <w:t xml:space="preserve">via het voorliggende voorstel het genoemde verbod op te nemen in de Telecommunicatiewet, zodat telefonische verkoop op basis van klantrelatie </w:t>
      </w:r>
      <w:r w:rsidR="00D34016">
        <w:t>niet alleen verboden wordt voor energiecontracten, maar ook voor andere producten en diensten</w:t>
      </w:r>
      <w:r w:rsidR="00A805C2">
        <w:t>,</w:t>
      </w:r>
      <w:r w:rsidR="00166EAF">
        <w:t xml:space="preserve"> en dit snel geregeld kan worden</w:t>
      </w:r>
      <w:r w:rsidR="00D34016">
        <w:t>.</w:t>
      </w:r>
      <w:r w:rsidR="00166EAF">
        <w:t xml:space="preserve"> De </w:t>
      </w:r>
      <w:r w:rsidR="00DA51F5">
        <w:t xml:space="preserve">indiener wil dit verbod vooralsnog beperken tot telefonische verkoop voor commerciële doeleinden. </w:t>
      </w:r>
      <w:r w:rsidR="0006063D">
        <w:t xml:space="preserve">Bij </w:t>
      </w:r>
      <w:r w:rsidR="0035006A">
        <w:t>telemarketing voor ideële en chari</w:t>
      </w:r>
      <w:r w:rsidR="000004C0">
        <w:t>ta</w:t>
      </w:r>
      <w:r w:rsidR="0035006A">
        <w:t xml:space="preserve">tieve doeleinden is de problematiek minder groot. </w:t>
      </w:r>
      <w:r w:rsidR="00B26162">
        <w:t xml:space="preserve">Dit kan in een latere fase bezien worden. </w:t>
      </w:r>
      <w:r w:rsidR="00A83AE1">
        <w:t xml:space="preserve">De indiener </w:t>
      </w:r>
      <w:r w:rsidR="00A805C2">
        <w:t>denkt daarbij</w:t>
      </w:r>
      <w:r w:rsidR="00A83AE1">
        <w:t xml:space="preserve"> </w:t>
      </w:r>
      <w:r w:rsidR="00475DA4">
        <w:t xml:space="preserve">tevens </w:t>
      </w:r>
      <w:r w:rsidR="00A805C2">
        <w:t xml:space="preserve">aan </w:t>
      </w:r>
      <w:r w:rsidR="00475DA4">
        <w:t>een redelijke, maar wel zo kort mogelijke invoeringstermijn</w:t>
      </w:r>
      <w:r w:rsidR="00194F5D">
        <w:t xml:space="preserve">. </w:t>
      </w:r>
      <w:r w:rsidR="00D34016">
        <w:t xml:space="preserve"> </w:t>
      </w:r>
    </w:p>
    <w:p w:rsidR="00E56A86" w:rsidP="00A7305A" w:rsidRDefault="00E56A86" w14:paraId="0341FE77" w14:textId="0A6A7E69">
      <w:pPr>
        <w:rPr>
          <w:szCs w:val="24"/>
        </w:rPr>
      </w:pPr>
    </w:p>
    <w:p w:rsidR="00A7305A" w:rsidP="00A7305A" w:rsidRDefault="00A7305A" w14:paraId="3280322D" w14:textId="7CCFDAF8">
      <w:pPr>
        <w:rPr>
          <w:szCs w:val="24"/>
        </w:rPr>
      </w:pPr>
      <w:r>
        <w:rPr>
          <w:szCs w:val="24"/>
        </w:rPr>
        <w:t>Flach</w:t>
      </w:r>
    </w:p>
    <w:p w:rsidR="00054FA5" w:rsidP="00A7305A" w:rsidRDefault="00054FA5" w14:paraId="4D1044C5" w14:textId="554AD65F">
      <w:pPr>
        <w:rPr>
          <w:szCs w:val="24"/>
        </w:rPr>
      </w:pPr>
      <w:r>
        <w:rPr>
          <w:szCs w:val="24"/>
        </w:rPr>
        <w:t>Postma</w:t>
      </w:r>
    </w:p>
    <w:sectPr w:rsidR="00054FA5" w:rsidSect="00CA73E5">
      <w:footerReference w:type="even" r:id="rId8"/>
      <w:footerReference w:type="default" r:id="rId9"/>
      <w:footerReference w:type="first" r:id="rId10"/>
      <w:endnotePr>
        <w:numFmt w:val="decimal"/>
      </w:endnotePr>
      <w:pgSz w:w="11906" w:h="16838"/>
      <w:pgMar w:top="360" w:right="566" w:bottom="284"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54F0F" w14:textId="77777777" w:rsidR="001846B3" w:rsidRDefault="001846B3">
      <w:pPr>
        <w:spacing w:line="20" w:lineRule="exact"/>
      </w:pPr>
    </w:p>
  </w:endnote>
  <w:endnote w:type="continuationSeparator" w:id="0">
    <w:p w14:paraId="4B20939D" w14:textId="77777777" w:rsidR="001846B3" w:rsidRDefault="001846B3">
      <w:pPr>
        <w:pStyle w:val="Amendement"/>
      </w:pPr>
      <w:r>
        <w:rPr>
          <w:b w:val="0"/>
        </w:rPr>
        <w:t xml:space="preserve"> </w:t>
      </w:r>
    </w:p>
  </w:endnote>
  <w:endnote w:type="continuationNotice" w:id="1">
    <w:p w14:paraId="1344139C" w14:textId="77777777" w:rsidR="001846B3" w:rsidRDefault="001846B3">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C39B" w14:textId="3416ECAC" w:rsidR="00D752E9" w:rsidRDefault="00D752E9">
    <w:pPr>
      <w:pStyle w:val="Voettekst"/>
    </w:pPr>
    <w:r>
      <w:rPr>
        <w:noProof/>
      </w:rPr>
      <mc:AlternateContent>
        <mc:Choice Requires="wps">
          <w:drawing>
            <wp:anchor distT="0" distB="0" distL="0" distR="0" simplePos="0" relativeHeight="251659264" behindDoc="0" locked="0" layoutInCell="1" allowOverlap="1" wp14:anchorId="6E82544E" wp14:editId="1C400E80">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603B65" w14:textId="70D378DD" w:rsidR="00D752E9" w:rsidRPr="00D752E9" w:rsidRDefault="00D752E9" w:rsidP="00D752E9">
                          <w:pPr>
                            <w:rPr>
                              <w:rFonts w:ascii="Calibri" w:eastAsia="Calibri" w:hAnsi="Calibri" w:cs="Calibri"/>
                              <w:noProof/>
                              <w:color w:val="000000"/>
                              <w:sz w:val="20"/>
                            </w:rPr>
                          </w:pPr>
                          <w:r w:rsidRPr="00D752E9">
                            <w:rPr>
                              <w:rFonts w:ascii="Calibri" w:eastAsia="Calibri" w:hAnsi="Calibri" w:cs="Calibri"/>
                              <w:noProof/>
                              <w:color w:val="000000"/>
                              <w:sz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82544E" id="_x0000_t202" coordsize="21600,21600" o:spt="202" path="m,l,21600r21600,l21600,xe">
              <v:stroke joinstyle="miter"/>
              <v:path gradientshapeok="t" o:connecttype="rect"/>
            </v:shapetype>
            <v:shape id="Tekstvak 2" o:spid="_x0000_s1026"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mbAIAAKsEAAAOAAAAZHJzL2Uyb0RvYy54bWysVFFvmzAQfp+0/2D5PYEw0qYopCJJmSpF&#10;baVk6rMxJqCAbdlOIJv233c20G3dnqa9mPPd+e6+7+5Y3ndNjS5M6UrwGM+mPkaMU5FX/BjjL4d0&#10;ssBIG8JzUgvOYnxlGt+vPn5YtjJigShFnTOFIAjXUStjXBojI8/TtGQN0VMhGQdjIVRDDFzV0csV&#10;aSF6U3uB7994rVC5VIIyrUG77Y145eIXBaPmuSg0M6iOMdRm3KncmdnTWy1JdFRElhUdyiD/UEVD&#10;Kg5J30JtiSHorKo/QjUVVUKLwkypaDxRFBVlDgOgmfnv0OxLIpnDAuRo+UaT/n9h6dPlRaEqj3GA&#10;EScNtOjATtpcyAmBJmeaAluP3DDF0ZFl6lydHFDWmZ02FjJIPdRv8+QhnKVJMNn4aToJw1t/crfe&#10;hpN5mmw3yeJ2s34IvlvKPffKvfdaqSNXhe2ZE/cSSjLdWnQwUdbd6jUobbauUI39AnUI7NDT61sf&#10;bSUUlGH4aXEzx4iCaZD7pONjqbT5zESDrBBjBWPiQJEL1NS7ji42FxdpVdegJ1HNf1MAEKtxIPoK&#10;ba2my7qh7EzkV0CjRD95WtK0gpw7os0LUTBqAADWxzzDUdSijbEYJIxKob7+TW/9YQLAilELoxtj&#10;DruFUf3IYTKCeej7dtTdDQQ1CpkTZnf+3Nr5udkI2IoZLKikTrTOph7FQonmFbYrsdnARDiFnDHO&#10;RnFj+kWC7aQsSZwTTLUkZsf3ktrQlizL5KF7JUoOdBvo05MYh5tE71jvfe1LLZOzAe5dSyyxPZsD&#10;37ARbpKG7bUr9+vdef38x6x+AAAA//8DAFBLAwQUAAYACAAAACEA2G08/tcAAAADAQAADwAAAGRy&#10;cy9kb3ducmV2LnhtbEyPT0/DMAzF70h8h8hI3FjKDhUrTaeJf+JKmQRHt/Gaao1T6mwr354AB7j4&#10;yXrWez+X69kP6kiT9IENXC8yUMRtsD13Bravj1c3oCQiWxwCk4FPElhX52clFjac+IWOdexUCmEp&#10;0ICLcSy0ltaRR1mEkTh5uzB5jGmdOm0nPKVwP+hlluXaY8+pweFId47afX3wBvL7p40b3/L3j91S&#10;nqUJ+1iHB2MuL+bNLahIc/w7hm/8hA5VYmrCga2owUB6JP7M5OWrFajmV3VV6v/s1RcAAAD//wMA&#10;UEsBAi0AFAAGAAgAAAAhALaDOJL+AAAA4QEAABMAAAAAAAAAAAAAAAAAAAAAAFtDb250ZW50X1R5&#10;cGVzXS54bWxQSwECLQAUAAYACAAAACEAOP0h/9YAAACUAQAACwAAAAAAAAAAAAAAAAAvAQAAX3Jl&#10;bHMvLnJlbHNQSwECLQAUAAYACAAAACEAlfy7ZmwCAACrBAAADgAAAAAAAAAAAAAAAAAuAgAAZHJz&#10;L2Uyb0RvYy54bWxQSwECLQAUAAYACAAAACEA2G08/tcAAAADAQAADwAAAAAAAAAAAAAAAADGBAAA&#10;ZHJzL2Rvd25yZXYueG1sUEsFBgAAAAAEAAQA8wAAAMoFAAAAAA==&#10;" filled="f" stroked="f">
              <v:textbox style="mso-fit-shape-to-text:t" inset="20pt,0,0,15pt">
                <w:txbxContent>
                  <w:p w14:paraId="72603B65" w14:textId="70D378DD" w:rsidR="00D752E9" w:rsidRPr="00D752E9" w:rsidRDefault="00D752E9" w:rsidP="00D752E9">
                    <w:pPr>
                      <w:rPr>
                        <w:rFonts w:ascii="Calibri" w:eastAsia="Calibri" w:hAnsi="Calibri" w:cs="Calibri"/>
                        <w:noProof/>
                        <w:color w:val="000000"/>
                        <w:sz w:val="20"/>
                      </w:rPr>
                    </w:pPr>
                    <w:r w:rsidRPr="00D752E9">
                      <w:rPr>
                        <w:rFonts w:ascii="Calibri" w:eastAsia="Calibri" w:hAnsi="Calibri" w:cs="Calibri"/>
                        <w:noProof/>
                        <w:color w:val="000000"/>
                        <w:sz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DA41" w14:textId="2245BD61" w:rsidR="00D752E9" w:rsidRDefault="00D752E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D2AD" w14:textId="52A0AEC6" w:rsidR="00D752E9" w:rsidRDefault="00D752E9">
    <w:pPr>
      <w:pStyle w:val="Voettekst"/>
    </w:pPr>
    <w:r>
      <w:rPr>
        <w:noProof/>
      </w:rPr>
      <mc:AlternateContent>
        <mc:Choice Requires="wps">
          <w:drawing>
            <wp:anchor distT="0" distB="0" distL="0" distR="0" simplePos="0" relativeHeight="251658240" behindDoc="0" locked="0" layoutInCell="1" allowOverlap="1" wp14:anchorId="795DD398" wp14:editId="1F11DD98">
              <wp:simplePos x="635" y="635"/>
              <wp:positionH relativeFrom="page">
                <wp:align>left</wp:align>
              </wp:positionH>
              <wp:positionV relativeFrom="page">
                <wp:align>bottom</wp:align>
              </wp:positionV>
              <wp:extent cx="443865" cy="443865"/>
              <wp:effectExtent l="0" t="0" r="4445" b="0"/>
              <wp:wrapNone/>
              <wp:docPr id="1" name="Tekstvak 1" descr="Intern gebruik">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DE6EEE" w14:textId="7B5264DE" w:rsidR="00D752E9" w:rsidRPr="00D752E9" w:rsidRDefault="00D752E9" w:rsidP="00D752E9">
                          <w:pPr>
                            <w:rPr>
                              <w:rFonts w:ascii="Calibri" w:eastAsia="Calibri" w:hAnsi="Calibri" w:cs="Calibri"/>
                              <w:noProof/>
                              <w:color w:val="000000"/>
                              <w:sz w:val="20"/>
                            </w:rPr>
                          </w:pPr>
                          <w:r w:rsidRPr="00D752E9">
                            <w:rPr>
                              <w:rFonts w:ascii="Calibri" w:eastAsia="Calibri" w:hAnsi="Calibri" w:cs="Calibri"/>
                              <w:noProof/>
                              <w:color w:val="000000"/>
                              <w:sz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5DD398" id="_x0000_t202" coordsize="21600,21600" o:spt="202" path="m,l,21600r21600,l21600,xe">
              <v:stroke joinstyle="miter"/>
              <v:path gradientshapeok="t" o:connecttype="rect"/>
            </v:shapetype>
            <v:shape id="Tekstvak 1" o:spid="_x0000_s1027"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NbQIAALIEAAAOAAAAZHJzL2Uyb0RvYy54bWysVMFu2zAMvQ/YPwi6p3Yyp02NOoWb1EOB&#10;oi3QDj0rspwYtSVBUmJ3w/59T7LTbd1Owy4yRVLk4yPpi8u+bchBGFsrmdHpSUyJkFyVtdxm9MtT&#10;MVlQYh2TJWuUFBl9FZZeLj9+uOh0KmZqp5pSGIIg0qadzujOOZ1GkeU70TJ7orSQMFbKtMzharZR&#10;aViH6G0TzeL4NOqUKbVRXFgL7Xow0mWIX1WCu/uqssKRJqPA5sJpwrnxZ7S8YOnWML2r+QiD/QOK&#10;ltUSSd9CrZljZG/qP0K1NTfKqsqdcNVGqqpqLkINqGYav6vmcce0CLWAHKvfaLL/Lyy/OzwYUpfo&#10;HSWStWjRk3ix7sBeCDSlsBxs3UgnjCRbsTH7+iUUKnp3a50vGdJQ6rd5fp1Mi3w2WcVFMUmSs3hy&#10;frVOJvMiX6/yxdnq6nr23VMehVfhfdRpmwYUvmdBfNSA5Por1XtUcPd6C6XP1lem9V9QR2BHT1/f&#10;+uiRcCiT5NPidE4Jh2mUh6THx9pY91molnghowZjEopiB2AaXI8uPpdURd000LO0kb8pUIjXhCIG&#10;hB6r6zf9yOmIfqPKVxRl1DCAVvOiRupbZt0DM5g41IEtcvc4qkZ1GVWjRMlOma9/03t/DAKslHSY&#10;4IxKrBglzY3EgMzmSRz7iQ83COYobIIwPY/n3i737UphOdBsoAqid3bNUayMap+xZLnPBhOTHDkz&#10;ujmKKzfsE5aUizwPThhuzdytfNTch/aceUKf+mdm9Mi6Q7vu1HHGWfqO/MHXv7Q63zu0IHTG8zuw&#10;OdKOxQgDNS6x37xf78Hr569m+QMAAP//AwBQSwMEFAAGAAgAAAAhANhtPP7XAAAAAwEAAA8AAABk&#10;cnMvZG93bnJldi54bWxMj09PwzAMxe9IfIfISNxYyg4VK02niX/iSpkER7fxmmqNU+psK9+eAAe4&#10;+Ml61ns/l+vZD+pIk/SBDVwvMlDEbbA9dwa2r49XN6AkIlscApOBTxJYV+dnJRY2nPiFjnXsVAph&#10;KdCAi3EstJbWkUdZhJE4ebsweYxpnTptJzylcD/oZZbl2mPPqcHhSHeO2n198Aby+6eNG9/y94/d&#10;Up6lCftYhwdjLi/mzS2oSHP8O4Zv/IQOVWJqwoGtqMFAeiT+zOTlqxWo5ld1Ver/7NUXAAAA//8D&#10;AFBLAQItABQABgAIAAAAIQC2gziS/gAAAOEBAAATAAAAAAAAAAAAAAAAAAAAAABbQ29udGVudF9U&#10;eXBlc10ueG1sUEsBAi0AFAAGAAgAAAAhADj9If/WAAAAlAEAAAsAAAAAAAAAAAAAAAAALwEAAF9y&#10;ZWxzLy5yZWxzUEsBAi0AFAAGAAgAAAAhAFX/Mo1tAgAAsgQAAA4AAAAAAAAAAAAAAAAALgIAAGRy&#10;cy9lMm9Eb2MueG1sUEsBAi0AFAAGAAgAAAAhANhtPP7XAAAAAwEAAA8AAAAAAAAAAAAAAAAAxwQA&#10;AGRycy9kb3ducmV2LnhtbFBLBQYAAAAABAAEAPMAAADLBQAAAAA=&#10;" filled="f" stroked="f">
              <v:textbox style="mso-fit-shape-to-text:t" inset="20pt,0,0,15pt">
                <w:txbxContent>
                  <w:p w14:paraId="07DE6EEE" w14:textId="7B5264DE" w:rsidR="00D752E9" w:rsidRPr="00D752E9" w:rsidRDefault="00D752E9" w:rsidP="00D752E9">
                    <w:pPr>
                      <w:rPr>
                        <w:rFonts w:ascii="Calibri" w:eastAsia="Calibri" w:hAnsi="Calibri" w:cs="Calibri"/>
                        <w:noProof/>
                        <w:color w:val="000000"/>
                        <w:sz w:val="20"/>
                      </w:rPr>
                    </w:pPr>
                    <w:r w:rsidRPr="00D752E9">
                      <w:rPr>
                        <w:rFonts w:ascii="Calibri" w:eastAsia="Calibri" w:hAnsi="Calibri" w:cs="Calibri"/>
                        <w:noProof/>
                        <w:color w:val="000000"/>
                        <w:sz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21615" w14:textId="77777777" w:rsidR="001846B3" w:rsidRDefault="001846B3">
      <w:pPr>
        <w:pStyle w:val="Amendement"/>
      </w:pPr>
      <w:r>
        <w:rPr>
          <w:b w:val="0"/>
        </w:rPr>
        <w:separator/>
      </w:r>
    </w:p>
  </w:footnote>
  <w:footnote w:type="continuationSeparator" w:id="0">
    <w:p w14:paraId="74994470" w14:textId="77777777" w:rsidR="001846B3" w:rsidRDefault="001846B3">
      <w:r>
        <w:continuationSeparator/>
      </w:r>
    </w:p>
  </w:footnote>
  <w:footnote w:id="1">
    <w:p w14:paraId="706A9A3E" w14:textId="733E5ED5" w:rsidR="00A25591" w:rsidRPr="00635488" w:rsidRDefault="00A25591">
      <w:pPr>
        <w:pStyle w:val="Voetnoottekst"/>
        <w:rPr>
          <w:sz w:val="20"/>
        </w:rPr>
      </w:pPr>
      <w:r w:rsidRPr="00635488">
        <w:rPr>
          <w:rStyle w:val="Voetnootmarkering"/>
          <w:sz w:val="20"/>
        </w:rPr>
        <w:footnoteRef/>
      </w:r>
      <w:r w:rsidRPr="00635488">
        <w:rPr>
          <w:sz w:val="20"/>
        </w:rPr>
        <w:t xml:space="preserve"> Kamerstuk 27</w:t>
      </w:r>
      <w:r w:rsidR="000F27D5" w:rsidRPr="00635488">
        <w:rPr>
          <w:sz w:val="20"/>
        </w:rPr>
        <w:t xml:space="preserve"> </w:t>
      </w:r>
      <w:r w:rsidRPr="00635488">
        <w:rPr>
          <w:sz w:val="20"/>
        </w:rPr>
        <w:t>8</w:t>
      </w:r>
      <w:r w:rsidR="000F27D5" w:rsidRPr="00635488">
        <w:rPr>
          <w:sz w:val="20"/>
        </w:rPr>
        <w:t>79</w:t>
      </w:r>
      <w:r w:rsidRPr="00635488">
        <w:rPr>
          <w:sz w:val="20"/>
        </w:rPr>
        <w:t xml:space="preserve"> nr. </w:t>
      </w:r>
      <w:r w:rsidR="000F27D5" w:rsidRPr="00635488">
        <w:rPr>
          <w:sz w:val="20"/>
        </w:rPr>
        <w:t>94 (22 april 2024)</w:t>
      </w:r>
      <w:r w:rsidR="00635488">
        <w:rPr>
          <w:sz w:val="20"/>
        </w:rPr>
        <w:t>.</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913"/>
    <w:multiLevelType w:val="hybridMultilevel"/>
    <w:tmpl w:val="1494DA32"/>
    <w:lvl w:ilvl="0" w:tplc="80605CF2">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955F88"/>
    <w:multiLevelType w:val="hybridMultilevel"/>
    <w:tmpl w:val="59B25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6854CC"/>
    <w:multiLevelType w:val="multilevel"/>
    <w:tmpl w:val="DAFEB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F5B2E"/>
    <w:multiLevelType w:val="hybridMultilevel"/>
    <w:tmpl w:val="36526184"/>
    <w:lvl w:ilvl="0" w:tplc="2A7AD446">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44C0FE9"/>
    <w:multiLevelType w:val="hybridMultilevel"/>
    <w:tmpl w:val="374CE7F2"/>
    <w:lvl w:ilvl="0" w:tplc="9044146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71A51EB3"/>
    <w:multiLevelType w:val="hybridMultilevel"/>
    <w:tmpl w:val="066CA0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BE173C"/>
    <w:multiLevelType w:val="multilevel"/>
    <w:tmpl w:val="0C4E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E3"/>
    <w:rsid w:val="000004C0"/>
    <w:rsid w:val="00041246"/>
    <w:rsid w:val="00042A51"/>
    <w:rsid w:val="00054FA5"/>
    <w:rsid w:val="0006063D"/>
    <w:rsid w:val="0008260A"/>
    <w:rsid w:val="00083A19"/>
    <w:rsid w:val="00093A3D"/>
    <w:rsid w:val="000A74C3"/>
    <w:rsid w:val="000D17BF"/>
    <w:rsid w:val="000F27D5"/>
    <w:rsid w:val="00157CAF"/>
    <w:rsid w:val="001634FF"/>
    <w:rsid w:val="001656EE"/>
    <w:rsid w:val="0016653D"/>
    <w:rsid w:val="00166EAF"/>
    <w:rsid w:val="001846B3"/>
    <w:rsid w:val="00194F5D"/>
    <w:rsid w:val="001A1252"/>
    <w:rsid w:val="001A4379"/>
    <w:rsid w:val="001A54E9"/>
    <w:rsid w:val="001C3725"/>
    <w:rsid w:val="001D56AF"/>
    <w:rsid w:val="001E0E21"/>
    <w:rsid w:val="00212E0A"/>
    <w:rsid w:val="002153B0"/>
    <w:rsid w:val="0021777F"/>
    <w:rsid w:val="00241DD0"/>
    <w:rsid w:val="0028497A"/>
    <w:rsid w:val="002974F8"/>
    <w:rsid w:val="002A0713"/>
    <w:rsid w:val="002A4A52"/>
    <w:rsid w:val="002B65A0"/>
    <w:rsid w:val="002E590A"/>
    <w:rsid w:val="003301F8"/>
    <w:rsid w:val="00340B33"/>
    <w:rsid w:val="00342A48"/>
    <w:rsid w:val="00343C0A"/>
    <w:rsid w:val="0035006A"/>
    <w:rsid w:val="00373B41"/>
    <w:rsid w:val="003B68FF"/>
    <w:rsid w:val="003B6BA2"/>
    <w:rsid w:val="003C21AC"/>
    <w:rsid w:val="003C5218"/>
    <w:rsid w:val="003C7876"/>
    <w:rsid w:val="003E0850"/>
    <w:rsid w:val="003E2F98"/>
    <w:rsid w:val="00416A55"/>
    <w:rsid w:val="0042574B"/>
    <w:rsid w:val="004330ED"/>
    <w:rsid w:val="00455267"/>
    <w:rsid w:val="00467FB3"/>
    <w:rsid w:val="00475DA4"/>
    <w:rsid w:val="004815E4"/>
    <w:rsid w:val="00481C91"/>
    <w:rsid w:val="004911E3"/>
    <w:rsid w:val="004915F9"/>
    <w:rsid w:val="00497D57"/>
    <w:rsid w:val="004A1E29"/>
    <w:rsid w:val="004A4D3A"/>
    <w:rsid w:val="004A7DD4"/>
    <w:rsid w:val="004B50D8"/>
    <w:rsid w:val="004B5B90"/>
    <w:rsid w:val="004F2F9B"/>
    <w:rsid w:val="00501109"/>
    <w:rsid w:val="00520EC9"/>
    <w:rsid w:val="00562C15"/>
    <w:rsid w:val="005703C9"/>
    <w:rsid w:val="00597703"/>
    <w:rsid w:val="005A11A4"/>
    <w:rsid w:val="005A6097"/>
    <w:rsid w:val="005B1DCC"/>
    <w:rsid w:val="005B7323"/>
    <w:rsid w:val="005C25B9"/>
    <w:rsid w:val="005D0B27"/>
    <w:rsid w:val="005E2FAF"/>
    <w:rsid w:val="005F48C8"/>
    <w:rsid w:val="006267E6"/>
    <w:rsid w:val="00635488"/>
    <w:rsid w:val="00646CA2"/>
    <w:rsid w:val="006558D2"/>
    <w:rsid w:val="00672D25"/>
    <w:rsid w:val="006738BC"/>
    <w:rsid w:val="006D267D"/>
    <w:rsid w:val="006D3E69"/>
    <w:rsid w:val="006E0971"/>
    <w:rsid w:val="007222F9"/>
    <w:rsid w:val="007435B1"/>
    <w:rsid w:val="00767D70"/>
    <w:rsid w:val="007709F6"/>
    <w:rsid w:val="007965FC"/>
    <w:rsid w:val="007D2608"/>
    <w:rsid w:val="00811EC2"/>
    <w:rsid w:val="008164E5"/>
    <w:rsid w:val="008172BC"/>
    <w:rsid w:val="00830081"/>
    <w:rsid w:val="008467D7"/>
    <w:rsid w:val="00852541"/>
    <w:rsid w:val="00865D47"/>
    <w:rsid w:val="008707E4"/>
    <w:rsid w:val="0088452C"/>
    <w:rsid w:val="008D2BE3"/>
    <w:rsid w:val="008D7DCB"/>
    <w:rsid w:val="009055DB"/>
    <w:rsid w:val="00905ECB"/>
    <w:rsid w:val="00917A2C"/>
    <w:rsid w:val="009432B6"/>
    <w:rsid w:val="0096165D"/>
    <w:rsid w:val="00963E28"/>
    <w:rsid w:val="00966AA9"/>
    <w:rsid w:val="00974044"/>
    <w:rsid w:val="00993E91"/>
    <w:rsid w:val="009A409F"/>
    <w:rsid w:val="009B5845"/>
    <w:rsid w:val="009C0C1F"/>
    <w:rsid w:val="009C55E8"/>
    <w:rsid w:val="009C5E21"/>
    <w:rsid w:val="009C6183"/>
    <w:rsid w:val="009F05E3"/>
    <w:rsid w:val="00A10505"/>
    <w:rsid w:val="00A1288B"/>
    <w:rsid w:val="00A25591"/>
    <w:rsid w:val="00A374E1"/>
    <w:rsid w:val="00A41FAF"/>
    <w:rsid w:val="00A53203"/>
    <w:rsid w:val="00A7305A"/>
    <w:rsid w:val="00A772EB"/>
    <w:rsid w:val="00A805C2"/>
    <w:rsid w:val="00A83AE1"/>
    <w:rsid w:val="00A92DF5"/>
    <w:rsid w:val="00AC0AEC"/>
    <w:rsid w:val="00AF63EC"/>
    <w:rsid w:val="00B01BA6"/>
    <w:rsid w:val="00B26162"/>
    <w:rsid w:val="00B4708A"/>
    <w:rsid w:val="00B54776"/>
    <w:rsid w:val="00B661EC"/>
    <w:rsid w:val="00BB38AB"/>
    <w:rsid w:val="00BC5120"/>
    <w:rsid w:val="00BF5C5B"/>
    <w:rsid w:val="00BF623B"/>
    <w:rsid w:val="00C00293"/>
    <w:rsid w:val="00C035D4"/>
    <w:rsid w:val="00C06959"/>
    <w:rsid w:val="00C27A9A"/>
    <w:rsid w:val="00C40B55"/>
    <w:rsid w:val="00C679BF"/>
    <w:rsid w:val="00C74477"/>
    <w:rsid w:val="00C81BBD"/>
    <w:rsid w:val="00C978CE"/>
    <w:rsid w:val="00CA05A6"/>
    <w:rsid w:val="00CA73E5"/>
    <w:rsid w:val="00CD0F78"/>
    <w:rsid w:val="00CD3132"/>
    <w:rsid w:val="00CE27CD"/>
    <w:rsid w:val="00D00C8F"/>
    <w:rsid w:val="00D134F3"/>
    <w:rsid w:val="00D34016"/>
    <w:rsid w:val="00D47D01"/>
    <w:rsid w:val="00D752E9"/>
    <w:rsid w:val="00D774B3"/>
    <w:rsid w:val="00D80135"/>
    <w:rsid w:val="00DA51F5"/>
    <w:rsid w:val="00DB59B8"/>
    <w:rsid w:val="00DC62E6"/>
    <w:rsid w:val="00DD35A5"/>
    <w:rsid w:val="00DE2948"/>
    <w:rsid w:val="00DF3422"/>
    <w:rsid w:val="00DF68BE"/>
    <w:rsid w:val="00DF712A"/>
    <w:rsid w:val="00E25DF4"/>
    <w:rsid w:val="00E3485D"/>
    <w:rsid w:val="00E56A86"/>
    <w:rsid w:val="00E6619B"/>
    <w:rsid w:val="00EA091A"/>
    <w:rsid w:val="00EA1CE4"/>
    <w:rsid w:val="00EA69AC"/>
    <w:rsid w:val="00EB148D"/>
    <w:rsid w:val="00EB40A1"/>
    <w:rsid w:val="00EC3112"/>
    <w:rsid w:val="00ED5E57"/>
    <w:rsid w:val="00EE1BD8"/>
    <w:rsid w:val="00F8152F"/>
    <w:rsid w:val="00F86D15"/>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4A16F7"/>
  <w15:docId w15:val="{7ABCA0CF-B173-4467-93DA-C2EEEF0D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semiHidden/>
    <w:unhideWhenUsed/>
    <w:rsid w:val="00D00C8F"/>
    <w:rPr>
      <w:sz w:val="16"/>
      <w:szCs w:val="16"/>
    </w:rPr>
  </w:style>
  <w:style w:type="paragraph" w:styleId="Tekstopmerking">
    <w:name w:val="annotation text"/>
    <w:basedOn w:val="Standaard"/>
    <w:link w:val="TekstopmerkingChar"/>
    <w:semiHidden/>
    <w:unhideWhenUsed/>
    <w:rsid w:val="00D00C8F"/>
    <w:rPr>
      <w:sz w:val="20"/>
    </w:rPr>
  </w:style>
  <w:style w:type="character" w:customStyle="1" w:styleId="TekstopmerkingChar">
    <w:name w:val="Tekst opmerking Char"/>
    <w:basedOn w:val="Standaardalinea-lettertype"/>
    <w:link w:val="Tekstopmerking"/>
    <w:semiHidden/>
    <w:rsid w:val="00D00C8F"/>
  </w:style>
  <w:style w:type="paragraph" w:styleId="Onderwerpvanopmerking">
    <w:name w:val="annotation subject"/>
    <w:basedOn w:val="Tekstopmerking"/>
    <w:next w:val="Tekstopmerking"/>
    <w:link w:val="OnderwerpvanopmerkingChar"/>
    <w:semiHidden/>
    <w:unhideWhenUsed/>
    <w:rsid w:val="00D00C8F"/>
    <w:rPr>
      <w:b/>
      <w:bCs/>
    </w:rPr>
  </w:style>
  <w:style w:type="character" w:customStyle="1" w:styleId="OnderwerpvanopmerkingChar">
    <w:name w:val="Onderwerp van opmerking Char"/>
    <w:basedOn w:val="TekstopmerkingChar"/>
    <w:link w:val="Onderwerpvanopmerking"/>
    <w:semiHidden/>
    <w:rsid w:val="00D00C8F"/>
    <w:rPr>
      <w:b/>
      <w:bCs/>
    </w:rPr>
  </w:style>
  <w:style w:type="character" w:styleId="Hyperlink">
    <w:name w:val="Hyperlink"/>
    <w:basedOn w:val="Standaardalinea-lettertype"/>
    <w:uiPriority w:val="99"/>
    <w:semiHidden/>
    <w:unhideWhenUsed/>
    <w:rsid w:val="00AF63EC"/>
    <w:rPr>
      <w:color w:val="0563C1"/>
      <w:u w:val="single"/>
    </w:rPr>
  </w:style>
  <w:style w:type="paragraph" w:customStyle="1" w:styleId="xmsonormal">
    <w:name w:val="x_msonormal"/>
    <w:basedOn w:val="Standaard"/>
    <w:rsid w:val="00D80135"/>
    <w:pPr>
      <w:widowControl/>
    </w:pPr>
    <w:rPr>
      <w:rFonts w:ascii="Calibri" w:eastAsiaTheme="minorHAnsi" w:hAnsi="Calibri" w:cs="Calibri"/>
      <w:sz w:val="22"/>
      <w:szCs w:val="22"/>
    </w:rPr>
  </w:style>
  <w:style w:type="paragraph" w:styleId="Lijstalinea">
    <w:name w:val="List Paragraph"/>
    <w:basedOn w:val="Standaard"/>
    <w:uiPriority w:val="34"/>
    <w:qFormat/>
    <w:rsid w:val="00D80135"/>
    <w:pPr>
      <w:ind w:left="720"/>
      <w:contextualSpacing/>
    </w:pPr>
  </w:style>
  <w:style w:type="paragraph" w:styleId="Revisie">
    <w:name w:val="Revision"/>
    <w:hidden/>
    <w:uiPriority w:val="99"/>
    <w:semiHidden/>
    <w:rsid w:val="008D2BE3"/>
    <w:rPr>
      <w:sz w:val="24"/>
    </w:rPr>
  </w:style>
  <w:style w:type="character" w:styleId="Voetnootmarkering">
    <w:name w:val="footnote reference"/>
    <w:basedOn w:val="Standaardalinea-lettertype"/>
    <w:semiHidden/>
    <w:unhideWhenUsed/>
    <w:rsid w:val="00A25591"/>
    <w:rPr>
      <w:vertAlign w:val="superscript"/>
    </w:rPr>
  </w:style>
  <w:style w:type="paragraph" w:customStyle="1" w:styleId="lid">
    <w:name w:val="lid"/>
    <w:basedOn w:val="Standaard"/>
    <w:rsid w:val="00343C0A"/>
    <w:pPr>
      <w:widowControl/>
      <w:spacing w:before="100" w:beforeAutospacing="1" w:after="100" w:afterAutospacing="1"/>
    </w:pPr>
    <w:rPr>
      <w:szCs w:val="24"/>
    </w:rPr>
  </w:style>
  <w:style w:type="paragraph" w:customStyle="1" w:styleId="labeled">
    <w:name w:val="labeled"/>
    <w:basedOn w:val="Standaard"/>
    <w:rsid w:val="00343C0A"/>
    <w:pPr>
      <w:widowControl/>
      <w:spacing w:before="100" w:beforeAutospacing="1" w:after="100" w:afterAutospacing="1"/>
    </w:pPr>
    <w:rPr>
      <w:szCs w:val="24"/>
    </w:rPr>
  </w:style>
  <w:style w:type="character" w:customStyle="1" w:styleId="ol">
    <w:name w:val="ol"/>
    <w:basedOn w:val="Standaardalinea-lettertype"/>
    <w:rsid w:val="0034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7889">
      <w:bodyDiv w:val="1"/>
      <w:marLeft w:val="0"/>
      <w:marRight w:val="0"/>
      <w:marTop w:val="0"/>
      <w:marBottom w:val="0"/>
      <w:divBdr>
        <w:top w:val="none" w:sz="0" w:space="0" w:color="auto"/>
        <w:left w:val="none" w:sz="0" w:space="0" w:color="auto"/>
        <w:bottom w:val="none" w:sz="0" w:space="0" w:color="auto"/>
        <w:right w:val="none" w:sz="0" w:space="0" w:color="auto"/>
      </w:divBdr>
    </w:div>
    <w:div w:id="564606466">
      <w:bodyDiv w:val="1"/>
      <w:marLeft w:val="0"/>
      <w:marRight w:val="0"/>
      <w:marTop w:val="0"/>
      <w:marBottom w:val="0"/>
      <w:divBdr>
        <w:top w:val="none" w:sz="0" w:space="0" w:color="auto"/>
        <w:left w:val="none" w:sz="0" w:space="0" w:color="auto"/>
        <w:bottom w:val="none" w:sz="0" w:space="0" w:color="auto"/>
        <w:right w:val="none" w:sz="0" w:space="0" w:color="auto"/>
      </w:divBdr>
    </w:div>
    <w:div w:id="620066727">
      <w:bodyDiv w:val="1"/>
      <w:marLeft w:val="0"/>
      <w:marRight w:val="0"/>
      <w:marTop w:val="0"/>
      <w:marBottom w:val="0"/>
      <w:divBdr>
        <w:top w:val="none" w:sz="0" w:space="0" w:color="auto"/>
        <w:left w:val="none" w:sz="0" w:space="0" w:color="auto"/>
        <w:bottom w:val="none" w:sz="0" w:space="0" w:color="auto"/>
        <w:right w:val="none" w:sz="0" w:space="0" w:color="auto"/>
      </w:divBdr>
    </w:div>
    <w:div w:id="1032267323">
      <w:bodyDiv w:val="1"/>
      <w:marLeft w:val="0"/>
      <w:marRight w:val="0"/>
      <w:marTop w:val="0"/>
      <w:marBottom w:val="0"/>
      <w:divBdr>
        <w:top w:val="none" w:sz="0" w:space="0" w:color="auto"/>
        <w:left w:val="none" w:sz="0" w:space="0" w:color="auto"/>
        <w:bottom w:val="none" w:sz="0" w:space="0" w:color="auto"/>
        <w:right w:val="none" w:sz="0" w:space="0" w:color="auto"/>
      </w:divBdr>
    </w:div>
    <w:div w:id="1683387751">
      <w:bodyDiv w:val="1"/>
      <w:marLeft w:val="0"/>
      <w:marRight w:val="0"/>
      <w:marTop w:val="0"/>
      <w:marBottom w:val="0"/>
      <w:divBdr>
        <w:top w:val="none" w:sz="0" w:space="0" w:color="auto"/>
        <w:left w:val="none" w:sz="0" w:space="0" w:color="auto"/>
        <w:bottom w:val="none" w:sz="0" w:space="0" w:color="auto"/>
        <w:right w:val="none" w:sz="0" w:space="0" w:color="auto"/>
      </w:divBdr>
    </w:div>
    <w:div w:id="1986084577">
      <w:bodyDiv w:val="1"/>
      <w:marLeft w:val="0"/>
      <w:marRight w:val="0"/>
      <w:marTop w:val="0"/>
      <w:marBottom w:val="0"/>
      <w:divBdr>
        <w:top w:val="none" w:sz="0" w:space="0" w:color="auto"/>
        <w:left w:val="none" w:sz="0" w:space="0" w:color="auto"/>
        <w:bottom w:val="none" w:sz="0" w:space="0" w:color="auto"/>
        <w:right w:val="none" w:sz="0" w:space="0" w:color="auto"/>
      </w:divBdr>
    </w:div>
    <w:div w:id="2036609355">
      <w:bodyDiv w:val="1"/>
      <w:marLeft w:val="0"/>
      <w:marRight w:val="0"/>
      <w:marTop w:val="0"/>
      <w:marBottom w:val="0"/>
      <w:divBdr>
        <w:top w:val="none" w:sz="0" w:space="0" w:color="auto"/>
        <w:left w:val="none" w:sz="0" w:space="0" w:color="auto"/>
        <w:bottom w:val="none" w:sz="0" w:space="0" w:color="auto"/>
        <w:right w:val="none" w:sz="0" w:space="0" w:color="auto"/>
      </w:divBdr>
    </w:div>
    <w:div w:id="2087998598">
      <w:bodyDiv w:val="1"/>
      <w:marLeft w:val="0"/>
      <w:marRight w:val="0"/>
      <w:marTop w:val="0"/>
      <w:marBottom w:val="0"/>
      <w:divBdr>
        <w:top w:val="none" w:sz="0" w:space="0" w:color="auto"/>
        <w:left w:val="none" w:sz="0" w:space="0" w:color="auto"/>
        <w:bottom w:val="none" w:sz="0" w:space="0" w:color="auto"/>
        <w:right w:val="none" w:sz="0" w:space="0" w:color="auto"/>
      </w:divBdr>
    </w:div>
    <w:div w:id="21420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81dcdd7-3e43-49fb-ac1e-2321f7e63421}" enabled="1" method="Standard" siteId="{1321633e-f6b9-44e2-a44f-59b9d264ecb7}" contentBits="2" removed="0"/>
</clbl:labelList>
</file>

<file path=docProps/app.xml><?xml version="1.0" encoding="utf-8"?>
<ap:Properties xmlns:vt="http://schemas.openxmlformats.org/officeDocument/2006/docPropsVTypes" xmlns:ap="http://schemas.openxmlformats.org/officeDocument/2006/extended-properties">
  <ap:Pages>2</ap:Pages>
  <ap:Words>624</ap:Words>
  <ap:Characters>3767</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4383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2024-05-17T14:53:00.0000000Z</dcterms:created>
  <dcterms:modified xsi:type="dcterms:W3CDTF">2024-05-28T12:45:00.0000000Z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