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F0F" w:rsidR="0053540A" w:rsidP="000C181E" w:rsidRDefault="0053540A" w14:paraId="5273ED28" w14:textId="77777777">
      <w:pPr>
        <w:rPr>
          <w:szCs w:val="18"/>
        </w:rPr>
      </w:pPr>
    </w:p>
    <w:p w:rsidRPr="00C62F0F" w:rsidR="0053540A" w:rsidP="000C181E" w:rsidRDefault="0053540A" w14:paraId="445DF8B7" w14:textId="743C61A4">
      <w:pPr>
        <w:rPr>
          <w:szCs w:val="18"/>
        </w:rPr>
      </w:pPr>
      <w:r w:rsidRPr="00C62F0F">
        <w:rPr>
          <w:szCs w:val="18"/>
        </w:rPr>
        <w:t xml:space="preserve">Geachte </w:t>
      </w:r>
      <w:r w:rsidR="009E16E0">
        <w:rPr>
          <w:szCs w:val="18"/>
        </w:rPr>
        <w:t>V</w:t>
      </w:r>
      <w:r w:rsidRPr="00C62F0F">
        <w:rPr>
          <w:szCs w:val="18"/>
        </w:rPr>
        <w:t xml:space="preserve">oorzitter, </w:t>
      </w:r>
    </w:p>
    <w:p w:rsidRPr="00C62F0F" w:rsidR="0053540A" w:rsidP="000C181E" w:rsidRDefault="0053540A" w14:paraId="641B4E82" w14:textId="77777777">
      <w:pPr>
        <w:rPr>
          <w:szCs w:val="18"/>
        </w:rPr>
      </w:pPr>
    </w:p>
    <w:p w:rsidRPr="00C62F0F" w:rsidR="0053540A" w:rsidP="000C181E" w:rsidRDefault="0053540A" w14:paraId="069FBCC1" w14:textId="4FEEDDC9">
      <w:pPr>
        <w:rPr>
          <w:szCs w:val="18"/>
        </w:rPr>
      </w:pPr>
      <w:r w:rsidRPr="00C62F0F">
        <w:rPr>
          <w:szCs w:val="18"/>
        </w:rPr>
        <w:t>Zoals vorig jaar in de Kamerbrief ‘</w:t>
      </w:r>
      <w:r w:rsidR="00281D74">
        <w:rPr>
          <w:szCs w:val="18"/>
        </w:rPr>
        <w:t>E</w:t>
      </w:r>
      <w:r w:rsidRPr="00C62F0F">
        <w:rPr>
          <w:szCs w:val="18"/>
        </w:rPr>
        <w:t>nergiediplomatie en import van waterstof’</w:t>
      </w:r>
      <w:r w:rsidRPr="00C62F0F">
        <w:rPr>
          <w:rStyle w:val="Voetnootmarkering"/>
          <w:szCs w:val="18"/>
        </w:rPr>
        <w:footnoteReference w:id="2"/>
      </w:r>
      <w:r w:rsidRPr="00C62F0F">
        <w:rPr>
          <w:szCs w:val="18"/>
        </w:rPr>
        <w:t xml:space="preserve"> al </w:t>
      </w:r>
      <w:r w:rsidR="00205DC2">
        <w:rPr>
          <w:szCs w:val="18"/>
        </w:rPr>
        <w:t xml:space="preserve">is </w:t>
      </w:r>
      <w:r w:rsidRPr="00C62F0F">
        <w:rPr>
          <w:szCs w:val="18"/>
        </w:rPr>
        <w:t>vermeld, zijn de energiemarkten sterk in beweging. Het geopolitieke speelveld verandert en het kabinet werkt aan het opzetten van</w:t>
      </w:r>
      <w:r w:rsidR="00507AAE">
        <w:rPr>
          <w:szCs w:val="18"/>
        </w:rPr>
        <w:t xml:space="preserve"> nieuwe duurzame</w:t>
      </w:r>
      <w:r w:rsidRPr="00C62F0F">
        <w:rPr>
          <w:szCs w:val="18"/>
        </w:rPr>
        <w:t xml:space="preserve"> importketens voor energie. In deze brief informeer ik uw Kamer graag, in navolging op de voornoemde Kamerbrief en de motie-Erkens</w:t>
      </w:r>
      <w:r w:rsidRPr="00C62F0F">
        <w:rPr>
          <w:rStyle w:val="Voetnootmarkering"/>
          <w:szCs w:val="18"/>
        </w:rPr>
        <w:footnoteReference w:id="3"/>
      </w:r>
      <w:r w:rsidR="00024D0D">
        <w:rPr>
          <w:szCs w:val="18"/>
        </w:rPr>
        <w:t xml:space="preserve"> </w:t>
      </w:r>
      <w:r w:rsidRPr="00C62F0F">
        <w:rPr>
          <w:szCs w:val="18"/>
        </w:rPr>
        <w:t>over de acties en het beleid van de Nederlandse overheid met betrekking tot</w:t>
      </w:r>
      <w:r w:rsidR="00281D74">
        <w:rPr>
          <w:szCs w:val="18"/>
        </w:rPr>
        <w:t xml:space="preserve"> de</w:t>
      </w:r>
      <w:r w:rsidRPr="00C62F0F">
        <w:rPr>
          <w:szCs w:val="18"/>
        </w:rPr>
        <w:t xml:space="preserve"> bevordering </w:t>
      </w:r>
      <w:r w:rsidR="00281D74">
        <w:rPr>
          <w:szCs w:val="18"/>
        </w:rPr>
        <w:t xml:space="preserve">van </w:t>
      </w:r>
      <w:r w:rsidRPr="00C62F0F">
        <w:rPr>
          <w:szCs w:val="18"/>
        </w:rPr>
        <w:t>leveringszekerheid en import van energie (specifiek: waterstof, gas/LNG) en grondstoffen ten behoeve van de energietransitie. Deze brief stuur i</w:t>
      </w:r>
      <w:r w:rsidR="004775CF">
        <w:rPr>
          <w:szCs w:val="18"/>
        </w:rPr>
        <w:t>k</w:t>
      </w:r>
      <w:r w:rsidRPr="00C62F0F">
        <w:rPr>
          <w:szCs w:val="18"/>
        </w:rPr>
        <w:t xml:space="preserve"> mede namens de</w:t>
      </w:r>
      <w:r w:rsidR="004775CF">
        <w:rPr>
          <w:szCs w:val="18"/>
        </w:rPr>
        <w:t xml:space="preserve"> minister van Economische Zaken en Klimaat,</w:t>
      </w:r>
      <w:r w:rsidRPr="00C62F0F">
        <w:rPr>
          <w:szCs w:val="18"/>
        </w:rPr>
        <w:t xml:space="preserve"> </w:t>
      </w:r>
      <w:r w:rsidR="00DC0C0B">
        <w:rPr>
          <w:szCs w:val="18"/>
        </w:rPr>
        <w:t xml:space="preserve">de </w:t>
      </w:r>
      <w:r w:rsidRPr="00C62F0F">
        <w:rPr>
          <w:szCs w:val="18"/>
        </w:rPr>
        <w:t>minister van Buitenlandse Zaken en de minister voor Buitenlandse Handel en Ontwikkelingssamenwerking.</w:t>
      </w:r>
    </w:p>
    <w:p w:rsidRPr="00C62F0F" w:rsidR="0053540A" w:rsidP="000C181E" w:rsidRDefault="0053540A" w14:paraId="3918DE54" w14:textId="77777777">
      <w:pPr>
        <w:rPr>
          <w:szCs w:val="18"/>
        </w:rPr>
      </w:pPr>
    </w:p>
    <w:p w:rsidRPr="00C62F0F" w:rsidR="0053540A" w:rsidP="000C181E" w:rsidRDefault="0053540A" w14:paraId="0A16086C" w14:textId="185D8C9E">
      <w:pPr>
        <w:rPr>
          <w:szCs w:val="18"/>
        </w:rPr>
      </w:pPr>
      <w:r w:rsidRPr="00C62F0F">
        <w:rPr>
          <w:szCs w:val="18"/>
        </w:rPr>
        <w:t>Deze brief gaat achtereenvolgens in op 1) de huidige stand van zaken en ontwikkelingen in de (mondiale) waterstofmarkt; 2) de rol van de overheid bij de bestendiging van leveringszekerheid</w:t>
      </w:r>
      <w:r w:rsidR="00FB0F8F">
        <w:rPr>
          <w:szCs w:val="18"/>
        </w:rPr>
        <w:t xml:space="preserve"> door</w:t>
      </w:r>
      <w:r w:rsidR="00024D0D">
        <w:rPr>
          <w:szCs w:val="18"/>
        </w:rPr>
        <w:t xml:space="preserve"> </w:t>
      </w:r>
      <w:r w:rsidRPr="00C62F0F">
        <w:rPr>
          <w:szCs w:val="18"/>
        </w:rPr>
        <w:t>import van energie(dragers)</w:t>
      </w:r>
      <w:r>
        <w:rPr>
          <w:szCs w:val="18"/>
        </w:rPr>
        <w:t xml:space="preserve"> voor waterstof en gas/LNG.</w:t>
      </w:r>
      <w:r w:rsidR="00024D0D">
        <w:rPr>
          <w:szCs w:val="18"/>
        </w:rPr>
        <w:t xml:space="preserve"> </w:t>
      </w:r>
      <w:r>
        <w:rPr>
          <w:szCs w:val="18"/>
        </w:rPr>
        <w:t xml:space="preserve">In de bijlage vindt u onder andere </w:t>
      </w:r>
      <w:r w:rsidR="00024D0D">
        <w:rPr>
          <w:szCs w:val="18"/>
        </w:rPr>
        <w:t xml:space="preserve">een overzicht van </w:t>
      </w:r>
      <w:r w:rsidR="00FB0F8F">
        <w:rPr>
          <w:szCs w:val="18"/>
        </w:rPr>
        <w:t xml:space="preserve">energiediplomatieke </w:t>
      </w:r>
      <w:r w:rsidRPr="00C62F0F">
        <w:rPr>
          <w:szCs w:val="18"/>
        </w:rPr>
        <w:t>activiteiten ter bevordering van de import in 2023</w:t>
      </w:r>
      <w:r w:rsidR="00A27B57">
        <w:rPr>
          <w:szCs w:val="18"/>
        </w:rPr>
        <w:t>-</w:t>
      </w:r>
      <w:r w:rsidRPr="00C62F0F">
        <w:rPr>
          <w:szCs w:val="18"/>
        </w:rPr>
        <w:t xml:space="preserve">2025. </w:t>
      </w:r>
    </w:p>
    <w:p w:rsidRPr="00C62F0F" w:rsidR="0053540A" w:rsidP="000C181E" w:rsidRDefault="0053540A" w14:paraId="0A4DCACA" w14:textId="77777777">
      <w:pPr>
        <w:rPr>
          <w:szCs w:val="18"/>
        </w:rPr>
      </w:pPr>
    </w:p>
    <w:p w:rsidR="0055347F" w:rsidP="000C181E" w:rsidRDefault="009E16E0" w14:paraId="6946ADAE" w14:textId="587DCC9E">
      <w:pPr>
        <w:rPr>
          <w:szCs w:val="18"/>
        </w:rPr>
      </w:pPr>
      <w:r w:rsidRPr="00C62F0F">
        <w:rPr>
          <w:szCs w:val="18"/>
        </w:rPr>
        <w:t>Hoewel energiediplomatie een bredere beleidsagenda betreft</w:t>
      </w:r>
      <w:r>
        <w:rPr>
          <w:szCs w:val="18"/>
        </w:rPr>
        <w:t>, die ook gericht is op het bevorderen van de energietransitie in andere landen</w:t>
      </w:r>
      <w:r w:rsidRPr="00C62F0F">
        <w:rPr>
          <w:szCs w:val="18"/>
        </w:rPr>
        <w:t>, gaat deze brief</w:t>
      </w:r>
      <w:r>
        <w:rPr>
          <w:szCs w:val="18"/>
        </w:rPr>
        <w:t xml:space="preserve"> specifiek</w:t>
      </w:r>
      <w:r w:rsidRPr="00C62F0F">
        <w:rPr>
          <w:szCs w:val="18"/>
        </w:rPr>
        <w:t xml:space="preserve"> </w:t>
      </w:r>
      <w:r>
        <w:rPr>
          <w:szCs w:val="18"/>
        </w:rPr>
        <w:t xml:space="preserve">over de </w:t>
      </w:r>
      <w:r w:rsidRPr="00C62F0F">
        <w:rPr>
          <w:szCs w:val="18"/>
        </w:rPr>
        <w:t xml:space="preserve">acties </w:t>
      </w:r>
      <w:r>
        <w:rPr>
          <w:szCs w:val="18"/>
        </w:rPr>
        <w:t xml:space="preserve">die </w:t>
      </w:r>
      <w:r w:rsidRPr="00C62F0F">
        <w:rPr>
          <w:szCs w:val="18"/>
        </w:rPr>
        <w:t xml:space="preserve">genomen worden </w:t>
      </w:r>
      <w:r>
        <w:rPr>
          <w:szCs w:val="18"/>
        </w:rPr>
        <w:t>op het gebied van import en leveringszekerheid</w:t>
      </w:r>
      <w:r w:rsidRPr="00C62F0F">
        <w:rPr>
          <w:szCs w:val="18"/>
        </w:rPr>
        <w:t>.</w:t>
      </w:r>
      <w:r w:rsidR="00507AAE">
        <w:rPr>
          <w:szCs w:val="18"/>
        </w:rPr>
        <w:t xml:space="preserve"> </w:t>
      </w:r>
      <w:r w:rsidR="00A27B57">
        <w:rPr>
          <w:szCs w:val="18"/>
        </w:rPr>
        <w:t>H</w:t>
      </w:r>
      <w:r w:rsidRPr="00C62F0F">
        <w:rPr>
          <w:szCs w:val="18"/>
        </w:rPr>
        <w:t xml:space="preserve">et kabinet </w:t>
      </w:r>
      <w:r w:rsidR="00A27B57">
        <w:rPr>
          <w:szCs w:val="18"/>
        </w:rPr>
        <w:t xml:space="preserve">zet </w:t>
      </w:r>
      <w:r w:rsidRPr="00C62F0F">
        <w:rPr>
          <w:szCs w:val="18"/>
        </w:rPr>
        <w:t xml:space="preserve">zich in het kader van energiediplomatie </w:t>
      </w:r>
      <w:r w:rsidR="00A27B57">
        <w:rPr>
          <w:szCs w:val="18"/>
        </w:rPr>
        <w:t xml:space="preserve">namelijk </w:t>
      </w:r>
      <w:r w:rsidRPr="00C62F0F">
        <w:rPr>
          <w:szCs w:val="18"/>
        </w:rPr>
        <w:t>ook nadrukkelijk in voor de Sustainable Development Goals en de mondiale doelen</w:t>
      </w:r>
      <w:r w:rsidR="003A6F2E">
        <w:rPr>
          <w:szCs w:val="18"/>
        </w:rPr>
        <w:t xml:space="preserve"> voor energietransitie</w:t>
      </w:r>
      <w:r w:rsidRPr="00C62F0F">
        <w:rPr>
          <w:szCs w:val="18"/>
        </w:rPr>
        <w:t xml:space="preserve"> van COP28: het verdrievoudigen van de hernieuwbare energiecapaciteit in 2030, het verdubbelen van energiebesparing in 2030 en het weg</w:t>
      </w:r>
      <w:r>
        <w:rPr>
          <w:szCs w:val="18"/>
        </w:rPr>
        <w:t xml:space="preserve"> </w:t>
      </w:r>
      <w:r w:rsidRPr="00C62F0F">
        <w:rPr>
          <w:szCs w:val="18"/>
        </w:rPr>
        <w:t>bewegen van fossiele brandstoffen.</w:t>
      </w:r>
      <w:r w:rsidR="00254AEE">
        <w:rPr>
          <w:szCs w:val="18"/>
        </w:rPr>
        <w:t xml:space="preserve"> </w:t>
      </w:r>
      <w:r w:rsidRPr="00254AEE" w:rsidR="00254AEE">
        <w:rPr>
          <w:szCs w:val="18"/>
        </w:rPr>
        <w:t>Zo heeft het kabinet in de BHOS beleidsnota van 2022 aangegeven dat het in de periode 2025-2030 100 miljoen mensen wil helpen aan toegang tot hernieuwbare energie.</w:t>
      </w:r>
      <w:r w:rsidR="00254AEE">
        <w:rPr>
          <w:rStyle w:val="Voetnootmarkering"/>
          <w:szCs w:val="18"/>
        </w:rPr>
        <w:footnoteReference w:id="4"/>
      </w:r>
      <w:r w:rsidRPr="00254AEE" w:rsidR="00254AEE">
        <w:rPr>
          <w:szCs w:val="18"/>
        </w:rPr>
        <w:t xml:space="preserve"> </w:t>
      </w:r>
      <w:r w:rsidRPr="00C62F0F">
        <w:rPr>
          <w:szCs w:val="18"/>
        </w:rPr>
        <w:t xml:space="preserve"> Ook steunt het kabinet het </w:t>
      </w:r>
      <w:r w:rsidR="00507AAE">
        <w:rPr>
          <w:szCs w:val="18"/>
        </w:rPr>
        <w:t>Internationale Energy Agency (</w:t>
      </w:r>
      <w:r w:rsidRPr="00C62F0F">
        <w:rPr>
          <w:szCs w:val="18"/>
        </w:rPr>
        <w:t>IEA</w:t>
      </w:r>
      <w:r w:rsidR="00507AAE">
        <w:rPr>
          <w:szCs w:val="18"/>
        </w:rPr>
        <w:t>)</w:t>
      </w:r>
      <w:r w:rsidRPr="00C62F0F">
        <w:rPr>
          <w:szCs w:val="18"/>
        </w:rPr>
        <w:t xml:space="preserve"> en </w:t>
      </w:r>
      <w:r w:rsidR="00507AAE">
        <w:rPr>
          <w:szCs w:val="18"/>
        </w:rPr>
        <w:t xml:space="preserve">International Renewable </w:t>
      </w:r>
      <w:r w:rsidR="00507AAE">
        <w:rPr>
          <w:szCs w:val="18"/>
        </w:rPr>
        <w:lastRenderedPageBreak/>
        <w:t>Energy Agency (</w:t>
      </w:r>
      <w:r w:rsidRPr="00C62F0F">
        <w:rPr>
          <w:szCs w:val="18"/>
        </w:rPr>
        <w:t>IRENA</w:t>
      </w:r>
      <w:r w:rsidR="00507AAE">
        <w:rPr>
          <w:szCs w:val="18"/>
        </w:rPr>
        <w:t>)</w:t>
      </w:r>
      <w:r w:rsidRPr="00C62F0F">
        <w:rPr>
          <w:szCs w:val="18"/>
        </w:rPr>
        <w:t xml:space="preserve"> om overheden te helpen bij het implementeren en waarmaken van de COP-uitkomsten. Zo heeft het IEA aangekondigd om innovatieve financiële mechanismen te gaan </w:t>
      </w:r>
      <w:r w:rsidR="00254AEE">
        <w:rPr>
          <w:szCs w:val="18"/>
        </w:rPr>
        <w:t>onderzoeken</w:t>
      </w:r>
      <w:r w:rsidRPr="00C62F0F">
        <w:rPr>
          <w:szCs w:val="18"/>
        </w:rPr>
        <w:t xml:space="preserve"> om de kapitaalkosten van energieprojecten in ontwikkelingslanden omlaag te brengen met steun vanuit Nederland. Daarnaast heeft Nederland het initiatief genomen om tijdens de tweejaarlijkse ministeriële vergadering van het IEA afgelopen februari een high-level dialoog te organiseren over het bevorderen </w:t>
      </w:r>
      <w:r>
        <w:rPr>
          <w:szCs w:val="18"/>
        </w:rPr>
        <w:t xml:space="preserve">van </w:t>
      </w:r>
      <w:r w:rsidRPr="00C62F0F">
        <w:rPr>
          <w:szCs w:val="18"/>
        </w:rPr>
        <w:t>hernieuwbare energie als kans voor duurzame economische ontwikkeling in Afrikaanse landen.</w:t>
      </w:r>
      <w:r w:rsidR="0055347F">
        <w:rPr>
          <w:szCs w:val="18"/>
        </w:rPr>
        <w:t xml:space="preserve"> </w:t>
      </w:r>
      <w:r w:rsidRPr="0055347F" w:rsidR="0055347F">
        <w:rPr>
          <w:szCs w:val="18"/>
        </w:rPr>
        <w:t xml:space="preserve">In een aantal toekomstige waterstof-producerende landen wordt door middel van energiediplomatie door de Nederlandse ambassade samen met partners zoals de RVO en staatsdeelnemingen zoals Invest International ingezet op het ondersteunen van lokale ontwikkeling en toekomstige import van waterstof voor Nederland. Zo werkt Invest International middels het programma DRIVE – dat namens de </w:t>
      </w:r>
      <w:r w:rsidR="00AE3FA6">
        <w:rPr>
          <w:szCs w:val="18"/>
        </w:rPr>
        <w:t>m</w:t>
      </w:r>
      <w:r w:rsidRPr="0055347F" w:rsidR="0055347F">
        <w:rPr>
          <w:szCs w:val="18"/>
        </w:rPr>
        <w:t>inister v</w:t>
      </w:r>
      <w:r w:rsidR="002B5193">
        <w:rPr>
          <w:szCs w:val="18"/>
        </w:rPr>
        <w:t>oor</w:t>
      </w:r>
      <w:r w:rsidRPr="0055347F" w:rsidR="0055347F">
        <w:rPr>
          <w:szCs w:val="18"/>
        </w:rPr>
        <w:t xml:space="preserve"> Buitenlandse Handel en Ontwikkelingssamenwerking wordt uitgevoerd door Invest international – aan de ontwikkeling van groene waterstofprojecten in een aantal Afrikaanse landen met inzet van ODA-middelen</w:t>
      </w:r>
      <w:r w:rsidR="00E43250">
        <w:rPr>
          <w:szCs w:val="18"/>
        </w:rPr>
        <w:t xml:space="preserve"> (officieel erkende financiering ontwikkelingssamenwerking)</w:t>
      </w:r>
      <w:r w:rsidRPr="0055347F" w:rsidR="0055347F">
        <w:rPr>
          <w:szCs w:val="18"/>
        </w:rPr>
        <w:t>.</w:t>
      </w:r>
    </w:p>
    <w:p w:rsidR="0055347F" w:rsidP="000C181E" w:rsidRDefault="0055347F" w14:paraId="7D16FC52" w14:textId="77777777">
      <w:pPr>
        <w:rPr>
          <w:szCs w:val="18"/>
        </w:rPr>
      </w:pPr>
    </w:p>
    <w:p w:rsidR="009E16E0" w:rsidP="000C181E" w:rsidRDefault="00281D74" w14:paraId="6DA6C60D" w14:textId="478965E6">
      <w:pPr>
        <w:rPr>
          <w:szCs w:val="18"/>
        </w:rPr>
      </w:pPr>
      <w:r w:rsidRPr="00281D74">
        <w:rPr>
          <w:szCs w:val="18"/>
        </w:rPr>
        <w:t>Naast deze bredere ontwikkelingen richt ik mij in het vervolg van deze brief specifiek op de leveringszekerheid en import van eerst waterstof en vervolgens LNG.</w:t>
      </w:r>
    </w:p>
    <w:p w:rsidRPr="00C62F0F" w:rsidR="0053540A" w:rsidP="000C181E" w:rsidRDefault="0053540A" w14:paraId="15A17DAA" w14:textId="77777777">
      <w:pPr>
        <w:rPr>
          <w:szCs w:val="18"/>
        </w:rPr>
      </w:pPr>
    </w:p>
    <w:p w:rsidRPr="00C62F0F" w:rsidR="0053540A" w:rsidP="000C181E" w:rsidRDefault="0053540A" w14:paraId="6F5EB15B" w14:textId="05CA96C8">
      <w:pPr>
        <w:rPr>
          <w:b/>
          <w:bCs/>
          <w:szCs w:val="18"/>
        </w:rPr>
      </w:pPr>
      <w:r w:rsidRPr="00C62F0F">
        <w:rPr>
          <w:b/>
          <w:bCs/>
          <w:szCs w:val="18"/>
        </w:rPr>
        <w:t xml:space="preserve">Stand van zaken </w:t>
      </w:r>
      <w:r w:rsidR="00A27B57">
        <w:rPr>
          <w:b/>
          <w:bCs/>
          <w:szCs w:val="18"/>
        </w:rPr>
        <w:t>mondiale</w:t>
      </w:r>
      <w:r w:rsidRPr="00C62F0F" w:rsidR="00A27B57">
        <w:rPr>
          <w:b/>
          <w:bCs/>
          <w:szCs w:val="18"/>
        </w:rPr>
        <w:t xml:space="preserve"> </w:t>
      </w:r>
      <w:r w:rsidRPr="00C62F0F">
        <w:rPr>
          <w:b/>
          <w:bCs/>
          <w:szCs w:val="18"/>
        </w:rPr>
        <w:t xml:space="preserve">waterstofmarkt </w:t>
      </w:r>
    </w:p>
    <w:p w:rsidRPr="00C62F0F" w:rsidR="0053540A" w:rsidP="000C181E" w:rsidRDefault="0053540A" w14:paraId="1EC6DEA8" w14:textId="77777777">
      <w:pPr>
        <w:rPr>
          <w:szCs w:val="18"/>
        </w:rPr>
      </w:pPr>
    </w:p>
    <w:p w:rsidRPr="00C62F0F" w:rsidR="0053540A" w:rsidP="000C181E" w:rsidRDefault="0053540A" w14:paraId="4E588A67" w14:textId="77777777">
      <w:pPr>
        <w:rPr>
          <w:szCs w:val="18"/>
        </w:rPr>
      </w:pPr>
      <w:r w:rsidRPr="00C62F0F">
        <w:rPr>
          <w:i/>
          <w:iCs/>
          <w:szCs w:val="18"/>
        </w:rPr>
        <w:t xml:space="preserve">Internationale waterstofmarkt </w:t>
      </w:r>
    </w:p>
    <w:p w:rsidRPr="00C62F0F" w:rsidR="0053540A" w:rsidP="000C181E" w:rsidRDefault="0053540A" w14:paraId="35C2742D" w14:textId="20DF9E70">
      <w:pPr>
        <w:rPr>
          <w:szCs w:val="18"/>
        </w:rPr>
      </w:pPr>
      <w:r w:rsidRPr="00C62F0F">
        <w:rPr>
          <w:szCs w:val="18"/>
        </w:rPr>
        <w:t>De ontwikkeling van de</w:t>
      </w:r>
      <w:r w:rsidR="00FB0F8F">
        <w:rPr>
          <w:szCs w:val="18"/>
        </w:rPr>
        <w:t xml:space="preserve"> ketens voor </w:t>
      </w:r>
      <w:r w:rsidRPr="00C62F0F">
        <w:rPr>
          <w:szCs w:val="18"/>
        </w:rPr>
        <w:t>hernieuwbare en koolstofarme waterstof bevindt zich wereldwijd in een vroeg stadium. Mede hierdoor is</w:t>
      </w:r>
      <w:r w:rsidR="00FB0F8F">
        <w:rPr>
          <w:szCs w:val="18"/>
        </w:rPr>
        <w:t xml:space="preserve"> het</w:t>
      </w:r>
      <w:r w:rsidRPr="00C62F0F">
        <w:rPr>
          <w:szCs w:val="18"/>
        </w:rPr>
        <w:t xml:space="preserve"> totale aanbod van waterstof nog onzeker. Het </w:t>
      </w:r>
      <w:r w:rsidR="00281D74">
        <w:rPr>
          <w:szCs w:val="18"/>
        </w:rPr>
        <w:t>kabinet acht het</w:t>
      </w:r>
      <w:r w:rsidRPr="00C62F0F">
        <w:rPr>
          <w:szCs w:val="18"/>
        </w:rPr>
        <w:t xml:space="preserve"> noodzakelijk</w:t>
      </w:r>
      <w:r w:rsidR="00281D74">
        <w:rPr>
          <w:szCs w:val="18"/>
        </w:rPr>
        <w:t xml:space="preserve"> en verstandig</w:t>
      </w:r>
      <w:r w:rsidRPr="00C62F0F">
        <w:rPr>
          <w:szCs w:val="18"/>
        </w:rPr>
        <w:t xml:space="preserve"> </w:t>
      </w:r>
      <w:r w:rsidR="00FB0F8F">
        <w:rPr>
          <w:szCs w:val="18"/>
        </w:rPr>
        <w:t xml:space="preserve">om door middel van </w:t>
      </w:r>
      <w:r w:rsidRPr="00C62F0F">
        <w:rPr>
          <w:szCs w:val="18"/>
        </w:rPr>
        <w:t xml:space="preserve">energiediplomatie Nederland te positioneren als </w:t>
      </w:r>
      <w:r w:rsidR="00FB0F8F">
        <w:rPr>
          <w:szCs w:val="18"/>
        </w:rPr>
        <w:t>energiehub</w:t>
      </w:r>
      <w:r w:rsidRPr="00C62F0F">
        <w:rPr>
          <w:szCs w:val="18"/>
        </w:rPr>
        <w:t xml:space="preserve"> en als betrouwbare handelspartner. </w:t>
      </w:r>
    </w:p>
    <w:p w:rsidR="0053540A" w:rsidP="000C181E" w:rsidRDefault="0053540A" w14:paraId="7FEFA541" w14:textId="235429CE">
      <w:pPr>
        <w:rPr>
          <w:szCs w:val="18"/>
        </w:rPr>
      </w:pPr>
      <w:r w:rsidRPr="00C62F0F">
        <w:rPr>
          <w:szCs w:val="18"/>
        </w:rPr>
        <w:t>In steeds meer landen zijn plannen en projecten aangekondigd door overheden en bedrijven om waterstof te produceren voor export en eigen gebruik.</w:t>
      </w:r>
      <w:r w:rsidRPr="00C62F0F">
        <w:rPr>
          <w:rStyle w:val="Voetnootmarkering"/>
          <w:szCs w:val="18"/>
        </w:rPr>
        <w:footnoteReference w:id="5"/>
      </w:r>
      <w:r w:rsidRPr="00C62F0F">
        <w:rPr>
          <w:szCs w:val="18"/>
        </w:rPr>
        <w:t xml:space="preserve"> De spreiding van deze initiatieven over alle continenten geeft aan dat inzet op waterstof nu echt een mondiale trend wordt. </w:t>
      </w:r>
      <w:r w:rsidR="00A76F23">
        <w:rPr>
          <w:szCs w:val="18"/>
        </w:rPr>
        <w:t>O</w:t>
      </w:r>
      <w:r w:rsidRPr="00C62F0F">
        <w:rPr>
          <w:szCs w:val="18"/>
        </w:rPr>
        <w:t xml:space="preserve">ndanks de honderden aankondigingen zijn er </w:t>
      </w:r>
      <w:r w:rsidR="00FB0F8F">
        <w:rPr>
          <w:szCs w:val="18"/>
        </w:rPr>
        <w:t xml:space="preserve">echter </w:t>
      </w:r>
      <w:r w:rsidRPr="00C62F0F">
        <w:rPr>
          <w:szCs w:val="18"/>
        </w:rPr>
        <w:t xml:space="preserve">tot nu toe weinig investeringsbeslissingen genomen om met de bouw van elektrolysecapaciteit of andere waterstof productie-installaties te beginnen. Als belangrijkste reden </w:t>
      </w:r>
      <w:r w:rsidR="00024D0D">
        <w:rPr>
          <w:szCs w:val="18"/>
        </w:rPr>
        <w:t xml:space="preserve">hiervoor </w:t>
      </w:r>
      <w:r w:rsidRPr="00C62F0F">
        <w:rPr>
          <w:szCs w:val="18"/>
        </w:rPr>
        <w:t xml:space="preserve">wordt doorgaans het achterblijven van de vraag en het gebrek aan lange termijn afnamecontracten (uitblijven van zekerheid bij investeringsbeslissingen) genoemd. Ook zijn de kosten van materialen, technologieën en </w:t>
      </w:r>
      <w:r w:rsidR="00FB0F8F">
        <w:rPr>
          <w:szCs w:val="18"/>
        </w:rPr>
        <w:t>kapitaal</w:t>
      </w:r>
      <w:r w:rsidRPr="00C62F0F" w:rsidR="00FB0F8F">
        <w:rPr>
          <w:szCs w:val="18"/>
        </w:rPr>
        <w:t xml:space="preserve"> </w:t>
      </w:r>
      <w:r w:rsidRPr="00C62F0F">
        <w:rPr>
          <w:szCs w:val="18"/>
        </w:rPr>
        <w:t>de afgelopen tijd sterk gestegen. Naast kostenstijging</w:t>
      </w:r>
      <w:r w:rsidR="00A27B57">
        <w:rPr>
          <w:szCs w:val="18"/>
        </w:rPr>
        <w:t>en</w:t>
      </w:r>
      <w:r w:rsidRPr="00C62F0F">
        <w:rPr>
          <w:szCs w:val="18"/>
        </w:rPr>
        <w:t xml:space="preserve"> noemen potentiële producenten en afnemers ook onzekerheid over regelgeving en subsidieschema’s, zoals de uitwerking van het Europese gas- en waterstofpakket in nationale wetgeving.</w:t>
      </w:r>
      <w:r w:rsidR="00FD5F04">
        <w:rPr>
          <w:szCs w:val="18"/>
        </w:rPr>
        <w:t xml:space="preserve"> Het zijn dergelijke randvoorwaarden </w:t>
      </w:r>
      <w:r w:rsidR="00A27B57">
        <w:rPr>
          <w:szCs w:val="18"/>
        </w:rPr>
        <w:t xml:space="preserve">die </w:t>
      </w:r>
      <w:r w:rsidR="00205DC2">
        <w:rPr>
          <w:szCs w:val="18"/>
        </w:rPr>
        <w:t xml:space="preserve">het succes bepalen van de </w:t>
      </w:r>
      <w:r w:rsidR="00FD5F04">
        <w:rPr>
          <w:szCs w:val="18"/>
        </w:rPr>
        <w:t xml:space="preserve">opschaling van de waterstofmarkt. </w:t>
      </w:r>
      <w:r w:rsidRPr="00C62F0F">
        <w:rPr>
          <w:szCs w:val="18"/>
        </w:rPr>
        <w:t xml:space="preserve"> </w:t>
      </w:r>
    </w:p>
    <w:p w:rsidR="00424355" w:rsidP="000C181E" w:rsidRDefault="00424355" w14:paraId="2DFA51A6" w14:textId="50FD1BA3">
      <w:pPr>
        <w:rPr>
          <w:szCs w:val="18"/>
        </w:rPr>
      </w:pPr>
    </w:p>
    <w:p w:rsidRPr="00C62F0F" w:rsidR="00424355" w:rsidP="000C181E" w:rsidRDefault="00424355" w14:paraId="191A1F33" w14:textId="7400802F">
      <w:pPr>
        <w:rPr>
          <w:szCs w:val="18"/>
        </w:rPr>
      </w:pPr>
      <w:r>
        <w:lastRenderedPageBreak/>
        <w:t xml:space="preserve">Uit de tweede editie van </w:t>
      </w:r>
      <w:r w:rsidR="00507AAE">
        <w:t>de</w:t>
      </w:r>
      <w:r>
        <w:t xml:space="preserve"> IEA Noordwest Europese Waterstof monitor die recent gepubliceerd is blijkt dat 95% van de waterstofprojecten in N</w:t>
      </w:r>
      <w:r w:rsidR="00FD5F04">
        <w:t>oordwest</w:t>
      </w:r>
      <w:r>
        <w:t>-Europa zich nog in een onzekere fase vinden. Vraagstimulering wordt cruciaal om projecten over de streep te kunnen halen.</w:t>
      </w:r>
      <w:r w:rsidR="00311E78">
        <w:t xml:space="preserve"> Vraagstimulering kan geschieden op verschillende manieren zoals matchmaking tussen bedrijven en overheden, maar ook middels initiatieven zoals H2Global. Op bestaande Nederlandse en Europese initiatieven kom ik verder in de brief </w:t>
      </w:r>
      <w:r w:rsidR="00036FD6">
        <w:t xml:space="preserve">op </w:t>
      </w:r>
      <w:r w:rsidR="00311E78">
        <w:t>terug.</w:t>
      </w:r>
      <w:r w:rsidR="008E7D5C">
        <w:t xml:space="preserve"> </w:t>
      </w:r>
      <w:r>
        <w:t>Er wordt ook een oproep gedaan om nog intensiever en collectief te gaan werken aan de ontwikkeling van de transport</w:t>
      </w:r>
      <w:r w:rsidR="00A27B57">
        <w:t>-</w:t>
      </w:r>
      <w:r>
        <w:t xml:space="preserve"> en opslaginfrastructuur. De lange </w:t>
      </w:r>
      <w:r w:rsidR="00507AAE">
        <w:t>doorlooptijden</w:t>
      </w:r>
      <w:r>
        <w:t xml:space="preserve"> van grote infrastructurele projecten maakt het noodzakelijk om deze</w:t>
      </w:r>
      <w:r w:rsidR="00205DC2">
        <w:t xml:space="preserve"> tijdig</w:t>
      </w:r>
      <w:r>
        <w:t xml:space="preserve"> te ontwikkelen voordat de markt volwassen is. Dit vergt een grotere rol van de overheid om aanlooprisico</w:t>
      </w:r>
      <w:r w:rsidR="00311E78">
        <w:t>’</w:t>
      </w:r>
      <w:r>
        <w:t>s</w:t>
      </w:r>
      <w:r w:rsidR="005224A4">
        <w:t xml:space="preserve"> </w:t>
      </w:r>
      <w:r w:rsidR="00311E78">
        <w:t>weg te nemen door investeringszekerheid te bieden</w:t>
      </w:r>
      <w:r>
        <w:t>.</w:t>
      </w:r>
      <w:r>
        <w:rPr>
          <w:rStyle w:val="Voetnootmarkering"/>
        </w:rPr>
        <w:footnoteReference w:id="6"/>
      </w:r>
    </w:p>
    <w:p w:rsidRPr="00C62F0F" w:rsidR="0053540A" w:rsidP="000C181E" w:rsidRDefault="0053540A" w14:paraId="27A3B6AF" w14:textId="77777777">
      <w:pPr>
        <w:rPr>
          <w:szCs w:val="18"/>
        </w:rPr>
      </w:pPr>
    </w:p>
    <w:p w:rsidR="00311E78" w:rsidP="000C181E" w:rsidRDefault="0053540A" w14:paraId="2B49CD47" w14:textId="0ED676F9">
      <w:pPr>
        <w:rPr>
          <w:szCs w:val="18"/>
        </w:rPr>
      </w:pPr>
      <w:r w:rsidRPr="00C62F0F">
        <w:rPr>
          <w:szCs w:val="18"/>
        </w:rPr>
        <w:t xml:space="preserve">De verwachting is dat 2024 en 2025 doorbraak jaren </w:t>
      </w:r>
      <w:r w:rsidR="00FD5F04">
        <w:rPr>
          <w:szCs w:val="18"/>
        </w:rPr>
        <w:t>kunnen</w:t>
      </w:r>
      <w:r w:rsidRPr="00C62F0F">
        <w:rPr>
          <w:szCs w:val="18"/>
        </w:rPr>
        <w:t xml:space="preserve"> zijn voor de mondiale waterstofmarkt, mits er voldoende duidelijkheid en ondersteuning vanuit de overheden komt. Veel projecten zijn dichtbij </w:t>
      </w:r>
      <w:r w:rsidR="00AB7723">
        <w:rPr>
          <w:szCs w:val="18"/>
        </w:rPr>
        <w:t>definitieve investeringsbeslissingen,</w:t>
      </w:r>
      <w:r w:rsidRPr="00C62F0F">
        <w:rPr>
          <w:szCs w:val="18"/>
        </w:rPr>
        <w:t xml:space="preserve"> maar wachten nog op subsidies en duidelijke kaders over verp</w:t>
      </w:r>
      <w:r w:rsidR="009E16E0">
        <w:rPr>
          <w:szCs w:val="18"/>
        </w:rPr>
        <w:t>l</w:t>
      </w:r>
      <w:r w:rsidRPr="00C62F0F">
        <w:rPr>
          <w:szCs w:val="18"/>
        </w:rPr>
        <w:t xml:space="preserve">ichtingen/regels. </w:t>
      </w:r>
      <w:r w:rsidR="00BC7028">
        <w:rPr>
          <w:szCs w:val="18"/>
        </w:rPr>
        <w:t>De implementatie van de EU verplichtingen voor hernieuwbaar waterstofgebruik in de industrie en transportsector zal bijdragen aan het cre</w:t>
      </w:r>
      <w:r w:rsidR="00A76F23">
        <w:rPr>
          <w:szCs w:val="18"/>
        </w:rPr>
        <w:t>ë</w:t>
      </w:r>
      <w:r w:rsidR="00BC7028">
        <w:rPr>
          <w:szCs w:val="18"/>
        </w:rPr>
        <w:t>ren van structurele vraag. De resultaten van de eerste tenders van H2Global, de European Hydrogen Bank en tenders in andere delen van de wereld</w:t>
      </w:r>
      <w:r w:rsidR="00507AAE">
        <w:rPr>
          <w:szCs w:val="18"/>
        </w:rPr>
        <w:t xml:space="preserve"> </w:t>
      </w:r>
      <w:r w:rsidR="00BC7028">
        <w:rPr>
          <w:szCs w:val="18"/>
        </w:rPr>
        <w:t>zullen zorgen voor de eerste prijssignalen v</w:t>
      </w:r>
      <w:r w:rsidR="00FD5F04">
        <w:rPr>
          <w:szCs w:val="18"/>
        </w:rPr>
        <w:t>oor en vanuit</w:t>
      </w:r>
      <w:r w:rsidR="00BC7028">
        <w:rPr>
          <w:szCs w:val="18"/>
        </w:rPr>
        <w:t xml:space="preserve"> de markt.</w:t>
      </w:r>
    </w:p>
    <w:p w:rsidRPr="00C62F0F" w:rsidR="0053540A" w:rsidP="000C181E" w:rsidRDefault="00BC7028" w14:paraId="6AE47412" w14:textId="1DD5B9E8">
      <w:pPr>
        <w:rPr>
          <w:szCs w:val="18"/>
        </w:rPr>
      </w:pPr>
      <w:r>
        <w:rPr>
          <w:szCs w:val="18"/>
        </w:rPr>
        <w:t xml:space="preserve"> </w:t>
      </w:r>
    </w:p>
    <w:p w:rsidRPr="00C62F0F" w:rsidR="0053540A" w:rsidP="000C181E" w:rsidRDefault="0053540A" w14:paraId="5945B9AB" w14:textId="77777777">
      <w:pPr>
        <w:rPr>
          <w:i/>
          <w:iCs/>
          <w:szCs w:val="18"/>
        </w:rPr>
      </w:pPr>
      <w:r w:rsidRPr="00C62F0F">
        <w:rPr>
          <w:i/>
          <w:iCs/>
          <w:szCs w:val="18"/>
        </w:rPr>
        <w:t>Onderzoek noodzaak en rol overheid bij opschaling importketens voor waterstof</w:t>
      </w:r>
    </w:p>
    <w:p w:rsidRPr="00C62F0F" w:rsidR="0053540A" w:rsidP="0053540A" w:rsidRDefault="0053540A" w14:paraId="62F0BAF2" w14:textId="77777777">
      <w:pPr>
        <w:spacing w:line="240" w:lineRule="auto"/>
        <w:rPr>
          <w:i/>
          <w:iCs/>
          <w:szCs w:val="18"/>
        </w:rPr>
      </w:pPr>
      <w:r w:rsidRPr="00C62F0F">
        <w:rPr>
          <w:i/>
          <w:iCs/>
          <w:szCs w:val="18"/>
        </w:rPr>
        <w:t xml:space="preserve"> </w:t>
      </w:r>
    </w:p>
    <w:p w:rsidRPr="00C62F0F" w:rsidR="0053540A" w:rsidP="000C181E" w:rsidRDefault="0053540A" w14:paraId="1A04F6DA" w14:textId="7A82E6C9">
      <w:pPr>
        <w:rPr>
          <w:szCs w:val="18"/>
        </w:rPr>
      </w:pPr>
      <w:r w:rsidRPr="00C62F0F">
        <w:rPr>
          <w:szCs w:val="18"/>
        </w:rPr>
        <w:t xml:space="preserve">In het (bijgevoegde) rapport “Onderzoek noodzaak en rol overheid bij opschaling importketens voor waterstof” heeft onderzoeksbureau Guidehouse door middel van stakeholder-interviews </w:t>
      </w:r>
      <w:r w:rsidR="00FB0F8F">
        <w:rPr>
          <w:szCs w:val="18"/>
        </w:rPr>
        <w:t xml:space="preserve">met </w:t>
      </w:r>
      <w:r w:rsidRPr="00C62F0F">
        <w:rPr>
          <w:szCs w:val="18"/>
        </w:rPr>
        <w:t>betrokken marktpartije</w:t>
      </w:r>
      <w:r w:rsidR="00FC03B6">
        <w:rPr>
          <w:szCs w:val="18"/>
        </w:rPr>
        <w:t>n</w:t>
      </w:r>
      <w:r w:rsidRPr="00C62F0F">
        <w:rPr>
          <w:szCs w:val="18"/>
        </w:rPr>
        <w:t xml:space="preserve"> geïnventariseerd welke barrières de opschaling van de importketen vertragen en welke beleidsinstrumenten deze kunnen verhelpen. In het rapport worden verschillende barrières gepresenteerd, zoals onzekerheid over prijsontwikkeling en afname, onduidelijkheid over keuzes van de industrie</w:t>
      </w:r>
      <w:r w:rsidR="00281D74">
        <w:rPr>
          <w:szCs w:val="18"/>
        </w:rPr>
        <w:t>.</w:t>
      </w:r>
      <w:r w:rsidRPr="00C62F0F">
        <w:rPr>
          <w:szCs w:val="18"/>
        </w:rPr>
        <w:t xml:space="preserve"> </w:t>
      </w:r>
      <w:r w:rsidR="00281D74">
        <w:rPr>
          <w:szCs w:val="18"/>
        </w:rPr>
        <w:t xml:space="preserve">Daarnaast is </w:t>
      </w:r>
      <w:r w:rsidR="00AA5251">
        <w:rPr>
          <w:szCs w:val="18"/>
        </w:rPr>
        <w:t xml:space="preserve">er </w:t>
      </w:r>
      <w:r w:rsidR="00281D74">
        <w:rPr>
          <w:szCs w:val="18"/>
        </w:rPr>
        <w:t xml:space="preserve">afstemming met </w:t>
      </w:r>
      <w:r w:rsidRPr="00C62F0F">
        <w:rPr>
          <w:szCs w:val="18"/>
        </w:rPr>
        <w:t xml:space="preserve">buurlanden </w:t>
      </w:r>
      <w:r w:rsidR="00281D74">
        <w:rPr>
          <w:szCs w:val="18"/>
        </w:rPr>
        <w:t xml:space="preserve">over </w:t>
      </w:r>
      <w:r w:rsidRPr="00C62F0F">
        <w:rPr>
          <w:szCs w:val="18"/>
        </w:rPr>
        <w:t xml:space="preserve">uitvoering van plannen voor met name infrastructuur, onzekerheid over uitwerking van wetgeving en instrumenten die in deze marktfase nog niet goed aansluiten op projecten. </w:t>
      </w:r>
    </w:p>
    <w:p w:rsidRPr="00C62F0F" w:rsidR="0053540A" w:rsidP="000C181E" w:rsidRDefault="0053540A" w14:paraId="4B7EBA93" w14:textId="77777777">
      <w:pPr>
        <w:rPr>
          <w:szCs w:val="18"/>
        </w:rPr>
      </w:pPr>
    </w:p>
    <w:p w:rsidRPr="00C62F0F" w:rsidR="0053540A" w:rsidP="000C181E" w:rsidRDefault="0053540A" w14:paraId="57C867C7" w14:textId="5DDB39DA">
      <w:pPr>
        <w:rPr>
          <w:szCs w:val="18"/>
        </w:rPr>
      </w:pPr>
      <w:r w:rsidRPr="00C62F0F">
        <w:rPr>
          <w:szCs w:val="18"/>
        </w:rPr>
        <w:t xml:space="preserve">Het rapport </w:t>
      </w:r>
      <w:r w:rsidR="00205DC2">
        <w:rPr>
          <w:szCs w:val="18"/>
        </w:rPr>
        <w:t xml:space="preserve">beschrijft de </w:t>
      </w:r>
      <w:r w:rsidRPr="00C62F0F">
        <w:rPr>
          <w:szCs w:val="18"/>
        </w:rPr>
        <w:t>randvoorwaarden in Nederland die grotendeels ook van invloed zijn op de binnenlandse marktontwikkeling. Het rapport geeft</w:t>
      </w:r>
      <w:r w:rsidR="00FC03B6">
        <w:rPr>
          <w:szCs w:val="18"/>
        </w:rPr>
        <w:t xml:space="preserve"> daarnaast</w:t>
      </w:r>
      <w:r w:rsidRPr="00C62F0F">
        <w:rPr>
          <w:szCs w:val="18"/>
        </w:rPr>
        <w:t xml:space="preserve"> een positieve beoordeling van de overheidsinzet op energiediplomatie en de deelname aan H2Global. Stakeholders zien graag dat deze inzet wordt gecontinueerd. Daarnaast zijn er de volgende aanbevelingen voor overheidsinterventie:</w:t>
      </w:r>
    </w:p>
    <w:p w:rsidRPr="00C62F0F" w:rsidR="0053540A" w:rsidP="000C181E" w:rsidRDefault="0053540A" w14:paraId="3E4216FC" w14:textId="77777777">
      <w:pPr>
        <w:pStyle w:val="Lijstalinea"/>
        <w:numPr>
          <w:ilvl w:val="0"/>
          <w:numId w:val="16"/>
        </w:numPr>
        <w:rPr>
          <w:szCs w:val="18"/>
        </w:rPr>
      </w:pPr>
      <w:r w:rsidRPr="00C62F0F">
        <w:rPr>
          <w:szCs w:val="18"/>
        </w:rPr>
        <w:t xml:space="preserve">Focus additionele financiële ondersteuning voor waterstofimport op de vraagzijde – een sterke waterstofvraag kan de gevraagde zekerheid aan investeerders voor productie geven. </w:t>
      </w:r>
    </w:p>
    <w:p w:rsidRPr="00C62F0F" w:rsidR="0053540A" w:rsidP="000C181E" w:rsidRDefault="0053540A" w14:paraId="08788549" w14:textId="77777777">
      <w:pPr>
        <w:pStyle w:val="Lijstalinea"/>
        <w:numPr>
          <w:ilvl w:val="0"/>
          <w:numId w:val="16"/>
        </w:numPr>
        <w:rPr>
          <w:szCs w:val="18"/>
        </w:rPr>
      </w:pPr>
      <w:r w:rsidRPr="00C62F0F">
        <w:rPr>
          <w:szCs w:val="18"/>
        </w:rPr>
        <w:t>Houd beleidsinstrumenten pragmatisch, simpel en flexibel.</w:t>
      </w:r>
    </w:p>
    <w:p w:rsidRPr="00C62F0F" w:rsidR="0053540A" w:rsidP="000C181E" w:rsidRDefault="0053540A" w14:paraId="129DFCCA" w14:textId="77777777">
      <w:pPr>
        <w:pStyle w:val="Lijstalinea"/>
        <w:numPr>
          <w:ilvl w:val="0"/>
          <w:numId w:val="16"/>
        </w:numPr>
        <w:rPr>
          <w:szCs w:val="18"/>
        </w:rPr>
      </w:pPr>
      <w:r w:rsidRPr="00C62F0F">
        <w:rPr>
          <w:szCs w:val="18"/>
        </w:rPr>
        <w:lastRenderedPageBreak/>
        <w:t>Stimuleer waar mogelijk het directe gebruik van specifieke waterstofdragers, zodat conversieverliezen kunnen worden beperkt.</w:t>
      </w:r>
    </w:p>
    <w:p w:rsidRPr="00C62F0F" w:rsidR="0053540A" w:rsidP="000C181E" w:rsidRDefault="0053540A" w14:paraId="51F79EDC" w14:textId="77777777">
      <w:pPr>
        <w:pStyle w:val="Lijstalinea"/>
        <w:numPr>
          <w:ilvl w:val="0"/>
          <w:numId w:val="16"/>
        </w:numPr>
        <w:rPr>
          <w:szCs w:val="18"/>
        </w:rPr>
      </w:pPr>
      <w:r w:rsidRPr="00C62F0F">
        <w:rPr>
          <w:szCs w:val="18"/>
        </w:rPr>
        <w:t xml:space="preserve">Stem waterstofimportbeleid af op ander binnenlands beleid en met importbeleid van buurlanden, met name met oog op infrastructurele keuzes voor doorvoer. </w:t>
      </w:r>
    </w:p>
    <w:p w:rsidRPr="00C62F0F" w:rsidR="0053540A" w:rsidP="000C181E" w:rsidRDefault="0053540A" w14:paraId="239630B8" w14:textId="7B608600">
      <w:pPr>
        <w:rPr>
          <w:szCs w:val="18"/>
        </w:rPr>
      </w:pPr>
      <w:r w:rsidRPr="00C62F0F">
        <w:rPr>
          <w:szCs w:val="18"/>
        </w:rPr>
        <w:t xml:space="preserve">Als mogelijke beleidsinstrumenten wordt gewezen op een versterkte inzet op H2Global, het introduceren van Carbon Contracts for Difference, het opnemen van import in visies voor energie en industrie, het implementeren van internationale standaarden voor certificering en het verder uitwerken van de interactie tussen binnenlandse productie en import. </w:t>
      </w:r>
    </w:p>
    <w:p w:rsidRPr="00C62F0F" w:rsidR="0053540A" w:rsidP="000C181E" w:rsidRDefault="0053540A" w14:paraId="53D7D1AB" w14:textId="77777777">
      <w:pPr>
        <w:rPr>
          <w:szCs w:val="18"/>
        </w:rPr>
      </w:pPr>
    </w:p>
    <w:p w:rsidRPr="00C62F0F" w:rsidR="0053540A" w:rsidP="000C181E" w:rsidRDefault="0053540A" w14:paraId="19936A42" w14:textId="77777777">
      <w:pPr>
        <w:rPr>
          <w:szCs w:val="18"/>
        </w:rPr>
      </w:pPr>
      <w:r w:rsidRPr="00C62F0F">
        <w:rPr>
          <w:szCs w:val="18"/>
          <w:u w:val="single"/>
        </w:rPr>
        <w:t>Appreciatie</w:t>
      </w:r>
    </w:p>
    <w:p w:rsidRPr="00C62F0F" w:rsidR="0053540A" w:rsidP="000C181E" w:rsidRDefault="0053540A" w14:paraId="47603759" w14:textId="2918A8D2">
      <w:pPr>
        <w:rPr>
          <w:szCs w:val="18"/>
        </w:rPr>
      </w:pPr>
      <w:r w:rsidRPr="00C62F0F">
        <w:rPr>
          <w:szCs w:val="18"/>
        </w:rPr>
        <w:t xml:space="preserve">Het kabinet ziet in het rapport een bevestiging van </w:t>
      </w:r>
      <w:r w:rsidR="00BC7028">
        <w:rPr>
          <w:szCs w:val="18"/>
        </w:rPr>
        <w:t>het uitgangspunt</w:t>
      </w:r>
      <w:r w:rsidRPr="00C62F0F">
        <w:rPr>
          <w:szCs w:val="18"/>
        </w:rPr>
        <w:t xml:space="preserve"> dat </w:t>
      </w:r>
      <w:r w:rsidR="00BC7028">
        <w:rPr>
          <w:szCs w:val="18"/>
        </w:rPr>
        <w:t xml:space="preserve">de </w:t>
      </w:r>
      <w:r w:rsidRPr="00C62F0F">
        <w:rPr>
          <w:szCs w:val="18"/>
        </w:rPr>
        <w:t xml:space="preserve">overheid een </w:t>
      </w:r>
      <w:r w:rsidR="00C73BD0">
        <w:rPr>
          <w:szCs w:val="18"/>
        </w:rPr>
        <w:t xml:space="preserve">duidelijk </w:t>
      </w:r>
      <w:r w:rsidRPr="00C62F0F">
        <w:rPr>
          <w:szCs w:val="18"/>
        </w:rPr>
        <w:t xml:space="preserve">aanjagende rol moet </w:t>
      </w:r>
      <w:r w:rsidR="00BC7028">
        <w:rPr>
          <w:szCs w:val="18"/>
        </w:rPr>
        <w:t>spelen</w:t>
      </w:r>
      <w:r w:rsidRPr="00C62F0F" w:rsidR="00BC7028">
        <w:rPr>
          <w:szCs w:val="18"/>
        </w:rPr>
        <w:t xml:space="preserve"> </w:t>
      </w:r>
      <w:r w:rsidRPr="00C62F0F">
        <w:rPr>
          <w:szCs w:val="18"/>
        </w:rPr>
        <w:t xml:space="preserve">in deze fase van marktontwikkeling. De genoemde barrières zijn bekend en ook onlosmakelijk verbonden met het creëren van een grotendeels nieuwe keten in een dynamische internationale omgeving (c.q. het gevolg van marktfalen). De uitdaging blijft om een balans te vinden in enerzijds het bieden van zekerheid over de randvoorwaarden en anderzijds flexibiliteit te behouden voor nieuwe ontwikkelingen. Het kabinet is tevreden met de beoordeling van Guidehouse over de inzet op energiediplomatie en zal deze inzet ook continueren maar kijkt ook, met haar buurlanden, naar een breder instrumentarium om de markt te ontwikkelen. </w:t>
      </w:r>
    </w:p>
    <w:p w:rsidR="003A6F2E" w:rsidP="000C181E" w:rsidRDefault="003A6F2E" w14:paraId="08EEEA26" w14:textId="77777777">
      <w:pPr>
        <w:rPr>
          <w:szCs w:val="18"/>
        </w:rPr>
      </w:pPr>
    </w:p>
    <w:p w:rsidR="0053540A" w:rsidP="000C181E" w:rsidRDefault="0053540A" w14:paraId="745E3753" w14:textId="70FC294A">
      <w:pPr>
        <w:rPr>
          <w:szCs w:val="18"/>
        </w:rPr>
      </w:pPr>
      <w:r w:rsidRPr="00C62F0F">
        <w:rPr>
          <w:szCs w:val="18"/>
        </w:rPr>
        <w:t xml:space="preserve">Het rapport van Guidehouse gaat ook nader in op waterstofdragers en de rol van </w:t>
      </w:r>
      <w:r w:rsidR="00C73BD0">
        <w:rPr>
          <w:szCs w:val="18"/>
        </w:rPr>
        <w:t xml:space="preserve">de </w:t>
      </w:r>
      <w:r w:rsidRPr="00C62F0F">
        <w:rPr>
          <w:szCs w:val="18"/>
        </w:rPr>
        <w:t>industrie.</w:t>
      </w:r>
      <w:r w:rsidR="005A656B">
        <w:rPr>
          <w:szCs w:val="18"/>
        </w:rPr>
        <w:t xml:space="preserve"> </w:t>
      </w:r>
      <w:r w:rsidRPr="005A656B" w:rsidR="005A656B">
        <w:rPr>
          <w:szCs w:val="18"/>
        </w:rPr>
        <w:t>De aanbevelingen van Guidehouse over waterstofdragers worden meegenomen in de aangekondigde visie op waterstofdragers.</w:t>
      </w:r>
      <w:r w:rsidR="005A656B">
        <w:rPr>
          <w:rStyle w:val="Voetnootmarkering"/>
          <w:szCs w:val="18"/>
        </w:rPr>
        <w:footnoteReference w:id="7"/>
      </w:r>
      <w:r w:rsidRPr="005A656B" w:rsidR="005A656B">
        <w:rPr>
          <w:szCs w:val="18"/>
        </w:rPr>
        <w:t xml:space="preserve"> Die visie gaat in op de invoer, op- en overslag, conversie en doorvoer van vloeibare waterstof en waterstofdragers in Nederland</w:t>
      </w:r>
      <w:r w:rsidR="008E7D5C">
        <w:rPr>
          <w:szCs w:val="18"/>
        </w:rPr>
        <w:t>, punten die relevant zullen zijn voor de energiediplomatie</w:t>
      </w:r>
      <w:r w:rsidRPr="005A656B" w:rsidR="005A656B">
        <w:rPr>
          <w:szCs w:val="18"/>
        </w:rPr>
        <w:t>. In die visie zullen – aanvullend op leveringszekerheid en energie-efficiëntie – ook de andere publieke belangen</w:t>
      </w:r>
      <w:r w:rsidR="008E7D5C">
        <w:rPr>
          <w:szCs w:val="18"/>
        </w:rPr>
        <w:t>, waaronder de omgevingsveiligheid,</w:t>
      </w:r>
      <w:r w:rsidRPr="005A656B" w:rsidR="005A656B">
        <w:rPr>
          <w:szCs w:val="18"/>
        </w:rPr>
        <w:t xml:space="preserve"> uit het Nationaal Plan Energiesysteem worden meegewogen. Op basis daarvan zal het kabinet aangeven in welke mate, op welke wijze en onder welke voorwaarden het kabinet </w:t>
      </w:r>
      <w:r w:rsidR="008E7D5C">
        <w:rPr>
          <w:szCs w:val="18"/>
        </w:rPr>
        <w:t xml:space="preserve">(specifieke) </w:t>
      </w:r>
      <w:r w:rsidRPr="005A656B" w:rsidR="005A656B">
        <w:rPr>
          <w:szCs w:val="18"/>
        </w:rPr>
        <w:t>fysieke stromen van waterstofdragers in Nederland wil faciliteren en eventueel stimuleren.</w:t>
      </w:r>
      <w:r w:rsidR="008E7D5C">
        <w:rPr>
          <w:szCs w:val="18"/>
        </w:rPr>
        <w:t xml:space="preserve"> </w:t>
      </w:r>
      <w:r w:rsidRPr="008E7D5C" w:rsidR="008E7D5C">
        <w:rPr>
          <w:szCs w:val="18"/>
        </w:rPr>
        <w:t xml:space="preserve">Voorafgaand daaraan kan uw Kamer binnenkort een brief van de </w:t>
      </w:r>
      <w:r w:rsidR="00AE3FA6">
        <w:rPr>
          <w:szCs w:val="18"/>
        </w:rPr>
        <w:t>s</w:t>
      </w:r>
      <w:r w:rsidRPr="008E7D5C" w:rsidR="008E7D5C">
        <w:rPr>
          <w:szCs w:val="18"/>
        </w:rPr>
        <w:t>taatssecretaris van Infrastructuur en Waterstaat en mij tegemoet zien waarin, naar aanleiding van de daarbij mee te zenden studie “Maatschappelijke Kosten en Baten Vergelijking Waterstofdragers”, separaat wordt ingegaan op de route naar een kabinetsvisie waterstofdragers.</w:t>
      </w:r>
      <w:r w:rsidR="008E7D5C">
        <w:t xml:space="preserve"> </w:t>
      </w:r>
      <w:r w:rsidRPr="00C62F0F">
        <w:rPr>
          <w:szCs w:val="18"/>
        </w:rPr>
        <w:t>In de Routekaart Verduurzaming Industrie, onderdeel van het nationale programma verduurzaming industrie (NPVI), wordt nader uitgewerkt welke rol import kan spelen.</w:t>
      </w:r>
      <w:r w:rsidRPr="00C62F0F">
        <w:rPr>
          <w:rStyle w:val="Voetnootmarkering"/>
          <w:szCs w:val="18"/>
        </w:rPr>
        <w:footnoteReference w:id="8"/>
      </w:r>
      <w:r w:rsidRPr="00C62F0F">
        <w:rPr>
          <w:szCs w:val="18"/>
        </w:rPr>
        <w:t xml:space="preserve"> Op de aanbeveling met betrekking tot</w:t>
      </w:r>
      <w:r w:rsidR="00FC03B6">
        <w:rPr>
          <w:szCs w:val="18"/>
        </w:rPr>
        <w:t xml:space="preserve"> het</w:t>
      </w:r>
      <w:r w:rsidRPr="00C62F0F">
        <w:rPr>
          <w:szCs w:val="18"/>
        </w:rPr>
        <w:t xml:space="preserve"> financieel instrumentarium ga ik hieronder in.</w:t>
      </w:r>
    </w:p>
    <w:p w:rsidRPr="00FC03B6" w:rsidR="0053540A" w:rsidP="000C181E" w:rsidRDefault="00FC03B6" w14:paraId="5D7D5BC5" w14:textId="0ADC9480">
      <w:pPr>
        <w:rPr>
          <w:szCs w:val="18"/>
        </w:rPr>
      </w:pPr>
      <w:r w:rsidRPr="00C62F0F">
        <w:rPr>
          <w:szCs w:val="18"/>
        </w:rPr>
        <w:t xml:space="preserve">Nederland </w:t>
      </w:r>
      <w:r>
        <w:rPr>
          <w:szCs w:val="18"/>
        </w:rPr>
        <w:t xml:space="preserve">werkt </w:t>
      </w:r>
      <w:r w:rsidRPr="00C62F0F">
        <w:rPr>
          <w:szCs w:val="18"/>
        </w:rPr>
        <w:t>met een brede groep</w:t>
      </w:r>
      <w:r w:rsidR="004775CF">
        <w:rPr>
          <w:szCs w:val="18"/>
        </w:rPr>
        <w:t xml:space="preserve"> </w:t>
      </w:r>
      <w:r w:rsidRPr="00C62F0F">
        <w:rPr>
          <w:szCs w:val="18"/>
        </w:rPr>
        <w:t>strategische partners in bilateraal en multilateraal verband</w:t>
      </w:r>
      <w:r>
        <w:rPr>
          <w:szCs w:val="18"/>
        </w:rPr>
        <w:t xml:space="preserve"> om diversificatie van </w:t>
      </w:r>
      <w:r w:rsidR="00AA5251">
        <w:rPr>
          <w:szCs w:val="18"/>
        </w:rPr>
        <w:t>import</w:t>
      </w:r>
      <w:r>
        <w:rPr>
          <w:szCs w:val="18"/>
        </w:rPr>
        <w:t xml:space="preserve"> te realiseren</w:t>
      </w:r>
      <w:r w:rsidRPr="00C62F0F">
        <w:rPr>
          <w:szCs w:val="18"/>
        </w:rPr>
        <w:t xml:space="preserve">. Dit doet de </w:t>
      </w:r>
      <w:r w:rsidRPr="00C62F0F">
        <w:rPr>
          <w:szCs w:val="18"/>
        </w:rPr>
        <w:lastRenderedPageBreak/>
        <w:t xml:space="preserve">overheid samen met de staatsdeelnemingen (Havenbedrijf Rotterdam, Gasunie en Invest International) die de economische en technische expertise hebben om de import-export ketens te kunnen ontwikkelen. De </w:t>
      </w:r>
      <w:r w:rsidR="00205DC2">
        <w:rPr>
          <w:szCs w:val="18"/>
        </w:rPr>
        <w:t xml:space="preserve">genoemde </w:t>
      </w:r>
      <w:r w:rsidRPr="00C62F0F">
        <w:rPr>
          <w:szCs w:val="18"/>
        </w:rPr>
        <w:t>staatsdeelnemingen doen mee aan veel van de waterstofmissies om kennis</w:t>
      </w:r>
      <w:r w:rsidR="00254AEE">
        <w:rPr>
          <w:szCs w:val="18"/>
        </w:rPr>
        <w:t xml:space="preserve"> uit</w:t>
      </w:r>
      <w:r w:rsidRPr="00C62F0F">
        <w:rPr>
          <w:szCs w:val="18"/>
        </w:rPr>
        <w:t xml:space="preserve"> te wisselen en</w:t>
      </w:r>
      <w:r w:rsidR="00E71445">
        <w:rPr>
          <w:szCs w:val="18"/>
        </w:rPr>
        <w:t xml:space="preserve"> een</w:t>
      </w:r>
      <w:r w:rsidRPr="00C62F0F">
        <w:rPr>
          <w:szCs w:val="18"/>
        </w:rPr>
        <w:t xml:space="preserve"> contacten</w:t>
      </w:r>
      <w:r w:rsidR="00E71445">
        <w:rPr>
          <w:szCs w:val="18"/>
        </w:rPr>
        <w:t>netwerk</w:t>
      </w:r>
      <w:r w:rsidRPr="00C62F0F">
        <w:rPr>
          <w:szCs w:val="18"/>
        </w:rPr>
        <w:t xml:space="preserve"> </w:t>
      </w:r>
      <w:r w:rsidR="00AA5251">
        <w:rPr>
          <w:szCs w:val="18"/>
        </w:rPr>
        <w:t>op te bouwen</w:t>
      </w:r>
      <w:r w:rsidRPr="00C62F0F">
        <w:rPr>
          <w:szCs w:val="18"/>
        </w:rPr>
        <w:t>.</w:t>
      </w:r>
    </w:p>
    <w:p w:rsidR="00550757" w:rsidP="00AE3FA6" w:rsidRDefault="00550757" w14:paraId="0B931084" w14:textId="77777777">
      <w:pPr>
        <w:rPr>
          <w:i/>
          <w:iCs/>
          <w:szCs w:val="18"/>
        </w:rPr>
      </w:pPr>
    </w:p>
    <w:p w:rsidRPr="00C62F0F" w:rsidR="0053540A" w:rsidP="000C181E" w:rsidRDefault="0053540A" w14:paraId="2D366EB5" w14:textId="77777777">
      <w:pPr>
        <w:rPr>
          <w:i/>
          <w:iCs/>
          <w:szCs w:val="18"/>
        </w:rPr>
      </w:pPr>
      <w:r w:rsidRPr="00C62F0F">
        <w:rPr>
          <w:i/>
          <w:iCs/>
          <w:szCs w:val="18"/>
        </w:rPr>
        <w:t xml:space="preserve">Financieel instrumentarium voor import van waterstof </w:t>
      </w:r>
    </w:p>
    <w:p w:rsidRPr="00C62F0F" w:rsidR="0053540A" w:rsidP="00AE3FA6" w:rsidRDefault="0053540A" w14:paraId="23ED3DA5" w14:textId="77777777">
      <w:pPr>
        <w:rPr>
          <w:szCs w:val="18"/>
        </w:rPr>
      </w:pPr>
      <w:r w:rsidRPr="00C62F0F">
        <w:rPr>
          <w:szCs w:val="18"/>
        </w:rPr>
        <w:t xml:space="preserve">Naast de opschaling van het nationale aanbod van betaalbare hernieuwbare waterstof, zijn diverse instrumenten in ontwikkeling om de import van waterstof(dragers) op gang te brengen. </w:t>
      </w:r>
    </w:p>
    <w:p w:rsidRPr="00C62F0F" w:rsidR="0053540A" w:rsidP="00AE3FA6" w:rsidRDefault="0053540A" w14:paraId="5F62A46D" w14:textId="77777777">
      <w:pPr>
        <w:rPr>
          <w:szCs w:val="18"/>
        </w:rPr>
      </w:pPr>
    </w:p>
    <w:p w:rsidRPr="00C62F0F" w:rsidR="0053540A" w:rsidP="000C181E" w:rsidRDefault="0053540A" w14:paraId="4BB3A714" w14:textId="664AE05B">
      <w:pPr>
        <w:rPr>
          <w:szCs w:val="18"/>
        </w:rPr>
      </w:pPr>
      <w:r w:rsidRPr="00C62F0F">
        <w:rPr>
          <w:szCs w:val="18"/>
        </w:rPr>
        <w:t>Uit het Klimaatfonds zet ik € 300 miljoen in om via het H2-Global mechanisme het aanbod van hernieuwbare waterstof geproduceerd in andere EU-landen en landen</w:t>
      </w:r>
      <w:r w:rsidR="00507AAE">
        <w:rPr>
          <w:szCs w:val="18"/>
        </w:rPr>
        <w:t xml:space="preserve"> buiten de EU</w:t>
      </w:r>
      <w:r w:rsidRPr="00C62F0F">
        <w:rPr>
          <w:szCs w:val="18"/>
        </w:rPr>
        <w:t xml:space="preserve"> voor Nederlandse eindafnemers te vergroten en Nederland te positioneren als importhub voor waterstofgebruik in Noordwest-Europa. Samen met Duitsland heeft het kabinet in de afgelopen periode de opzet van een gezamenlijke tender onder H2 Global uitgewerkt. Die opzet wordt momenteel getoetst aan het Europese staatssteunkader.</w:t>
      </w:r>
    </w:p>
    <w:p w:rsidRPr="00C62F0F" w:rsidR="0053540A" w:rsidP="000C181E" w:rsidRDefault="0053540A" w14:paraId="461D96E9" w14:textId="77777777">
      <w:pPr>
        <w:rPr>
          <w:szCs w:val="18"/>
        </w:rPr>
      </w:pPr>
    </w:p>
    <w:p w:rsidRPr="00C62F0F" w:rsidR="0053540A" w:rsidP="000C181E" w:rsidRDefault="0053540A" w14:paraId="26098B06" w14:textId="5BDE6AA7">
      <w:pPr>
        <w:shd w:val="clear" w:color="auto" w:fill="FFFFFF" w:themeFill="background1"/>
        <w:ind w:left="-20" w:right="-20"/>
        <w:rPr>
          <w:szCs w:val="18"/>
        </w:rPr>
      </w:pPr>
      <w:r w:rsidRPr="00C62F0F">
        <w:rPr>
          <w:szCs w:val="18"/>
        </w:rPr>
        <w:t xml:space="preserve">Om voldoende impact op de ontwikkeling van productiecapaciteit in het buitenland te hebben, heeft het kabinet met Duitsland afgesproken om de Nederlandse en Duitse middelen (in totaal € 600 miljoen, waarbij elk land de helft inlegt) samen te brengen om één of meer aankoopcontracten voor de import van hernieuwbare waterstof te veilen. </w:t>
      </w:r>
      <w:r w:rsidR="00205DC2">
        <w:rPr>
          <w:szCs w:val="18"/>
        </w:rPr>
        <w:t xml:space="preserve">Door dit volume van middelen te combineren kan een competitief biedingsproces ingericht worden. Met deze gecombineerde tender maken Nederland en Duitsland </w:t>
      </w:r>
      <w:r w:rsidR="00C73BD0">
        <w:rPr>
          <w:szCs w:val="18"/>
        </w:rPr>
        <w:t xml:space="preserve">bovendien </w:t>
      </w:r>
      <w:r w:rsidR="00205DC2">
        <w:rPr>
          <w:szCs w:val="18"/>
        </w:rPr>
        <w:t xml:space="preserve">hun positie als Noordwest-Europese waterstofhub sterker en kunnen krachten gebundeld worden om tijdige infrastructuuraanleg en waterstoftransport mogelijk te maken. </w:t>
      </w:r>
      <w:r w:rsidRPr="00C62F0F">
        <w:rPr>
          <w:szCs w:val="18"/>
        </w:rPr>
        <w:t xml:space="preserve">Het voornemen is de tender in 2024 te lanceren en de eerste volumes in </w:t>
      </w:r>
      <w:r w:rsidRPr="00C73BD0">
        <w:rPr>
          <w:szCs w:val="18"/>
        </w:rPr>
        <w:t>2027</w:t>
      </w:r>
      <w:r w:rsidRPr="00C62F0F">
        <w:rPr>
          <w:szCs w:val="18"/>
        </w:rPr>
        <w:t xml:space="preserve"> aan te laten landen.</w:t>
      </w:r>
    </w:p>
    <w:p w:rsidRPr="00C62F0F" w:rsidR="0053540A" w:rsidP="000C181E" w:rsidRDefault="0053540A" w14:paraId="57272F5C" w14:textId="77777777">
      <w:pPr>
        <w:shd w:val="clear" w:color="auto" w:fill="FFFFFF" w:themeFill="background1"/>
        <w:ind w:left="-20" w:right="-20"/>
        <w:rPr>
          <w:rFonts w:eastAsia="Verdana" w:cs="Verdana"/>
          <w:szCs w:val="18"/>
        </w:rPr>
      </w:pPr>
    </w:p>
    <w:p w:rsidR="001C772F" w:rsidP="00AE3FA6" w:rsidRDefault="0053540A" w14:paraId="686A0593" w14:textId="28D798E3">
      <w:pPr>
        <w:shd w:val="clear" w:color="auto" w:fill="FFFFFF" w:themeFill="background1"/>
        <w:ind w:left="-20" w:right="-20"/>
        <w:rPr>
          <w:szCs w:val="18"/>
        </w:rPr>
      </w:pPr>
      <w:r w:rsidRPr="00C62F0F">
        <w:rPr>
          <w:szCs w:val="18"/>
        </w:rPr>
        <w:t xml:space="preserve">Een belangrijk Europees initiatief om de interne Europese waterstofmarkt te ontwikkelen zijn subsidieveilingen die onder de Europese waterstofbank plaatsvinden. Dit jaar worden subsidies voor een totaalbedrag van € 800 mln. </w:t>
      </w:r>
      <w:r w:rsidR="00CF247B">
        <w:rPr>
          <w:szCs w:val="18"/>
        </w:rPr>
        <w:t>u</w:t>
      </w:r>
      <w:r w:rsidR="00A2107F">
        <w:rPr>
          <w:szCs w:val="18"/>
        </w:rPr>
        <w:t xml:space="preserve">it het innovatiefonds </w:t>
      </w:r>
      <w:r w:rsidRPr="00C62F0F">
        <w:rPr>
          <w:szCs w:val="18"/>
        </w:rPr>
        <w:t>geveild waarvan de uitkomsten eind 2024 worden verwacht. De Europese Commissie heeft reeds bekendgemaakt dat er 132 biedingen uit 17</w:t>
      </w:r>
      <w:r w:rsidR="00036FD6">
        <w:rPr>
          <w:szCs w:val="18"/>
        </w:rPr>
        <w:t> </w:t>
      </w:r>
      <w:r w:rsidRPr="00C62F0F">
        <w:rPr>
          <w:szCs w:val="18"/>
        </w:rPr>
        <w:t>lidstaten zijn ontvangen, waaruit nu een selectie van te subsidiëren projecte</w:t>
      </w:r>
      <w:r w:rsidR="00FC03B6">
        <w:rPr>
          <w:szCs w:val="18"/>
        </w:rPr>
        <w:t>n</w:t>
      </w:r>
      <w:r w:rsidRPr="00C62F0F">
        <w:rPr>
          <w:szCs w:val="18"/>
        </w:rPr>
        <w:t xml:space="preserve"> gemaakt moet worden</w:t>
      </w:r>
      <w:r w:rsidRPr="00C62F0F">
        <w:rPr>
          <w:rStyle w:val="Voetnootmarkering"/>
          <w:szCs w:val="18"/>
        </w:rPr>
        <w:footnoteReference w:id="9"/>
      </w:r>
      <w:r w:rsidRPr="00C62F0F">
        <w:rPr>
          <w:szCs w:val="18"/>
        </w:rPr>
        <w:t>. De Europese Commissie zal eind dit jaar nog eens €</w:t>
      </w:r>
      <w:r w:rsidR="00036FD6">
        <w:rPr>
          <w:szCs w:val="18"/>
        </w:rPr>
        <w:t> </w:t>
      </w:r>
      <w:r w:rsidRPr="00C62F0F">
        <w:rPr>
          <w:szCs w:val="18"/>
        </w:rPr>
        <w:t>2,2</w:t>
      </w:r>
      <w:r w:rsidR="00036FD6">
        <w:rPr>
          <w:szCs w:val="18"/>
        </w:rPr>
        <w:t> </w:t>
      </w:r>
      <w:r w:rsidRPr="00C62F0F">
        <w:rPr>
          <w:szCs w:val="18"/>
        </w:rPr>
        <w:t xml:space="preserve">mld. euro aan subsidies voor waterstofprojecten gaan veilen. </w:t>
      </w:r>
    </w:p>
    <w:p w:rsidR="001C772F" w:rsidP="00AE3FA6" w:rsidRDefault="001C772F" w14:paraId="4664D9CE" w14:textId="77777777">
      <w:pPr>
        <w:shd w:val="clear" w:color="auto" w:fill="FFFFFF" w:themeFill="background1"/>
        <w:ind w:left="-20" w:right="-20"/>
        <w:rPr>
          <w:szCs w:val="18"/>
        </w:rPr>
      </w:pPr>
    </w:p>
    <w:p w:rsidRPr="00C62F0F" w:rsidR="0053540A" w:rsidP="000C181E" w:rsidRDefault="001C772F" w14:paraId="1550AF85" w14:textId="5BAC798F">
      <w:pPr>
        <w:shd w:val="clear" w:color="auto" w:fill="FFFFFF" w:themeFill="background1"/>
        <w:ind w:left="-20" w:right="-20"/>
        <w:rPr>
          <w:szCs w:val="18"/>
        </w:rPr>
      </w:pPr>
      <w:r>
        <w:rPr>
          <w:szCs w:val="18"/>
        </w:rPr>
        <w:t>Tot slot</w:t>
      </w:r>
      <w:r w:rsidRPr="00C62F0F">
        <w:rPr>
          <w:szCs w:val="18"/>
        </w:rPr>
        <w:t xml:space="preserve"> </w:t>
      </w:r>
      <w:r w:rsidRPr="00C62F0F" w:rsidR="0053540A">
        <w:rPr>
          <w:szCs w:val="18"/>
        </w:rPr>
        <w:t xml:space="preserve">wordt op transactiebasis onderzocht hoe de </w:t>
      </w:r>
      <w:r>
        <w:rPr>
          <w:szCs w:val="18"/>
        </w:rPr>
        <w:t xml:space="preserve">Nederlandse </w:t>
      </w:r>
      <w:r w:rsidRPr="00C62F0F" w:rsidR="0053540A">
        <w:rPr>
          <w:szCs w:val="18"/>
        </w:rPr>
        <w:t>exportkredietverzekering</w:t>
      </w:r>
      <w:r>
        <w:rPr>
          <w:szCs w:val="18"/>
        </w:rPr>
        <w:t>sfaciliteiten</w:t>
      </w:r>
      <w:r w:rsidRPr="00C62F0F" w:rsidR="0053540A">
        <w:rPr>
          <w:szCs w:val="18"/>
        </w:rPr>
        <w:t xml:space="preserve"> meer </w:t>
      </w:r>
      <w:r>
        <w:rPr>
          <w:szCs w:val="18"/>
        </w:rPr>
        <w:t>kunnen</w:t>
      </w:r>
      <w:r w:rsidRPr="00C62F0F">
        <w:rPr>
          <w:szCs w:val="18"/>
        </w:rPr>
        <w:t xml:space="preserve"> </w:t>
      </w:r>
      <w:r w:rsidRPr="00C62F0F" w:rsidR="0053540A">
        <w:rPr>
          <w:szCs w:val="18"/>
        </w:rPr>
        <w:t>worden ingezet bij het faciliteren van mondiale waterstofproductie en de import daarvan naar N</w:t>
      </w:r>
      <w:r w:rsidR="00AA5251">
        <w:rPr>
          <w:szCs w:val="18"/>
        </w:rPr>
        <w:t>ederland</w:t>
      </w:r>
      <w:r w:rsidR="00890AE3">
        <w:rPr>
          <w:szCs w:val="18"/>
        </w:rPr>
        <w:t xml:space="preserve">. </w:t>
      </w:r>
    </w:p>
    <w:p w:rsidRPr="00C62F0F" w:rsidR="0053540A" w:rsidP="000C181E" w:rsidRDefault="0053540A" w14:paraId="536A45A6" w14:textId="77777777">
      <w:pPr>
        <w:rPr>
          <w:b/>
          <w:bCs/>
          <w:szCs w:val="18"/>
        </w:rPr>
      </w:pPr>
    </w:p>
    <w:p w:rsidRPr="005224A4" w:rsidR="0053540A" w:rsidP="000C181E" w:rsidRDefault="00A76F23" w14:paraId="11979B6F" w14:textId="41A326B8">
      <w:pPr>
        <w:pStyle w:val="paragraph"/>
        <w:spacing w:before="0" w:beforeAutospacing="0" w:after="0" w:afterAutospacing="0" w:line="240" w:lineRule="atLeast"/>
        <w:textAlignment w:val="baseline"/>
        <w:rPr>
          <w:rStyle w:val="eop"/>
          <w:rFonts w:ascii="Verdana" w:hAnsi="Verdana" w:cs="Segoe UI"/>
          <w:b/>
          <w:bCs/>
          <w:sz w:val="18"/>
          <w:szCs w:val="18"/>
        </w:rPr>
      </w:pPr>
      <w:r w:rsidRPr="005224A4">
        <w:rPr>
          <w:rStyle w:val="eop"/>
          <w:rFonts w:ascii="Verdana" w:hAnsi="Verdana" w:cs="Segoe UI"/>
          <w:b/>
          <w:bCs/>
          <w:sz w:val="18"/>
          <w:szCs w:val="18"/>
        </w:rPr>
        <w:t xml:space="preserve">Leveringszekerheid </w:t>
      </w:r>
      <w:r w:rsidRPr="005224A4" w:rsidR="00205DC2">
        <w:rPr>
          <w:rStyle w:val="eop"/>
          <w:rFonts w:ascii="Verdana" w:hAnsi="Verdana" w:cs="Segoe UI"/>
          <w:b/>
          <w:bCs/>
          <w:sz w:val="18"/>
          <w:szCs w:val="18"/>
        </w:rPr>
        <w:t>LNG</w:t>
      </w:r>
    </w:p>
    <w:p w:rsidR="00424355" w:rsidP="000C181E" w:rsidRDefault="0053540A" w14:paraId="7C4B72EB" w14:textId="7CC10394">
      <w:pPr>
        <w:pStyle w:val="paragraph"/>
        <w:spacing w:before="0" w:beforeAutospacing="0" w:after="0" w:afterAutospacing="0" w:line="240" w:lineRule="atLeast"/>
        <w:textAlignment w:val="baseline"/>
        <w:rPr>
          <w:rStyle w:val="normaltextrun"/>
          <w:rFonts w:ascii="Verdana" w:hAnsi="Verdana" w:cs="Segoe UI"/>
          <w:sz w:val="18"/>
          <w:szCs w:val="18"/>
        </w:rPr>
      </w:pPr>
      <w:r w:rsidRPr="0053540A">
        <w:rPr>
          <w:rStyle w:val="normaltextrun"/>
          <w:rFonts w:ascii="Verdana" w:hAnsi="Verdana" w:cs="Segoe UI"/>
          <w:sz w:val="18"/>
          <w:szCs w:val="18"/>
        </w:rPr>
        <w:lastRenderedPageBreak/>
        <w:t xml:space="preserve">Door de geopolitieke ontwikkelingen van de </w:t>
      </w:r>
      <w:r w:rsidR="00AA5251">
        <w:rPr>
          <w:rStyle w:val="normaltextrun"/>
          <w:rFonts w:ascii="Verdana" w:hAnsi="Verdana" w:cs="Segoe UI"/>
          <w:sz w:val="18"/>
          <w:szCs w:val="18"/>
        </w:rPr>
        <w:t>afgelopen jaren</w:t>
      </w:r>
      <w:r w:rsidR="004775CF">
        <w:rPr>
          <w:rStyle w:val="normaltextrun"/>
          <w:rFonts w:ascii="Verdana" w:hAnsi="Verdana" w:cs="Segoe UI"/>
          <w:sz w:val="18"/>
          <w:szCs w:val="18"/>
        </w:rPr>
        <w:t xml:space="preserve"> </w:t>
      </w:r>
      <w:r w:rsidRPr="0053540A">
        <w:rPr>
          <w:rStyle w:val="normaltextrun"/>
          <w:rFonts w:ascii="Verdana" w:hAnsi="Verdana" w:cs="Segoe UI"/>
          <w:sz w:val="18"/>
          <w:szCs w:val="18"/>
        </w:rPr>
        <w:t>is de import van LNG uit de VS</w:t>
      </w:r>
      <w:r w:rsidR="0002350D">
        <w:rPr>
          <w:rStyle w:val="normaltextrun"/>
          <w:rFonts w:ascii="Verdana" w:hAnsi="Verdana" w:cs="Segoe UI"/>
          <w:sz w:val="18"/>
          <w:szCs w:val="18"/>
        </w:rPr>
        <w:t xml:space="preserve"> </w:t>
      </w:r>
      <w:r w:rsidRPr="0053540A">
        <w:rPr>
          <w:rStyle w:val="normaltextrun"/>
          <w:rFonts w:ascii="Verdana" w:hAnsi="Verdana" w:cs="Segoe UI"/>
          <w:sz w:val="18"/>
          <w:szCs w:val="18"/>
        </w:rPr>
        <w:t xml:space="preserve">en andere landen een belangrijke substitutie geworden van Russische gasvolumes. In deze veranderde situatie is het belangrijk om goed te begrijpen wat de langetermijnbehoefte </w:t>
      </w:r>
      <w:r w:rsidR="00AA5251">
        <w:rPr>
          <w:rStyle w:val="normaltextrun"/>
          <w:rFonts w:ascii="Verdana" w:hAnsi="Verdana" w:cs="Segoe UI"/>
          <w:sz w:val="18"/>
          <w:szCs w:val="18"/>
        </w:rPr>
        <w:t>a</w:t>
      </w:r>
      <w:r w:rsidRPr="0053540A">
        <w:rPr>
          <w:rStyle w:val="normaltextrun"/>
          <w:rFonts w:ascii="Verdana" w:hAnsi="Verdana" w:cs="Segoe UI"/>
          <w:sz w:val="18"/>
          <w:szCs w:val="18"/>
        </w:rPr>
        <w:t>an LNG is en hoe leveringszekerheid van gas in de toekomst kan worden geborgd. Daarom he</w:t>
      </w:r>
      <w:r w:rsidR="00FC03B6">
        <w:rPr>
          <w:rStyle w:val="normaltextrun"/>
          <w:rFonts w:ascii="Verdana" w:hAnsi="Verdana" w:cs="Segoe UI"/>
          <w:sz w:val="18"/>
          <w:szCs w:val="18"/>
        </w:rPr>
        <w:t>eft het kabinet</w:t>
      </w:r>
      <w:r w:rsidR="0002350D">
        <w:rPr>
          <w:rStyle w:val="normaltextrun"/>
          <w:rFonts w:ascii="Verdana" w:hAnsi="Verdana" w:cs="Segoe UI"/>
          <w:sz w:val="18"/>
          <w:szCs w:val="18"/>
        </w:rPr>
        <w:t>, zoals toegezegd aan uw Kamer,</w:t>
      </w:r>
      <w:r w:rsidRPr="0053540A">
        <w:rPr>
          <w:rStyle w:val="normaltextrun"/>
          <w:rFonts w:ascii="Verdana" w:hAnsi="Verdana" w:cs="Segoe UI"/>
          <w:sz w:val="18"/>
          <w:szCs w:val="18"/>
        </w:rPr>
        <w:t xml:space="preserve"> aan Strategy&amp;</w:t>
      </w:r>
      <w:r w:rsidR="00D65D7F">
        <w:rPr>
          <w:rStyle w:val="normaltextrun"/>
          <w:rFonts w:ascii="Verdana" w:hAnsi="Verdana" w:cs="Segoe UI"/>
          <w:sz w:val="18"/>
          <w:szCs w:val="18"/>
        </w:rPr>
        <w:t xml:space="preserve"> opdracht </w:t>
      </w:r>
      <w:r w:rsidRPr="0053540A">
        <w:rPr>
          <w:rStyle w:val="normaltextrun"/>
          <w:rFonts w:ascii="Verdana" w:hAnsi="Verdana" w:cs="Segoe UI"/>
          <w:sz w:val="18"/>
          <w:szCs w:val="18"/>
        </w:rPr>
        <w:t xml:space="preserve">gegeven dit te onderzoeken en ook specifiek te kijken naar in hoeverre de markt </w:t>
      </w:r>
      <w:r w:rsidR="005D0BE5">
        <w:rPr>
          <w:rStyle w:val="normaltextrun"/>
          <w:rFonts w:ascii="Verdana" w:hAnsi="Verdana" w:cs="Segoe UI"/>
          <w:sz w:val="18"/>
          <w:szCs w:val="18"/>
        </w:rPr>
        <w:t xml:space="preserve">wordt </w:t>
      </w:r>
      <w:r w:rsidRPr="0053540A">
        <w:rPr>
          <w:rStyle w:val="normaltextrun"/>
          <w:rFonts w:ascii="Verdana" w:hAnsi="Verdana" w:cs="Segoe UI"/>
          <w:sz w:val="18"/>
          <w:szCs w:val="18"/>
        </w:rPr>
        <w:t>bediend door langetermijncontracten</w:t>
      </w:r>
      <w:r w:rsidR="002E7D37">
        <w:rPr>
          <w:rStyle w:val="normaltextrun"/>
          <w:rFonts w:ascii="Verdana" w:hAnsi="Verdana" w:cs="Segoe UI"/>
          <w:sz w:val="18"/>
          <w:szCs w:val="18"/>
        </w:rPr>
        <w:t>, of het wenselijk is dat het aandeel langetermijncontracten wordt vergroot</w:t>
      </w:r>
      <w:r w:rsidRPr="0053540A">
        <w:rPr>
          <w:rStyle w:val="normaltextrun"/>
          <w:rFonts w:ascii="Verdana" w:hAnsi="Verdana" w:cs="Segoe UI"/>
          <w:sz w:val="18"/>
          <w:szCs w:val="18"/>
        </w:rPr>
        <w:t xml:space="preserve"> en wat de rol van de overheid hierin </w:t>
      </w:r>
      <w:r w:rsidR="005D0BE5">
        <w:rPr>
          <w:rStyle w:val="normaltextrun"/>
          <w:rFonts w:ascii="Verdana" w:hAnsi="Verdana" w:cs="Segoe UI"/>
          <w:sz w:val="18"/>
          <w:szCs w:val="18"/>
        </w:rPr>
        <w:t>moet</w:t>
      </w:r>
      <w:r w:rsidRPr="0053540A">
        <w:rPr>
          <w:rStyle w:val="normaltextrun"/>
          <w:rFonts w:ascii="Verdana" w:hAnsi="Verdana" w:cs="Segoe UI"/>
          <w:sz w:val="18"/>
          <w:szCs w:val="18"/>
        </w:rPr>
        <w:t xml:space="preserve"> zijn</w:t>
      </w:r>
      <w:r w:rsidR="005D0BE5">
        <w:rPr>
          <w:rStyle w:val="normaltextrun"/>
          <w:rFonts w:ascii="Verdana" w:hAnsi="Verdana" w:cs="Segoe UI"/>
          <w:sz w:val="18"/>
          <w:szCs w:val="18"/>
        </w:rPr>
        <w:t>.</w:t>
      </w:r>
      <w:r w:rsidR="0002350D">
        <w:rPr>
          <w:rStyle w:val="Voetnootmarkering"/>
          <w:rFonts w:ascii="Verdana" w:hAnsi="Verdana" w:cs="Segoe UI"/>
          <w:sz w:val="18"/>
          <w:szCs w:val="18"/>
        </w:rPr>
        <w:footnoteReference w:id="10"/>
      </w:r>
      <w:r w:rsidR="005D0BE5">
        <w:rPr>
          <w:rStyle w:val="normaltextrun"/>
          <w:rFonts w:ascii="Verdana" w:hAnsi="Verdana" w:cs="Segoe UI"/>
          <w:sz w:val="18"/>
          <w:szCs w:val="18"/>
        </w:rPr>
        <w:t xml:space="preserve"> </w:t>
      </w:r>
    </w:p>
    <w:p w:rsidR="00424355" w:rsidP="000C181E" w:rsidRDefault="00424355" w14:paraId="05042802" w14:textId="081FF60D">
      <w:pPr>
        <w:pStyle w:val="paragraph"/>
        <w:spacing w:before="0" w:beforeAutospacing="0" w:after="0" w:afterAutospacing="0" w:line="240" w:lineRule="atLeast"/>
        <w:textAlignment w:val="baseline"/>
        <w:rPr>
          <w:rStyle w:val="normaltextrun"/>
          <w:rFonts w:ascii="Verdana" w:hAnsi="Verdana" w:cs="Segoe UI"/>
          <w:sz w:val="18"/>
          <w:szCs w:val="18"/>
        </w:rPr>
      </w:pPr>
    </w:p>
    <w:p w:rsidRPr="00424355" w:rsidR="00424355" w:rsidP="000C181E" w:rsidRDefault="00424355" w14:paraId="51F4DEB9" w14:textId="1DCFA093">
      <w:pPr>
        <w:pStyle w:val="paragraph"/>
        <w:spacing w:before="0" w:beforeAutospacing="0" w:after="0" w:afterAutospacing="0" w:line="240" w:lineRule="atLeast"/>
        <w:textAlignment w:val="baseline"/>
        <w:rPr>
          <w:rStyle w:val="normaltextrun"/>
          <w:rFonts w:ascii="Verdana" w:hAnsi="Verdana" w:cs="Segoe UI"/>
          <w:sz w:val="18"/>
          <w:szCs w:val="18"/>
          <w:u w:val="single"/>
        </w:rPr>
      </w:pPr>
      <w:r w:rsidRPr="00424355">
        <w:rPr>
          <w:rStyle w:val="normaltextrun"/>
          <w:rFonts w:ascii="Verdana" w:hAnsi="Verdana" w:cs="Segoe UI"/>
          <w:sz w:val="18"/>
          <w:szCs w:val="18"/>
          <w:u w:val="single"/>
        </w:rPr>
        <w:t>Appreciatie</w:t>
      </w:r>
    </w:p>
    <w:p w:rsidR="0053540A" w:rsidP="000C181E" w:rsidRDefault="00205DC2" w14:paraId="00329FDC" w14:textId="62D0D56F">
      <w:pPr>
        <w:pStyle w:val="paragraph"/>
        <w:spacing w:before="0" w:beforeAutospacing="0" w:after="0" w:afterAutospacing="0" w:line="240" w:lineRule="atLeast"/>
        <w:textAlignment w:val="baseline"/>
        <w:rPr>
          <w:rStyle w:val="normaltextrun"/>
          <w:rFonts w:ascii="Verdana" w:hAnsi="Verdana" w:cs="Segoe UI"/>
          <w:sz w:val="18"/>
          <w:szCs w:val="18"/>
        </w:rPr>
      </w:pPr>
      <w:r w:rsidRPr="00205DC2">
        <w:rPr>
          <w:rStyle w:val="normaltextrun"/>
          <w:rFonts w:ascii="Verdana" w:hAnsi="Verdana" w:cs="Segoe UI"/>
          <w:sz w:val="18"/>
          <w:szCs w:val="18"/>
        </w:rPr>
        <w:t>In het onderzoek wordt geconcludeerd dat structurele import van LNG in Nederland zeker nog 10 tot 20 jaar nodig blijft. Op korte termijn is er krapte op de wereldmarkt, maar vanaf 2026 ontspant deze markt door toename van het aanbod (met name uit de VS</w:t>
      </w:r>
      <w:r w:rsidR="002E7D37">
        <w:rPr>
          <w:rStyle w:val="normaltextrun"/>
          <w:rFonts w:ascii="Verdana" w:hAnsi="Verdana" w:cs="Segoe UI"/>
          <w:sz w:val="18"/>
          <w:szCs w:val="18"/>
        </w:rPr>
        <w:t xml:space="preserve"> en Qatar</w:t>
      </w:r>
      <w:r w:rsidRPr="00205DC2">
        <w:rPr>
          <w:rStyle w:val="normaltextrun"/>
          <w:rFonts w:ascii="Verdana" w:hAnsi="Verdana" w:cs="Segoe UI"/>
          <w:sz w:val="18"/>
          <w:szCs w:val="18"/>
        </w:rPr>
        <w:t>). Overheidsingrijpen is hierbij</w:t>
      </w:r>
      <w:r w:rsidR="00281D74">
        <w:rPr>
          <w:rStyle w:val="normaltextrun"/>
          <w:rFonts w:ascii="Verdana" w:hAnsi="Verdana" w:cs="Segoe UI"/>
          <w:sz w:val="18"/>
          <w:szCs w:val="18"/>
        </w:rPr>
        <w:t xml:space="preserve"> </w:t>
      </w:r>
      <w:r w:rsidR="002E7D37">
        <w:rPr>
          <w:rStyle w:val="normaltextrun"/>
          <w:rFonts w:ascii="Verdana" w:hAnsi="Verdana" w:cs="Segoe UI"/>
          <w:sz w:val="18"/>
          <w:szCs w:val="18"/>
        </w:rPr>
        <w:t xml:space="preserve">volgens de onderzoekers </w:t>
      </w:r>
      <w:r w:rsidR="00281D74">
        <w:rPr>
          <w:rStyle w:val="normaltextrun"/>
          <w:rFonts w:ascii="Verdana" w:hAnsi="Verdana" w:cs="Segoe UI"/>
          <w:sz w:val="18"/>
          <w:szCs w:val="18"/>
        </w:rPr>
        <w:t>niet nodig</w:t>
      </w:r>
      <w:r w:rsidRPr="00205DC2">
        <w:rPr>
          <w:rStyle w:val="normaltextrun"/>
          <w:rFonts w:ascii="Verdana" w:hAnsi="Verdana" w:cs="Segoe UI"/>
          <w:sz w:val="18"/>
          <w:szCs w:val="18"/>
        </w:rPr>
        <w:t>: er wordt op commerciële basis voldoende geïnvesteerd in nieuwe faciliteiten voor productie</w:t>
      </w:r>
      <w:r w:rsidR="002E7D37">
        <w:rPr>
          <w:rStyle w:val="normaltextrun"/>
          <w:rFonts w:ascii="Verdana" w:hAnsi="Verdana" w:cs="Segoe UI"/>
          <w:sz w:val="18"/>
          <w:szCs w:val="18"/>
        </w:rPr>
        <w:t>,</w:t>
      </w:r>
      <w:r w:rsidRPr="00205DC2">
        <w:rPr>
          <w:rStyle w:val="normaltextrun"/>
          <w:rFonts w:ascii="Verdana" w:hAnsi="Verdana" w:cs="Segoe UI"/>
          <w:sz w:val="18"/>
          <w:szCs w:val="18"/>
        </w:rPr>
        <w:t xml:space="preserve"> transport </w:t>
      </w:r>
      <w:r w:rsidR="002E7D37">
        <w:rPr>
          <w:rStyle w:val="normaltextrun"/>
          <w:rFonts w:ascii="Verdana" w:hAnsi="Verdana" w:cs="Segoe UI"/>
          <w:sz w:val="18"/>
          <w:szCs w:val="18"/>
        </w:rPr>
        <w:t xml:space="preserve">en import </w:t>
      </w:r>
      <w:r w:rsidRPr="00205DC2">
        <w:rPr>
          <w:rStyle w:val="normaltextrun"/>
          <w:rFonts w:ascii="Verdana" w:hAnsi="Verdana" w:cs="Segoe UI"/>
          <w:sz w:val="18"/>
          <w:szCs w:val="18"/>
        </w:rPr>
        <w:t>van LNG.</w:t>
      </w:r>
    </w:p>
    <w:p w:rsidR="00205DC2" w:rsidP="000C181E" w:rsidRDefault="00205DC2" w14:paraId="67645337" w14:textId="0E4D0695">
      <w:pPr>
        <w:pStyle w:val="paragraph"/>
        <w:spacing w:before="0" w:beforeAutospacing="0" w:after="0" w:afterAutospacing="0" w:line="240" w:lineRule="atLeast"/>
        <w:textAlignment w:val="baseline"/>
        <w:rPr>
          <w:rStyle w:val="normaltextrun"/>
          <w:rFonts w:ascii="Verdana" w:hAnsi="Verdana" w:cs="Segoe UI"/>
          <w:sz w:val="18"/>
          <w:szCs w:val="18"/>
        </w:rPr>
      </w:pPr>
    </w:p>
    <w:p w:rsidR="00B66350" w:rsidP="000C181E" w:rsidRDefault="00205DC2" w14:paraId="6BDE89D8" w14:textId="13B32CB2">
      <w:pPr>
        <w:pStyle w:val="paragraph"/>
        <w:spacing w:before="0" w:beforeAutospacing="0" w:after="0" w:afterAutospacing="0" w:line="240" w:lineRule="atLeast"/>
        <w:textAlignment w:val="baseline"/>
        <w:rPr>
          <w:rStyle w:val="normaltextrun"/>
          <w:rFonts w:ascii="Verdana" w:hAnsi="Verdana" w:cs="Segoe UI"/>
          <w:sz w:val="18"/>
          <w:szCs w:val="18"/>
        </w:rPr>
      </w:pPr>
      <w:r>
        <w:rPr>
          <w:rStyle w:val="normaltextrun"/>
          <w:rFonts w:ascii="Verdana" w:hAnsi="Verdana" w:cs="Segoe UI"/>
          <w:sz w:val="18"/>
          <w:szCs w:val="18"/>
        </w:rPr>
        <w:t xml:space="preserve">Desondanks </w:t>
      </w:r>
      <w:r w:rsidRPr="00C62F0F">
        <w:rPr>
          <w:rStyle w:val="normaltextrun"/>
          <w:rFonts w:ascii="Verdana" w:hAnsi="Verdana" w:cs="Segoe UI"/>
          <w:sz w:val="18"/>
          <w:szCs w:val="18"/>
        </w:rPr>
        <w:t>kunnen er situaties optreden van schaarste als gevolg van onvoorziene of niet vaak voorkomende omstandigheden (bijv</w:t>
      </w:r>
      <w:r w:rsidR="00036FD6">
        <w:rPr>
          <w:rStyle w:val="normaltextrun"/>
          <w:rFonts w:ascii="Verdana" w:hAnsi="Verdana" w:cs="Segoe UI"/>
          <w:sz w:val="18"/>
          <w:szCs w:val="18"/>
        </w:rPr>
        <w:t>oorbeeld</w:t>
      </w:r>
      <w:r w:rsidRPr="00C62F0F">
        <w:rPr>
          <w:rStyle w:val="normaltextrun"/>
          <w:rFonts w:ascii="Verdana" w:hAnsi="Verdana" w:cs="Segoe UI"/>
          <w:sz w:val="18"/>
          <w:szCs w:val="18"/>
        </w:rPr>
        <w:t xml:space="preserve"> twee strenge winters achter elkaar of geopolitieke conflicten waarbij de LNG</w:t>
      </w:r>
      <w:r w:rsidR="00036FD6">
        <w:rPr>
          <w:rStyle w:val="normaltextrun"/>
          <w:rFonts w:ascii="Verdana" w:hAnsi="Verdana" w:cs="Segoe UI"/>
          <w:sz w:val="18"/>
          <w:szCs w:val="18"/>
        </w:rPr>
        <w:t>-</w:t>
      </w:r>
      <w:r w:rsidRPr="00C62F0F">
        <w:rPr>
          <w:rStyle w:val="normaltextrun"/>
          <w:rFonts w:ascii="Verdana" w:hAnsi="Verdana" w:cs="Segoe UI"/>
          <w:sz w:val="18"/>
          <w:szCs w:val="18"/>
        </w:rPr>
        <w:t xml:space="preserve">toevoer verstoord wordt). </w:t>
      </w:r>
      <w:r>
        <w:rPr>
          <w:rStyle w:val="normaltextrun"/>
          <w:rFonts w:ascii="Verdana" w:hAnsi="Verdana" w:cs="Segoe UI"/>
          <w:sz w:val="18"/>
          <w:szCs w:val="18"/>
        </w:rPr>
        <w:t xml:space="preserve">In dergelijke situaties zijn leveringszekerheid en betaalbaarheid aan elkaar gekoppeld (bij schaarste gaat de prijs immers omhoog). Aanvullend </w:t>
      </w:r>
      <w:r w:rsidRPr="00C62F0F">
        <w:rPr>
          <w:rStyle w:val="normaltextrun"/>
          <w:rFonts w:ascii="Verdana" w:hAnsi="Verdana" w:cs="Segoe UI"/>
          <w:sz w:val="18"/>
          <w:szCs w:val="18"/>
        </w:rPr>
        <w:t xml:space="preserve">beleid gericht op het voorkomen van prijsschommelingen </w:t>
      </w:r>
      <w:r>
        <w:rPr>
          <w:rStyle w:val="normaltextrun"/>
          <w:rFonts w:ascii="Verdana" w:hAnsi="Verdana" w:cs="Segoe UI"/>
          <w:sz w:val="18"/>
          <w:szCs w:val="18"/>
        </w:rPr>
        <w:t xml:space="preserve">heeft de </w:t>
      </w:r>
      <w:r w:rsidR="004775CF">
        <w:rPr>
          <w:rStyle w:val="normaltextrun"/>
          <w:rFonts w:ascii="Verdana" w:hAnsi="Verdana" w:cs="Segoe UI"/>
          <w:sz w:val="18"/>
          <w:szCs w:val="18"/>
        </w:rPr>
        <w:t>financiële</w:t>
      </w:r>
      <w:r>
        <w:rPr>
          <w:rStyle w:val="normaltextrun"/>
          <w:rFonts w:ascii="Verdana" w:hAnsi="Verdana" w:cs="Segoe UI"/>
          <w:sz w:val="18"/>
          <w:szCs w:val="18"/>
        </w:rPr>
        <w:t xml:space="preserve"> kenmerken van een verzekering: h</w:t>
      </w:r>
      <w:r w:rsidRPr="00C62F0F">
        <w:rPr>
          <w:rStyle w:val="normaltextrun"/>
          <w:rFonts w:ascii="Verdana" w:hAnsi="Verdana" w:cs="Segoe UI"/>
          <w:sz w:val="18"/>
          <w:szCs w:val="18"/>
        </w:rPr>
        <w:t xml:space="preserve">et kan </w:t>
      </w:r>
      <w:r>
        <w:rPr>
          <w:rStyle w:val="normaltextrun"/>
          <w:rFonts w:ascii="Verdana" w:hAnsi="Verdana" w:cs="Segoe UI"/>
          <w:sz w:val="18"/>
          <w:szCs w:val="18"/>
        </w:rPr>
        <w:t xml:space="preserve">de prijsstabiliteit en </w:t>
      </w:r>
      <w:r w:rsidR="0008785E">
        <w:rPr>
          <w:rStyle w:val="normaltextrun"/>
          <w:rFonts w:ascii="Verdana" w:hAnsi="Verdana" w:cs="Segoe UI"/>
          <w:sz w:val="18"/>
          <w:szCs w:val="18"/>
        </w:rPr>
        <w:t xml:space="preserve">de </w:t>
      </w:r>
      <w:r>
        <w:rPr>
          <w:rStyle w:val="normaltextrun"/>
          <w:rFonts w:ascii="Verdana" w:hAnsi="Verdana" w:cs="Segoe UI"/>
          <w:sz w:val="18"/>
          <w:szCs w:val="18"/>
        </w:rPr>
        <w:t>leverings</w:t>
      </w:r>
      <w:r w:rsidRPr="00C62F0F">
        <w:rPr>
          <w:rStyle w:val="normaltextrun"/>
          <w:rFonts w:ascii="Verdana" w:hAnsi="Verdana" w:cs="Segoe UI"/>
          <w:sz w:val="18"/>
          <w:szCs w:val="18"/>
        </w:rPr>
        <w:t xml:space="preserve">zekerheid </w:t>
      </w:r>
      <w:r>
        <w:rPr>
          <w:rStyle w:val="normaltextrun"/>
          <w:rFonts w:ascii="Verdana" w:hAnsi="Verdana" w:cs="Segoe UI"/>
          <w:sz w:val="18"/>
          <w:szCs w:val="18"/>
        </w:rPr>
        <w:t>vergroten</w:t>
      </w:r>
      <w:r w:rsidRPr="00C62F0F">
        <w:rPr>
          <w:rStyle w:val="normaltextrun"/>
          <w:rFonts w:ascii="Verdana" w:hAnsi="Verdana" w:cs="Segoe UI"/>
          <w:sz w:val="18"/>
          <w:szCs w:val="18"/>
        </w:rPr>
        <w:t>, maar dat kost geld</w:t>
      </w:r>
      <w:r>
        <w:rPr>
          <w:rStyle w:val="normaltextrun"/>
          <w:rFonts w:ascii="Verdana" w:hAnsi="Verdana" w:cs="Segoe UI"/>
          <w:sz w:val="18"/>
          <w:szCs w:val="18"/>
        </w:rPr>
        <w:t xml:space="preserve"> en beïnvloedt daarmee ook de betaalbaarheid.</w:t>
      </w:r>
      <w:r w:rsidRPr="00C62F0F">
        <w:rPr>
          <w:rStyle w:val="normaltextrun"/>
          <w:rFonts w:ascii="Verdana" w:hAnsi="Verdana" w:cs="Segoe UI"/>
          <w:sz w:val="18"/>
          <w:szCs w:val="18"/>
        </w:rPr>
        <w:t xml:space="preserve"> </w:t>
      </w:r>
      <w:r>
        <w:rPr>
          <w:rStyle w:val="normaltextrun"/>
          <w:rFonts w:ascii="Verdana" w:hAnsi="Verdana" w:cs="Segoe UI"/>
          <w:sz w:val="18"/>
          <w:szCs w:val="18"/>
        </w:rPr>
        <w:t>Strategy&amp; beschrijft waarom h</w:t>
      </w:r>
      <w:r w:rsidRPr="00C62F0F">
        <w:rPr>
          <w:rStyle w:val="normaltextrun"/>
          <w:rFonts w:ascii="Verdana" w:hAnsi="Verdana" w:cs="Segoe UI"/>
          <w:sz w:val="18"/>
          <w:szCs w:val="18"/>
        </w:rPr>
        <w:t xml:space="preserve">et afsluiten van langetermijncontracten door de overheid of een staatsdeelneming daarbij </w:t>
      </w:r>
      <w:r w:rsidR="0008785E">
        <w:rPr>
          <w:rStyle w:val="normaltextrun"/>
          <w:rFonts w:ascii="Verdana" w:hAnsi="Verdana" w:cs="Segoe UI"/>
          <w:sz w:val="18"/>
          <w:szCs w:val="18"/>
        </w:rPr>
        <w:t xml:space="preserve">geen </w:t>
      </w:r>
      <w:r w:rsidRPr="00C62F0F">
        <w:rPr>
          <w:rStyle w:val="normaltextrun"/>
          <w:rFonts w:ascii="Verdana" w:hAnsi="Verdana" w:cs="Segoe UI"/>
          <w:sz w:val="18"/>
          <w:szCs w:val="18"/>
        </w:rPr>
        <w:t xml:space="preserve">optimaal instrument voor het borgen van de leveringszekerheid en </w:t>
      </w:r>
      <w:r w:rsidR="0008785E">
        <w:rPr>
          <w:rStyle w:val="normaltextrun"/>
          <w:rFonts w:ascii="Verdana" w:hAnsi="Verdana" w:cs="Segoe UI"/>
          <w:sz w:val="18"/>
          <w:szCs w:val="18"/>
        </w:rPr>
        <w:t xml:space="preserve">de </w:t>
      </w:r>
      <w:r w:rsidRPr="00C62F0F">
        <w:rPr>
          <w:rStyle w:val="normaltextrun"/>
          <w:rFonts w:ascii="Verdana" w:hAnsi="Verdana" w:cs="Segoe UI"/>
          <w:sz w:val="18"/>
          <w:szCs w:val="18"/>
        </w:rPr>
        <w:t>betaalbaarheid</w:t>
      </w:r>
      <w:r>
        <w:rPr>
          <w:rStyle w:val="normaltextrun"/>
          <w:rFonts w:ascii="Verdana" w:hAnsi="Verdana" w:cs="Segoe UI"/>
          <w:sz w:val="18"/>
          <w:szCs w:val="18"/>
        </w:rPr>
        <w:t xml:space="preserve"> </w:t>
      </w:r>
      <w:r w:rsidR="0008785E">
        <w:rPr>
          <w:rStyle w:val="normaltextrun"/>
          <w:rFonts w:ascii="Verdana" w:hAnsi="Verdana" w:cs="Segoe UI"/>
          <w:sz w:val="18"/>
          <w:szCs w:val="18"/>
        </w:rPr>
        <w:t>is</w:t>
      </w:r>
      <w:r w:rsidRPr="00C62F0F">
        <w:rPr>
          <w:rStyle w:val="normaltextrun"/>
          <w:rFonts w:ascii="Verdana" w:hAnsi="Verdana" w:cs="Segoe UI"/>
          <w:sz w:val="18"/>
          <w:szCs w:val="18"/>
        </w:rPr>
        <w:t xml:space="preserve">. </w:t>
      </w:r>
      <w:r>
        <w:rPr>
          <w:rStyle w:val="normaltextrun"/>
          <w:rFonts w:ascii="Verdana" w:hAnsi="Verdana" w:cs="Segoe UI"/>
          <w:sz w:val="18"/>
          <w:szCs w:val="18"/>
        </w:rPr>
        <w:t xml:space="preserve">Kern is dat het aanbod hierdoor niet wordt vergroot en er in de praktijk niet per se sprake is van de beoogde prijsstabiliteit </w:t>
      </w:r>
      <w:r w:rsidR="00E43E98">
        <w:rPr>
          <w:rStyle w:val="normaltextrun"/>
          <w:rFonts w:ascii="Verdana" w:hAnsi="Verdana" w:cs="Segoe UI"/>
          <w:sz w:val="18"/>
          <w:szCs w:val="18"/>
        </w:rPr>
        <w:t>of versterking van de</w:t>
      </w:r>
      <w:r w:rsidR="00B409E4">
        <w:rPr>
          <w:rStyle w:val="normaltextrun"/>
          <w:rFonts w:ascii="Verdana" w:hAnsi="Verdana" w:cs="Segoe UI"/>
          <w:sz w:val="18"/>
          <w:szCs w:val="18"/>
        </w:rPr>
        <w:t xml:space="preserve"> </w:t>
      </w:r>
      <w:r>
        <w:rPr>
          <w:rStyle w:val="normaltextrun"/>
          <w:rFonts w:ascii="Verdana" w:hAnsi="Verdana" w:cs="Segoe UI"/>
          <w:sz w:val="18"/>
          <w:szCs w:val="18"/>
        </w:rPr>
        <w:t>leveringszekerheid</w:t>
      </w:r>
      <w:r w:rsidR="00B66350">
        <w:rPr>
          <w:rStyle w:val="normaltextrun"/>
          <w:rFonts w:ascii="Verdana" w:hAnsi="Verdana" w:cs="Segoe UI"/>
          <w:sz w:val="18"/>
          <w:szCs w:val="18"/>
        </w:rPr>
        <w:t>. Beleid gericht op (het vergroten van het aandeel van) langetermijncontracten is daarom niet doelmatig en werkt mogelijk zelfs verstorend</w:t>
      </w:r>
      <w:r>
        <w:rPr>
          <w:rStyle w:val="normaltextrun"/>
          <w:rFonts w:ascii="Verdana" w:hAnsi="Verdana" w:cs="Segoe UI"/>
          <w:sz w:val="18"/>
          <w:szCs w:val="18"/>
        </w:rPr>
        <w:t>.</w:t>
      </w:r>
    </w:p>
    <w:p w:rsidR="00B66350" w:rsidP="000C181E" w:rsidRDefault="00B66350" w14:paraId="5054755A"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00B66350" w:rsidP="000C181E" w:rsidRDefault="00B66350" w14:paraId="6A3036B1" w14:textId="03ABF7F9">
      <w:pPr>
        <w:pStyle w:val="paragraph"/>
        <w:spacing w:before="0" w:beforeAutospacing="0" w:after="0" w:afterAutospacing="0" w:line="240" w:lineRule="atLeast"/>
        <w:textAlignment w:val="baseline"/>
        <w:rPr>
          <w:rStyle w:val="normaltextrun"/>
          <w:rFonts w:ascii="Verdana" w:hAnsi="Verdana" w:cs="Segoe UI"/>
          <w:sz w:val="18"/>
          <w:szCs w:val="18"/>
        </w:rPr>
      </w:pPr>
      <w:r>
        <w:rPr>
          <w:rStyle w:val="normaltextrun"/>
          <w:rFonts w:ascii="Verdana" w:hAnsi="Verdana" w:cs="Segoe UI"/>
          <w:sz w:val="18"/>
          <w:szCs w:val="18"/>
        </w:rPr>
        <w:t>In plaats daarvan zijn g</w:t>
      </w:r>
      <w:r w:rsidRPr="00C62F0F" w:rsidR="001D47A8">
        <w:rPr>
          <w:rStyle w:val="normaltextrun"/>
          <w:rFonts w:ascii="Verdana" w:hAnsi="Verdana" w:cs="Segoe UI"/>
          <w:sz w:val="18"/>
          <w:szCs w:val="18"/>
        </w:rPr>
        <w:t>eschiktere instrumenten</w:t>
      </w:r>
      <w:r>
        <w:rPr>
          <w:rStyle w:val="normaltextrun"/>
          <w:rFonts w:ascii="Verdana" w:hAnsi="Verdana" w:cs="Segoe UI"/>
          <w:sz w:val="18"/>
          <w:szCs w:val="18"/>
        </w:rPr>
        <w:t xml:space="preserve"> om betaalbaarheid en leveringszekerheid te borgen</w:t>
      </w:r>
      <w:r w:rsidRPr="00C62F0F" w:rsidR="001D47A8">
        <w:rPr>
          <w:rStyle w:val="normaltextrun"/>
          <w:rFonts w:ascii="Verdana" w:hAnsi="Verdana" w:cs="Segoe UI"/>
          <w:sz w:val="18"/>
          <w:szCs w:val="18"/>
        </w:rPr>
        <w:t xml:space="preserve"> </w:t>
      </w:r>
      <w:r>
        <w:rPr>
          <w:rStyle w:val="normaltextrun"/>
          <w:rFonts w:ascii="Verdana" w:hAnsi="Verdana" w:cs="Segoe UI"/>
          <w:sz w:val="18"/>
          <w:szCs w:val="18"/>
        </w:rPr>
        <w:t>v</w:t>
      </w:r>
      <w:r w:rsidR="00F87436">
        <w:rPr>
          <w:rStyle w:val="normaltextrun"/>
          <w:rFonts w:ascii="Verdana" w:hAnsi="Verdana" w:cs="Segoe UI"/>
          <w:sz w:val="18"/>
          <w:szCs w:val="18"/>
        </w:rPr>
        <w:t xml:space="preserve">olgens de onderzoekers </w:t>
      </w:r>
      <w:r w:rsidR="001D47A8">
        <w:rPr>
          <w:rStyle w:val="normaltextrun"/>
          <w:rFonts w:ascii="Verdana" w:hAnsi="Verdana" w:cs="Segoe UI"/>
          <w:sz w:val="18"/>
          <w:szCs w:val="18"/>
        </w:rPr>
        <w:t>het</w:t>
      </w:r>
      <w:r w:rsidRPr="00C62F0F" w:rsidR="001D47A8">
        <w:rPr>
          <w:rStyle w:val="normaltextrun"/>
          <w:rFonts w:ascii="Verdana" w:hAnsi="Verdana" w:cs="Segoe UI"/>
          <w:sz w:val="18"/>
          <w:szCs w:val="18"/>
        </w:rPr>
        <w:t xml:space="preserve"> </w:t>
      </w:r>
      <w:r w:rsidR="001D47A8">
        <w:rPr>
          <w:rStyle w:val="normaltextrun"/>
          <w:rFonts w:ascii="Verdana" w:hAnsi="Verdana" w:cs="Segoe UI"/>
          <w:sz w:val="18"/>
          <w:szCs w:val="18"/>
        </w:rPr>
        <w:t>inbouwen</w:t>
      </w:r>
      <w:r w:rsidRPr="00C62F0F" w:rsidR="001D47A8">
        <w:rPr>
          <w:rStyle w:val="normaltextrun"/>
          <w:rFonts w:ascii="Verdana" w:hAnsi="Verdana" w:cs="Segoe UI"/>
          <w:sz w:val="18"/>
          <w:szCs w:val="18"/>
        </w:rPr>
        <w:t xml:space="preserve"> van reservecapaciteit (</w:t>
      </w:r>
      <w:r w:rsidR="00F87436">
        <w:rPr>
          <w:rStyle w:val="normaltextrun"/>
          <w:rFonts w:ascii="Verdana" w:hAnsi="Verdana" w:cs="Segoe UI"/>
          <w:sz w:val="18"/>
          <w:szCs w:val="18"/>
        </w:rPr>
        <w:t xml:space="preserve">reserve </w:t>
      </w:r>
      <w:r w:rsidRPr="00E67C11" w:rsidR="001D47A8">
        <w:rPr>
          <w:rStyle w:val="normaltextrun"/>
          <w:rFonts w:ascii="Verdana" w:hAnsi="Verdana" w:cs="Segoe UI"/>
          <w:sz w:val="18"/>
          <w:szCs w:val="18"/>
        </w:rPr>
        <w:t>aanlandings- en/of opslagcapaciteit</w:t>
      </w:r>
      <w:r w:rsidRPr="00C62F0F" w:rsidR="001D47A8">
        <w:rPr>
          <w:rStyle w:val="normaltextrun"/>
          <w:rFonts w:ascii="Verdana" w:hAnsi="Verdana" w:cs="Segoe UI"/>
          <w:sz w:val="18"/>
          <w:szCs w:val="18"/>
        </w:rPr>
        <w:t xml:space="preserve">) </w:t>
      </w:r>
      <w:r w:rsidR="001D47A8">
        <w:rPr>
          <w:rStyle w:val="normaltextrun"/>
          <w:rFonts w:ascii="Verdana" w:hAnsi="Verdana" w:cs="Segoe UI"/>
          <w:sz w:val="18"/>
          <w:szCs w:val="18"/>
        </w:rPr>
        <w:t xml:space="preserve">in het systeem </w:t>
      </w:r>
      <w:r w:rsidR="00821117">
        <w:rPr>
          <w:rStyle w:val="normaltextrun"/>
          <w:rFonts w:ascii="Verdana" w:hAnsi="Verdana" w:cs="Segoe UI"/>
          <w:sz w:val="18"/>
          <w:szCs w:val="18"/>
        </w:rPr>
        <w:t xml:space="preserve">om hoge prijzen te voorkomen </w:t>
      </w:r>
      <w:r w:rsidRPr="00C62F0F" w:rsidR="001D47A8">
        <w:rPr>
          <w:rStyle w:val="normaltextrun"/>
          <w:rFonts w:ascii="Verdana" w:hAnsi="Verdana" w:cs="Segoe UI"/>
          <w:sz w:val="18"/>
          <w:szCs w:val="18"/>
        </w:rPr>
        <w:t>en het steunen van huishoudens bij hoge prijzen</w:t>
      </w:r>
      <w:r w:rsidR="001D47A8">
        <w:rPr>
          <w:rStyle w:val="normaltextrun"/>
          <w:rFonts w:ascii="Verdana" w:hAnsi="Verdana" w:cs="Segoe UI"/>
          <w:sz w:val="18"/>
          <w:szCs w:val="18"/>
        </w:rPr>
        <w:t>.</w:t>
      </w:r>
      <w:r w:rsidRPr="00C62F0F" w:rsidR="00205DC2">
        <w:rPr>
          <w:rStyle w:val="normaltextrun"/>
          <w:rFonts w:ascii="Verdana" w:hAnsi="Verdana" w:cs="Segoe UI"/>
          <w:sz w:val="18"/>
          <w:szCs w:val="18"/>
        </w:rPr>
        <w:t xml:space="preserve"> </w:t>
      </w:r>
    </w:p>
    <w:p w:rsidR="00B66350" w:rsidP="000C181E" w:rsidRDefault="00B66350" w14:paraId="68D4B766"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00205DC2" w:rsidP="000C181E" w:rsidRDefault="00205DC2" w14:paraId="39BBF47A" w14:textId="5BC659BE">
      <w:pPr>
        <w:rPr>
          <w:szCs w:val="18"/>
        </w:rPr>
      </w:pPr>
      <w:r>
        <w:rPr>
          <w:rStyle w:val="normaltextrun"/>
          <w:rFonts w:cs="Segoe UI"/>
          <w:szCs w:val="18"/>
        </w:rPr>
        <w:t xml:space="preserve">Deze instrumenten maken </w:t>
      </w:r>
      <w:r w:rsidR="00821117">
        <w:rPr>
          <w:rStyle w:val="normaltextrun"/>
          <w:rFonts w:cs="Segoe UI"/>
          <w:szCs w:val="18"/>
        </w:rPr>
        <w:t xml:space="preserve">reeds </w:t>
      </w:r>
      <w:r>
        <w:rPr>
          <w:rStyle w:val="normaltextrun"/>
          <w:rFonts w:cs="Segoe UI"/>
          <w:szCs w:val="18"/>
        </w:rPr>
        <w:t>onderdeel uit van het huidige beleid van het kabinet of zijn in het recente verleden incidenteel ingezet (</w:t>
      </w:r>
      <w:r w:rsidR="00281D74">
        <w:rPr>
          <w:rStyle w:val="normaltextrun"/>
          <w:rFonts w:cs="Segoe UI"/>
          <w:szCs w:val="18"/>
        </w:rPr>
        <w:t>bij</w:t>
      </w:r>
      <w:r>
        <w:rPr>
          <w:rStyle w:val="normaltextrun"/>
          <w:rFonts w:cs="Segoe UI"/>
          <w:szCs w:val="18"/>
        </w:rPr>
        <w:t>voorbeeld prijsplafond).</w:t>
      </w:r>
      <w:r w:rsidRPr="00C62F0F">
        <w:rPr>
          <w:rStyle w:val="normaltextrun"/>
          <w:rFonts w:cs="Segoe UI"/>
          <w:szCs w:val="18"/>
        </w:rPr>
        <w:t xml:space="preserve"> </w:t>
      </w:r>
      <w:r>
        <w:rPr>
          <w:szCs w:val="18"/>
        </w:rPr>
        <w:t>Vooral goed gevulde gasopslagen zijn een belangrijk instrument voor het opvangen van verstoringen</w:t>
      </w:r>
      <w:r w:rsidR="00B66350">
        <w:rPr>
          <w:szCs w:val="18"/>
        </w:rPr>
        <w:t xml:space="preserve"> en het borgen van de leveringszekerheid</w:t>
      </w:r>
      <w:r>
        <w:rPr>
          <w:szCs w:val="18"/>
        </w:rPr>
        <w:t>.</w:t>
      </w:r>
      <w:r w:rsidR="00B66350">
        <w:rPr>
          <w:szCs w:val="18"/>
        </w:rPr>
        <w:t xml:space="preserve"> Beleid gericht hierop is da</w:t>
      </w:r>
      <w:r w:rsidR="00052893">
        <w:rPr>
          <w:szCs w:val="18"/>
        </w:rPr>
        <w:t>a</w:t>
      </w:r>
      <w:r w:rsidR="00B66350">
        <w:rPr>
          <w:szCs w:val="18"/>
        </w:rPr>
        <w:t>rom voor het kabinet een belangrijke prioriteit.</w:t>
      </w:r>
      <w:r>
        <w:rPr>
          <w:szCs w:val="18"/>
        </w:rPr>
        <w:t xml:space="preserve"> D</w:t>
      </w:r>
      <w:r w:rsidRPr="00424355">
        <w:rPr>
          <w:szCs w:val="18"/>
        </w:rPr>
        <w:t xml:space="preserve">e gasopslagen </w:t>
      </w:r>
      <w:r>
        <w:rPr>
          <w:szCs w:val="18"/>
        </w:rPr>
        <w:t xml:space="preserve">zijn de </w:t>
      </w:r>
      <w:r w:rsidRPr="00424355">
        <w:rPr>
          <w:szCs w:val="18"/>
        </w:rPr>
        <w:t xml:space="preserve">afgelopen </w:t>
      </w:r>
      <w:r>
        <w:rPr>
          <w:szCs w:val="18"/>
        </w:rPr>
        <w:t xml:space="preserve">twee </w:t>
      </w:r>
      <w:r w:rsidRPr="00424355">
        <w:rPr>
          <w:szCs w:val="18"/>
        </w:rPr>
        <w:t>jar</w:t>
      </w:r>
      <w:r>
        <w:rPr>
          <w:szCs w:val="18"/>
        </w:rPr>
        <w:t>en</w:t>
      </w:r>
      <w:r w:rsidRPr="00424355">
        <w:rPr>
          <w:szCs w:val="18"/>
        </w:rPr>
        <w:t xml:space="preserve"> goed gevuld door marktpartijen, met </w:t>
      </w:r>
      <w:r w:rsidRPr="00424355">
        <w:rPr>
          <w:szCs w:val="18"/>
        </w:rPr>
        <w:lastRenderedPageBreak/>
        <w:t xml:space="preserve">een aanvullende </w:t>
      </w:r>
      <w:r>
        <w:rPr>
          <w:szCs w:val="18"/>
        </w:rPr>
        <w:t xml:space="preserve">vultaak </w:t>
      </w:r>
      <w:r w:rsidRPr="00424355">
        <w:rPr>
          <w:szCs w:val="18"/>
        </w:rPr>
        <w:t xml:space="preserve">voor EBN. </w:t>
      </w:r>
      <w:r w:rsidR="005067D0">
        <w:rPr>
          <w:szCs w:val="18"/>
        </w:rPr>
        <w:t xml:space="preserve">Deze maatregelen hebben niet geleid tot kosten voor de overheid. </w:t>
      </w:r>
      <w:r w:rsidRPr="00424355">
        <w:rPr>
          <w:szCs w:val="18"/>
        </w:rPr>
        <w:t>Via het wetsvoorstel gasleveringszekerheid</w:t>
      </w:r>
      <w:r w:rsidR="00B66350">
        <w:rPr>
          <w:szCs w:val="18"/>
        </w:rPr>
        <w:t>, dat later dit voorjaar in internetconsultatie zal gaan,</w:t>
      </w:r>
      <w:r w:rsidRPr="00424355">
        <w:rPr>
          <w:szCs w:val="18"/>
        </w:rPr>
        <w:t xml:space="preserve"> worden</w:t>
      </w:r>
      <w:r>
        <w:rPr>
          <w:szCs w:val="18"/>
        </w:rPr>
        <w:t xml:space="preserve"> aanvullende </w:t>
      </w:r>
      <w:r w:rsidRPr="00424355">
        <w:rPr>
          <w:szCs w:val="18"/>
        </w:rPr>
        <w:t>maatregelen voorgesteld</w:t>
      </w:r>
      <w:r w:rsidR="005067D0">
        <w:rPr>
          <w:szCs w:val="18"/>
        </w:rPr>
        <w:t xml:space="preserve"> om het functioneren van de gasopslagmarkt te ondersteunen</w:t>
      </w:r>
      <w:r w:rsidR="0039237A">
        <w:rPr>
          <w:szCs w:val="18"/>
        </w:rPr>
        <w:t xml:space="preserve">, waaronder een structurele rol voor EBN </w:t>
      </w:r>
      <w:r w:rsidR="005067D0">
        <w:rPr>
          <w:szCs w:val="18"/>
        </w:rPr>
        <w:t>om te vullen voor</w:t>
      </w:r>
      <w:r w:rsidR="004775CF">
        <w:rPr>
          <w:szCs w:val="18"/>
        </w:rPr>
        <w:t xml:space="preserve"> </w:t>
      </w:r>
      <w:r w:rsidR="005067D0">
        <w:rPr>
          <w:szCs w:val="18"/>
        </w:rPr>
        <w:t>zover de markt dat niet doet</w:t>
      </w:r>
      <w:r w:rsidR="0039237A">
        <w:rPr>
          <w:szCs w:val="18"/>
        </w:rPr>
        <w:t xml:space="preserve"> gecombineerd met het opbouwen en aanhouden van een gasreserve,</w:t>
      </w:r>
      <w:r w:rsidRPr="00424355">
        <w:rPr>
          <w:szCs w:val="18"/>
        </w:rPr>
        <w:t xml:space="preserve"> zodat de overheid tijdig kan ingrijpen als de markt in de toekomst niet goed zou werken</w:t>
      </w:r>
      <w:r w:rsidR="00CC0B11">
        <w:rPr>
          <w:szCs w:val="18"/>
        </w:rPr>
        <w:t xml:space="preserve"> (Kamerstuk 29023, nrs. 494 en 497)</w:t>
      </w:r>
      <w:r w:rsidRPr="00424355">
        <w:rPr>
          <w:szCs w:val="18"/>
        </w:rPr>
        <w:t>.</w:t>
      </w:r>
      <w:r w:rsidRPr="005C1E25">
        <w:rPr>
          <w:szCs w:val="18"/>
        </w:rPr>
        <w:t xml:space="preserve"> </w:t>
      </w:r>
    </w:p>
    <w:p w:rsidR="00B66350" w:rsidP="000C181E" w:rsidRDefault="00B66350" w14:paraId="16C73F1B" w14:textId="77777777">
      <w:pPr>
        <w:rPr>
          <w:szCs w:val="18"/>
        </w:rPr>
      </w:pPr>
    </w:p>
    <w:p w:rsidR="00205DC2" w:rsidP="000C181E" w:rsidRDefault="00205DC2" w14:paraId="7A9ED105" w14:textId="399B52E0">
      <w:pPr>
        <w:rPr>
          <w:szCs w:val="18"/>
        </w:rPr>
      </w:pPr>
      <w:r w:rsidRPr="00424355">
        <w:rPr>
          <w:szCs w:val="18"/>
        </w:rPr>
        <w:t xml:space="preserve">Het rapport </w:t>
      </w:r>
      <w:r>
        <w:rPr>
          <w:szCs w:val="18"/>
        </w:rPr>
        <w:t xml:space="preserve">concludeert hierom </w:t>
      </w:r>
      <w:r w:rsidRPr="00424355">
        <w:rPr>
          <w:szCs w:val="18"/>
        </w:rPr>
        <w:t>dat er op dit moment geen noodzaak is om aanvullende maatregelen te nemen</w:t>
      </w:r>
      <w:r>
        <w:rPr>
          <w:szCs w:val="18"/>
        </w:rPr>
        <w:t xml:space="preserve">. </w:t>
      </w:r>
      <w:r w:rsidRPr="00424355">
        <w:rPr>
          <w:szCs w:val="18"/>
        </w:rPr>
        <w:t>Bij eventuele nieuwe maatregelen zal een afweging moeten worden gemaakt, zoals geadviseerd door Strategy&amp; in het onderzoek, of de kosten voor het nemen van de maatregel opwegen tegen de schade die daarmee kan worden voorkomen.</w:t>
      </w:r>
    </w:p>
    <w:p w:rsidR="002E7D37" w:rsidP="000C181E" w:rsidRDefault="002E7D37" w14:paraId="779E8E76" w14:textId="77777777">
      <w:pPr>
        <w:rPr>
          <w:szCs w:val="18"/>
        </w:rPr>
      </w:pPr>
    </w:p>
    <w:p w:rsidR="002E7D37" w:rsidP="000C181E" w:rsidRDefault="00804595" w14:paraId="6E216FB8" w14:textId="6ECA06B2">
      <w:pPr>
        <w:rPr>
          <w:szCs w:val="18"/>
        </w:rPr>
      </w:pPr>
      <w:r>
        <w:rPr>
          <w:szCs w:val="18"/>
        </w:rPr>
        <w:t xml:space="preserve">Dit alles neemt niet weg dat het kabinet </w:t>
      </w:r>
      <w:r w:rsidR="00052893">
        <w:rPr>
          <w:szCs w:val="18"/>
        </w:rPr>
        <w:t xml:space="preserve">het belang inziet </w:t>
      </w:r>
      <w:r>
        <w:rPr>
          <w:szCs w:val="18"/>
        </w:rPr>
        <w:t xml:space="preserve">van het faciliteren van samenwerking tussen inkopende Europese energiebedrijven en betrouwbare partners uit derde landen en daarop ook actie onderneemt (zie de bijlage bij deze brief). Ik wijs er hierbij op dat de onderzoekers van Strategy&amp; constateren dat het aandeel </w:t>
      </w:r>
      <w:r w:rsidR="003E6642">
        <w:rPr>
          <w:szCs w:val="18"/>
        </w:rPr>
        <w:t xml:space="preserve">langetermijncontracten </w:t>
      </w:r>
      <w:r>
        <w:rPr>
          <w:szCs w:val="18"/>
        </w:rPr>
        <w:t xml:space="preserve">dat </w:t>
      </w:r>
      <w:r w:rsidR="003E6642">
        <w:rPr>
          <w:szCs w:val="18"/>
        </w:rPr>
        <w:t>word</w:t>
      </w:r>
      <w:r>
        <w:rPr>
          <w:szCs w:val="18"/>
        </w:rPr>
        <w:t>t</w:t>
      </w:r>
      <w:r w:rsidR="003E6642">
        <w:rPr>
          <w:szCs w:val="18"/>
        </w:rPr>
        <w:t xml:space="preserve"> afgesloten door marktpartijen</w:t>
      </w:r>
      <w:r>
        <w:rPr>
          <w:szCs w:val="18"/>
        </w:rPr>
        <w:t xml:space="preserve"> toeneemt</w:t>
      </w:r>
      <w:r w:rsidR="003E6642">
        <w:rPr>
          <w:szCs w:val="18"/>
        </w:rPr>
        <w:t xml:space="preserve">, ook </w:t>
      </w:r>
      <w:r>
        <w:rPr>
          <w:szCs w:val="18"/>
        </w:rPr>
        <w:t>door markt</w:t>
      </w:r>
      <w:r w:rsidR="003E6642">
        <w:rPr>
          <w:szCs w:val="18"/>
        </w:rPr>
        <w:t xml:space="preserve">partijen met afnemers in Nederland die daarvan profiteren. In Europees verband nemen Nederlandse partijen ook actief deel aan het Europese inkoopplatform voor gas (Aggregate EU). Via dit platform kunnen sinds dit jaar ook middellangetermijnproducten worden aangeboden over een periode van vijf jaar. De Europese Commissie doet daarnaast onderzoek </w:t>
      </w:r>
      <w:r w:rsidR="0008785E">
        <w:rPr>
          <w:szCs w:val="18"/>
        </w:rPr>
        <w:t xml:space="preserve">of er bij marktpartijen ook </w:t>
      </w:r>
      <w:r w:rsidR="003E6642">
        <w:rPr>
          <w:szCs w:val="18"/>
        </w:rPr>
        <w:t xml:space="preserve">behoefte </w:t>
      </w:r>
      <w:r w:rsidR="0008785E">
        <w:rPr>
          <w:szCs w:val="18"/>
        </w:rPr>
        <w:t xml:space="preserve">aan bestaat </w:t>
      </w:r>
      <w:r>
        <w:rPr>
          <w:szCs w:val="18"/>
        </w:rPr>
        <w:t>dat via het platform ook producten voor nog langere termijn worden aangeboden</w:t>
      </w:r>
      <w:r w:rsidR="003E6642">
        <w:rPr>
          <w:szCs w:val="18"/>
        </w:rPr>
        <w:t xml:space="preserve"> (Kamerstuk 29023, nr. 494). </w:t>
      </w:r>
    </w:p>
    <w:p w:rsidRPr="00C62F0F" w:rsidR="00205DC2" w:rsidP="000C181E" w:rsidRDefault="00205DC2" w14:paraId="29236B06"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Pr="00C62F0F" w:rsidR="0053540A" w:rsidP="000C181E" w:rsidRDefault="0053540A" w14:paraId="312B66AE"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00AE3FA6" w:rsidP="00AE3FA6" w:rsidRDefault="00AE3FA6" w14:paraId="547DDCC3"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00AE3FA6" w:rsidP="00AE3FA6" w:rsidRDefault="00AE3FA6" w14:paraId="7B8B0F9C"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Pr="00C62F0F" w:rsidR="00AE3FA6" w:rsidP="00AE3FA6" w:rsidRDefault="00AE3FA6" w14:paraId="20E2CDA8" w14:textId="77777777">
      <w:pPr>
        <w:pStyle w:val="paragraph"/>
        <w:spacing w:before="0" w:beforeAutospacing="0" w:after="0" w:afterAutospacing="0" w:line="240" w:lineRule="atLeast"/>
        <w:textAlignment w:val="baseline"/>
        <w:rPr>
          <w:rStyle w:val="normaltextrun"/>
          <w:rFonts w:ascii="Verdana" w:hAnsi="Verdana" w:cs="Segoe UI"/>
          <w:sz w:val="18"/>
          <w:szCs w:val="18"/>
        </w:rPr>
      </w:pPr>
    </w:p>
    <w:p w:rsidRPr="00C62F0F" w:rsidR="0053540A" w:rsidP="000C181E" w:rsidRDefault="0053540A" w14:paraId="31BE27C8" w14:textId="77777777">
      <w:pPr>
        <w:rPr>
          <w:szCs w:val="18"/>
        </w:rPr>
      </w:pPr>
      <w:r w:rsidRPr="00C62F0F">
        <w:rPr>
          <w:szCs w:val="18"/>
        </w:rPr>
        <w:t xml:space="preserve">R.A.A. Jetten </w:t>
      </w:r>
    </w:p>
    <w:p w:rsidR="001C772F" w:rsidP="000C181E" w:rsidRDefault="0053540A" w14:paraId="00C38971" w14:textId="085CCDBF">
      <w:pPr>
        <w:rPr>
          <w:rFonts w:cs="Arial"/>
          <w:color w:val="000000"/>
          <w:szCs w:val="18"/>
        </w:rPr>
      </w:pPr>
      <w:r w:rsidRPr="00C62F0F">
        <w:rPr>
          <w:rFonts w:cs="Arial"/>
          <w:color w:val="000000"/>
          <w:szCs w:val="18"/>
        </w:rPr>
        <w:t>Minister voor Klimaat en Energie</w:t>
      </w:r>
    </w:p>
    <w:sectPr w:rsidR="001C772F" w:rsidSect="00316EBA">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4B3E" w14:textId="77777777" w:rsidR="000C181E" w:rsidRDefault="000C181E">
      <w:r>
        <w:separator/>
      </w:r>
    </w:p>
    <w:p w14:paraId="5C255859" w14:textId="77777777" w:rsidR="000C181E" w:rsidRDefault="000C181E"/>
  </w:endnote>
  <w:endnote w:type="continuationSeparator" w:id="0">
    <w:p w14:paraId="6A7F6BF7" w14:textId="77777777" w:rsidR="000C181E" w:rsidRDefault="000C181E">
      <w:r>
        <w:continuationSeparator/>
      </w:r>
    </w:p>
    <w:p w14:paraId="355DC69C" w14:textId="77777777" w:rsidR="000C181E" w:rsidRDefault="000C181E"/>
  </w:endnote>
  <w:endnote w:type="continuationNotice" w:id="1">
    <w:p w14:paraId="4FF28ED8" w14:textId="77777777" w:rsidR="000C181E" w:rsidRDefault="000C18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E626" w14:textId="77777777" w:rsidR="008B2D39" w:rsidRDefault="008B2D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5A99"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948C3" w14:paraId="527E56A0" w14:textId="77777777" w:rsidTr="00CA6A25">
      <w:trPr>
        <w:trHeight w:hRule="exact" w:val="240"/>
      </w:trPr>
      <w:tc>
        <w:tcPr>
          <w:tcW w:w="7601" w:type="dxa"/>
          <w:shd w:val="clear" w:color="auto" w:fill="auto"/>
        </w:tcPr>
        <w:p w14:paraId="4E845B4D" w14:textId="77777777" w:rsidR="00527BD4" w:rsidRDefault="00527BD4" w:rsidP="003F1F6B">
          <w:pPr>
            <w:pStyle w:val="Huisstijl-Rubricering"/>
          </w:pPr>
        </w:p>
      </w:tc>
      <w:tc>
        <w:tcPr>
          <w:tcW w:w="2156" w:type="dxa"/>
        </w:tcPr>
        <w:p w14:paraId="46AF69E5" w14:textId="7664EA1A" w:rsidR="00527BD4" w:rsidRPr="00645414" w:rsidRDefault="003F66C9"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8B2D39">
            <w:fldChar w:fldCharType="begin"/>
          </w:r>
          <w:r w:rsidR="008B2D39">
            <w:instrText xml:space="preserve"> SECTIONPAGES   \* MERGEFORMAT </w:instrText>
          </w:r>
          <w:r w:rsidR="008B2D39">
            <w:fldChar w:fldCharType="separate"/>
          </w:r>
          <w:r w:rsidR="008B2D39">
            <w:t>7</w:t>
          </w:r>
          <w:r w:rsidR="008B2D39">
            <w:fldChar w:fldCharType="end"/>
          </w:r>
        </w:p>
      </w:tc>
    </w:tr>
  </w:tbl>
  <w:p w14:paraId="53CE0932"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948C3" w14:paraId="00DA91DE" w14:textId="77777777" w:rsidTr="00CA6A25">
      <w:trPr>
        <w:trHeight w:hRule="exact" w:val="240"/>
      </w:trPr>
      <w:tc>
        <w:tcPr>
          <w:tcW w:w="7601" w:type="dxa"/>
          <w:shd w:val="clear" w:color="auto" w:fill="auto"/>
        </w:tcPr>
        <w:p w14:paraId="086AF019" w14:textId="77777777" w:rsidR="00527BD4" w:rsidRDefault="00527BD4" w:rsidP="008C356D">
          <w:pPr>
            <w:pStyle w:val="Huisstijl-Rubricering"/>
          </w:pPr>
        </w:p>
      </w:tc>
      <w:tc>
        <w:tcPr>
          <w:tcW w:w="2170" w:type="dxa"/>
        </w:tcPr>
        <w:p w14:paraId="0989A70F" w14:textId="2FAF16BC" w:rsidR="00527BD4" w:rsidRPr="00ED539E" w:rsidRDefault="003F66C9"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8B2D39">
            <w:fldChar w:fldCharType="begin"/>
          </w:r>
          <w:r w:rsidR="008B2D39">
            <w:instrText xml:space="preserve"> SECTIONPAGES   \* MERGEFORMAT </w:instrText>
          </w:r>
          <w:r w:rsidR="008B2D39">
            <w:fldChar w:fldCharType="separate"/>
          </w:r>
          <w:r w:rsidR="008B2D39">
            <w:t>7</w:t>
          </w:r>
          <w:r w:rsidR="008B2D39">
            <w:fldChar w:fldCharType="end"/>
          </w:r>
        </w:p>
      </w:tc>
    </w:tr>
  </w:tbl>
  <w:p w14:paraId="5C1A9397" w14:textId="77777777" w:rsidR="00527BD4" w:rsidRPr="00BC3B53" w:rsidRDefault="00527BD4" w:rsidP="008C356D">
    <w:pPr>
      <w:pStyle w:val="Voettekst"/>
      <w:spacing w:line="240" w:lineRule="auto"/>
      <w:rPr>
        <w:sz w:val="2"/>
        <w:szCs w:val="2"/>
      </w:rPr>
    </w:pPr>
  </w:p>
  <w:p w14:paraId="029CEC90"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5119" w14:textId="77777777" w:rsidR="000C181E" w:rsidRDefault="000C181E">
      <w:r>
        <w:separator/>
      </w:r>
    </w:p>
    <w:p w14:paraId="3FD221A5" w14:textId="77777777" w:rsidR="000C181E" w:rsidRDefault="000C181E"/>
  </w:footnote>
  <w:footnote w:type="continuationSeparator" w:id="0">
    <w:p w14:paraId="68F65A96" w14:textId="77777777" w:rsidR="000C181E" w:rsidRDefault="000C181E">
      <w:r>
        <w:continuationSeparator/>
      </w:r>
    </w:p>
    <w:p w14:paraId="4DFE0E20" w14:textId="77777777" w:rsidR="000C181E" w:rsidRDefault="000C181E"/>
  </w:footnote>
  <w:footnote w:type="continuationNotice" w:id="1">
    <w:p w14:paraId="146A6B6B" w14:textId="77777777" w:rsidR="000C181E" w:rsidRDefault="000C181E">
      <w:pPr>
        <w:spacing w:line="240" w:lineRule="auto"/>
      </w:pPr>
    </w:p>
  </w:footnote>
  <w:footnote w:id="2">
    <w:p w14:paraId="21BDC75D" w14:textId="77777777" w:rsidR="0053540A" w:rsidRPr="00A867D5" w:rsidRDefault="0053540A" w:rsidP="0053540A">
      <w:pPr>
        <w:pStyle w:val="Voetnoottekst"/>
      </w:pPr>
      <w:r>
        <w:rPr>
          <w:rStyle w:val="Voetnootmarkering"/>
        </w:rPr>
        <w:footnoteRef/>
      </w:r>
      <w:r>
        <w:t xml:space="preserve"> </w:t>
      </w:r>
      <w:r w:rsidRPr="00AF7468">
        <w:t>Kamerstuk 29023, nr. 431</w:t>
      </w:r>
    </w:p>
  </w:footnote>
  <w:footnote w:id="3">
    <w:p w14:paraId="0895EC64" w14:textId="77777777" w:rsidR="0053540A" w:rsidRDefault="0053540A" w:rsidP="0053540A">
      <w:pPr>
        <w:pStyle w:val="Voetnoottekst"/>
      </w:pPr>
      <w:r>
        <w:rPr>
          <w:rStyle w:val="Voetnootmarkering"/>
        </w:rPr>
        <w:footnoteRef/>
      </w:r>
      <w:r>
        <w:t xml:space="preserve"> </w:t>
      </w:r>
      <w:r w:rsidRPr="00AF7468">
        <w:t>Kamerstuk 32813, nr. 1344</w:t>
      </w:r>
    </w:p>
  </w:footnote>
  <w:footnote w:id="4">
    <w:p w14:paraId="1DC84D9A" w14:textId="4FC79013" w:rsidR="00254AEE" w:rsidRDefault="00254AEE">
      <w:pPr>
        <w:pStyle w:val="Voetnoottekst"/>
      </w:pPr>
      <w:r>
        <w:rPr>
          <w:rStyle w:val="Voetnootmarkering"/>
        </w:rPr>
        <w:footnoteRef/>
      </w:r>
      <w:r>
        <w:t xml:space="preserve"> </w:t>
      </w:r>
      <w:r w:rsidRPr="00254AEE">
        <w:t>Kamerstuk 36180, nr.</w:t>
      </w:r>
      <w:r w:rsidR="002B5193">
        <w:t xml:space="preserve"> </w:t>
      </w:r>
      <w:r w:rsidRPr="00254AEE">
        <w:t>1</w:t>
      </w:r>
    </w:p>
  </w:footnote>
  <w:footnote w:id="5">
    <w:p w14:paraId="1290BF37" w14:textId="349C43AE" w:rsidR="0053540A" w:rsidRPr="00D95A29" w:rsidRDefault="0053540A" w:rsidP="0053540A">
      <w:pPr>
        <w:pStyle w:val="Voetnoottekst"/>
      </w:pPr>
      <w:r w:rsidRPr="00D95A29">
        <w:rPr>
          <w:rStyle w:val="Voetnootmarkering"/>
        </w:rPr>
        <w:footnoteRef/>
      </w:r>
      <w:r w:rsidRPr="00D95A29">
        <w:t xml:space="preserve"> </w:t>
      </w:r>
      <w:r w:rsidR="00A27B57" w:rsidRPr="00D95A29">
        <w:t>Z</w:t>
      </w:r>
      <w:r w:rsidRPr="00D95A29">
        <w:t xml:space="preserve">ie o.a. IEA Global Hydrogen Review, september 2023 en de IEA Hydrogen Projects Database </w:t>
      </w:r>
    </w:p>
  </w:footnote>
  <w:footnote w:id="6">
    <w:p w14:paraId="14B1FFBE" w14:textId="57617380" w:rsidR="00424355" w:rsidRDefault="00424355">
      <w:pPr>
        <w:pStyle w:val="Voetnoottekst"/>
      </w:pPr>
      <w:r w:rsidRPr="00D95A29">
        <w:rPr>
          <w:rStyle w:val="Voetnootmarkering"/>
        </w:rPr>
        <w:footnoteRef/>
      </w:r>
      <w:r w:rsidRPr="00D95A29">
        <w:t xml:space="preserve"> </w:t>
      </w:r>
      <w:r w:rsidR="00D95A29" w:rsidRPr="00D95A29">
        <w:t>IEA (2024), Northwest European Hydrogen Monitor 2024, IEA, Paris https://www.iea.org/reports/northwest-european-hydrogen-monitor-2024</w:t>
      </w:r>
    </w:p>
  </w:footnote>
  <w:footnote w:id="7">
    <w:p w14:paraId="4C3B74C1" w14:textId="024C9A49" w:rsidR="005A656B" w:rsidRPr="0055347F" w:rsidRDefault="005A656B">
      <w:pPr>
        <w:pStyle w:val="Voetnoottekst"/>
        <w:rPr>
          <w:lang w:val="en-US"/>
        </w:rPr>
      </w:pPr>
      <w:r>
        <w:rPr>
          <w:rStyle w:val="Voetnootmarkering"/>
        </w:rPr>
        <w:footnoteRef/>
      </w:r>
      <w:r w:rsidRPr="0055347F">
        <w:rPr>
          <w:lang w:val="en-US"/>
        </w:rPr>
        <w:t xml:space="preserve"> Kamerstuk 32813</w:t>
      </w:r>
      <w:r w:rsidR="00AE3FA6">
        <w:rPr>
          <w:lang w:val="en-US"/>
        </w:rPr>
        <w:t>,</w:t>
      </w:r>
      <w:r w:rsidRPr="0055347F">
        <w:rPr>
          <w:lang w:val="en-US"/>
        </w:rPr>
        <w:t xml:space="preserve"> nr. 1192</w:t>
      </w:r>
    </w:p>
  </w:footnote>
  <w:footnote w:id="8">
    <w:p w14:paraId="560465D7" w14:textId="77777777" w:rsidR="0053540A" w:rsidRPr="001D47A8" w:rsidRDefault="0053540A" w:rsidP="0053540A">
      <w:pPr>
        <w:pStyle w:val="Voetnoottekst"/>
        <w:rPr>
          <w:lang w:val="en-US"/>
        </w:rPr>
      </w:pPr>
      <w:r>
        <w:rPr>
          <w:rStyle w:val="Voetnootmarkering"/>
        </w:rPr>
        <w:footnoteRef/>
      </w:r>
      <w:r w:rsidRPr="001D47A8">
        <w:rPr>
          <w:lang w:val="en-US"/>
        </w:rPr>
        <w:t xml:space="preserve"> Kamerstuk 29826, nr. 196</w:t>
      </w:r>
    </w:p>
  </w:footnote>
  <w:footnote w:id="9">
    <w:p w14:paraId="01C3C02D" w14:textId="77777777" w:rsidR="0053540A" w:rsidRPr="004F3952" w:rsidRDefault="0053540A" w:rsidP="0053540A">
      <w:pPr>
        <w:pStyle w:val="Voetnoottekst"/>
        <w:rPr>
          <w:lang w:val="en-US"/>
        </w:rPr>
      </w:pPr>
      <w:r>
        <w:rPr>
          <w:rStyle w:val="Voetnootmarkering"/>
        </w:rPr>
        <w:footnoteRef/>
      </w:r>
      <w:r w:rsidRPr="004F3952">
        <w:rPr>
          <w:lang w:val="en-US"/>
        </w:rPr>
        <w:t xml:space="preserve"> </w:t>
      </w:r>
      <w:hyperlink r:id="rId1" w:anchor=":~:text=The%20bids%20will%20be%20ranked,November%202024%20at%20the%20latest." w:history="1">
        <w:r w:rsidRPr="004F3952">
          <w:rPr>
            <w:rStyle w:val="Hyperlink"/>
            <w:lang w:val="en-US"/>
          </w:rPr>
          <w:t>European Hydrogen Bank pilot auction: 132 bids received from 17 European countries - European Commission (europa.eu)</w:t>
        </w:r>
      </w:hyperlink>
    </w:p>
  </w:footnote>
  <w:footnote w:id="10">
    <w:p w14:paraId="4EF60B27" w14:textId="07584F75" w:rsidR="0002350D" w:rsidRDefault="0002350D">
      <w:pPr>
        <w:pStyle w:val="Voetnoottekst"/>
      </w:pPr>
      <w:r>
        <w:rPr>
          <w:rStyle w:val="Voetnootmarkering"/>
        </w:rPr>
        <w:footnoteRef/>
      </w:r>
      <w:r>
        <w:t xml:space="preserve"> Zie Kamerstuk 29023, nr. 446 en nr. 496.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368" w14:textId="77777777" w:rsidR="008B2D39" w:rsidRDefault="008B2D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948C3" w14:paraId="0E83BEE5" w14:textId="77777777" w:rsidTr="00A50CF6">
      <w:tc>
        <w:tcPr>
          <w:tcW w:w="2156" w:type="dxa"/>
          <w:shd w:val="clear" w:color="auto" w:fill="auto"/>
        </w:tcPr>
        <w:p w14:paraId="61477C98" w14:textId="77777777" w:rsidR="00527BD4" w:rsidRPr="005819CE" w:rsidRDefault="003F66C9" w:rsidP="00A50CF6">
          <w:pPr>
            <w:pStyle w:val="Huisstijl-Adres"/>
            <w:rPr>
              <w:b/>
            </w:rPr>
          </w:pPr>
          <w:r>
            <w:rPr>
              <w:b/>
            </w:rPr>
            <w:t>Directie Europese en Internationale Zaken</w:t>
          </w:r>
          <w:r w:rsidRPr="005819CE">
            <w:rPr>
              <w:b/>
            </w:rPr>
            <w:br/>
          </w:r>
        </w:p>
      </w:tc>
    </w:tr>
    <w:tr w:rsidR="002948C3" w14:paraId="60A2F2A1" w14:textId="77777777" w:rsidTr="00A50CF6">
      <w:trPr>
        <w:trHeight w:hRule="exact" w:val="200"/>
      </w:trPr>
      <w:tc>
        <w:tcPr>
          <w:tcW w:w="2156" w:type="dxa"/>
          <w:shd w:val="clear" w:color="auto" w:fill="auto"/>
        </w:tcPr>
        <w:p w14:paraId="6F3F0B57" w14:textId="77777777" w:rsidR="00527BD4" w:rsidRPr="005819CE" w:rsidRDefault="00527BD4" w:rsidP="00A50CF6"/>
      </w:tc>
    </w:tr>
    <w:tr w:rsidR="002948C3" w14:paraId="60AD13AC" w14:textId="77777777" w:rsidTr="00502512">
      <w:trPr>
        <w:trHeight w:hRule="exact" w:val="774"/>
      </w:trPr>
      <w:tc>
        <w:tcPr>
          <w:tcW w:w="2156" w:type="dxa"/>
          <w:shd w:val="clear" w:color="auto" w:fill="auto"/>
        </w:tcPr>
        <w:p w14:paraId="6642E539" w14:textId="77777777" w:rsidR="00527BD4" w:rsidRDefault="003F66C9" w:rsidP="003A5290">
          <w:pPr>
            <w:pStyle w:val="Huisstijl-Kopje"/>
          </w:pPr>
          <w:r>
            <w:t>Ons kenmerk</w:t>
          </w:r>
        </w:p>
        <w:p w14:paraId="2F60BAA3" w14:textId="77777777" w:rsidR="00502512" w:rsidRPr="00502512" w:rsidRDefault="003F66C9"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52311034</w:t>
              </w:r>
              <w:r w:rsidR="00721AE1">
                <w:rPr>
                  <w:b w:val="0"/>
                </w:rPr>
                <w:fldChar w:fldCharType="end"/>
              </w:r>
            </w:sdtContent>
          </w:sdt>
        </w:p>
        <w:p w14:paraId="2CE4CD84" w14:textId="77777777" w:rsidR="00527BD4" w:rsidRPr="005819CE" w:rsidRDefault="00527BD4" w:rsidP="00361A56">
          <w:pPr>
            <w:pStyle w:val="Huisstijl-Kopje"/>
          </w:pPr>
        </w:p>
      </w:tc>
    </w:tr>
  </w:tbl>
  <w:p w14:paraId="6AD89BB4" w14:textId="77777777" w:rsidR="00527BD4" w:rsidRDefault="00527BD4" w:rsidP="008C356D">
    <w:pPr>
      <w:pStyle w:val="Koptekst"/>
      <w:rPr>
        <w:rFonts w:cs="Verdana-Bold"/>
        <w:b/>
        <w:bCs/>
        <w:smallCaps/>
        <w:szCs w:val="18"/>
      </w:rPr>
    </w:pPr>
  </w:p>
  <w:p w14:paraId="12DA29A7" w14:textId="77777777" w:rsidR="00527BD4" w:rsidRDefault="00527BD4" w:rsidP="008C356D"/>
  <w:p w14:paraId="567C9673" w14:textId="77777777" w:rsidR="00527BD4" w:rsidRPr="00740712" w:rsidRDefault="00527BD4" w:rsidP="008C356D"/>
  <w:p w14:paraId="04A4AF1E" w14:textId="77777777" w:rsidR="00527BD4" w:rsidRPr="00217880" w:rsidRDefault="00527BD4" w:rsidP="008C356D">
    <w:pPr>
      <w:spacing w:line="0" w:lineRule="atLeast"/>
      <w:rPr>
        <w:sz w:val="2"/>
        <w:szCs w:val="2"/>
      </w:rPr>
    </w:pPr>
  </w:p>
  <w:p w14:paraId="3CDED69C" w14:textId="77777777" w:rsidR="00527BD4" w:rsidRDefault="00527BD4" w:rsidP="004F44C2">
    <w:pPr>
      <w:pStyle w:val="Koptekst"/>
      <w:rPr>
        <w:rFonts w:cs="Verdana-Bold"/>
        <w:b/>
        <w:bCs/>
        <w:smallCaps/>
        <w:szCs w:val="18"/>
      </w:rPr>
    </w:pPr>
  </w:p>
  <w:p w14:paraId="4BDBE7CD" w14:textId="77777777" w:rsidR="00527BD4" w:rsidRDefault="00527BD4" w:rsidP="004F44C2"/>
  <w:p w14:paraId="4E58881A" w14:textId="77777777" w:rsidR="00527BD4" w:rsidRPr="00740712" w:rsidRDefault="00527BD4" w:rsidP="004F44C2"/>
  <w:p w14:paraId="356A251D"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2948C3" w14:paraId="0DB8D7AB" w14:textId="77777777" w:rsidTr="00751A6A">
      <w:trPr>
        <w:trHeight w:val="2636"/>
      </w:trPr>
      <w:tc>
        <w:tcPr>
          <w:tcW w:w="737" w:type="dxa"/>
          <w:shd w:val="clear" w:color="auto" w:fill="auto"/>
        </w:tcPr>
        <w:p w14:paraId="19FE9D9A"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7F0E5B3" w14:textId="77777777" w:rsidR="00527BD4" w:rsidRDefault="003F66C9" w:rsidP="00651CEE">
          <w:pPr>
            <w:rPr>
              <w:szCs w:val="18"/>
            </w:rPr>
          </w:pPr>
          <w:r>
            <w:rPr>
              <w:noProof/>
              <w:szCs w:val="18"/>
            </w:rPr>
            <w:drawing>
              <wp:inline distT="0" distB="0" distL="0" distR="0" wp14:anchorId="179581C1" wp14:editId="5D9F92D7">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FA8EC2D" w14:textId="77777777" w:rsidR="00F034D8" w:rsidRDefault="00F034D8" w:rsidP="00F034D8">
          <w:pPr>
            <w:rPr>
              <w:szCs w:val="18"/>
            </w:rPr>
          </w:pPr>
        </w:p>
        <w:p w14:paraId="1E79669F" w14:textId="77777777" w:rsidR="00E2409C" w:rsidRDefault="00E2409C"/>
        <w:p w14:paraId="3262A74C" w14:textId="77777777" w:rsidR="007269E3" w:rsidRDefault="007269E3" w:rsidP="00651CEE">
          <w:pPr>
            <w:framePr w:w="6340" w:h="2750" w:hRule="exact" w:hSpace="180" w:wrap="around" w:vAnchor="page" w:hAnchor="text" w:x="3873" w:y="-140"/>
            <w:spacing w:line="240" w:lineRule="auto"/>
          </w:pPr>
        </w:p>
      </w:tc>
    </w:tr>
  </w:tbl>
  <w:p w14:paraId="0736726C" w14:textId="77777777" w:rsidR="00527BD4" w:rsidRDefault="00527BD4" w:rsidP="00D0609E">
    <w:pPr>
      <w:framePr w:w="6340" w:h="2750" w:hRule="exact" w:hSpace="180" w:wrap="around" w:vAnchor="page" w:hAnchor="text" w:x="3873" w:y="-140"/>
    </w:pPr>
  </w:p>
  <w:p w14:paraId="4ED04EA8"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948C3" w14:paraId="5848779C" w14:textId="77777777" w:rsidTr="00A50CF6">
      <w:tc>
        <w:tcPr>
          <w:tcW w:w="2160" w:type="dxa"/>
          <w:shd w:val="clear" w:color="auto" w:fill="auto"/>
        </w:tcPr>
        <w:p w14:paraId="2866706E" w14:textId="77777777" w:rsidR="00527BD4" w:rsidRPr="005819CE" w:rsidRDefault="003F66C9" w:rsidP="00A50CF6">
          <w:pPr>
            <w:pStyle w:val="Huisstijl-Adres"/>
            <w:rPr>
              <w:b/>
            </w:rPr>
          </w:pPr>
          <w:r>
            <w:rPr>
              <w:b/>
            </w:rPr>
            <w:t>Directie Europese en Internationale Zaken</w:t>
          </w:r>
          <w:r w:rsidRPr="005819CE">
            <w:rPr>
              <w:b/>
            </w:rPr>
            <w:br/>
          </w:r>
        </w:p>
        <w:p w14:paraId="7CF3E6ED" w14:textId="77777777" w:rsidR="00527BD4" w:rsidRPr="00BE5ED9" w:rsidRDefault="003F66C9" w:rsidP="00A50CF6">
          <w:pPr>
            <w:pStyle w:val="Huisstijl-Adres"/>
          </w:pPr>
          <w:r>
            <w:rPr>
              <w:b/>
            </w:rPr>
            <w:t>Bezoekadres</w:t>
          </w:r>
          <w:r>
            <w:rPr>
              <w:b/>
            </w:rPr>
            <w:br/>
          </w:r>
          <w:r>
            <w:t>Bezuidenhoutseweg 73</w:t>
          </w:r>
          <w:r w:rsidRPr="005819CE">
            <w:br/>
          </w:r>
          <w:r>
            <w:t>2594 AC Den Haag</w:t>
          </w:r>
        </w:p>
        <w:p w14:paraId="33EF106E" w14:textId="77777777" w:rsidR="00EF495B" w:rsidRDefault="003F66C9" w:rsidP="0098788A">
          <w:pPr>
            <w:pStyle w:val="Huisstijl-Adres"/>
          </w:pPr>
          <w:r>
            <w:rPr>
              <w:b/>
            </w:rPr>
            <w:t>Postadres</w:t>
          </w:r>
          <w:r>
            <w:rPr>
              <w:b/>
            </w:rPr>
            <w:br/>
          </w:r>
          <w:r>
            <w:t>Postbus 20401</w:t>
          </w:r>
          <w:r w:rsidRPr="005819CE">
            <w:br/>
            <w:t>2500 E</w:t>
          </w:r>
          <w:r>
            <w:t>K</w:t>
          </w:r>
          <w:r w:rsidRPr="005819CE">
            <w:t xml:space="preserve"> Den Haag</w:t>
          </w:r>
        </w:p>
        <w:p w14:paraId="75560906" w14:textId="77777777" w:rsidR="00EF495B" w:rsidRPr="005B3814" w:rsidRDefault="003F66C9" w:rsidP="0098788A">
          <w:pPr>
            <w:pStyle w:val="Huisstijl-Adres"/>
          </w:pPr>
          <w:r>
            <w:rPr>
              <w:b/>
            </w:rPr>
            <w:t>Overheidsidentificatienr</w:t>
          </w:r>
          <w:r>
            <w:rPr>
              <w:b/>
            </w:rPr>
            <w:br/>
          </w:r>
          <w:r w:rsidRPr="005B3814">
            <w:t>00000001003214369000</w:t>
          </w:r>
        </w:p>
        <w:p w14:paraId="3FE8927C" w14:textId="2584F1C0" w:rsidR="00527BD4" w:rsidRPr="00BF0C85" w:rsidRDefault="003F66C9"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2948C3" w14:paraId="75AB05F6" w14:textId="77777777" w:rsidTr="00A50CF6">
      <w:trPr>
        <w:trHeight w:hRule="exact" w:val="200"/>
      </w:trPr>
      <w:tc>
        <w:tcPr>
          <w:tcW w:w="2160" w:type="dxa"/>
          <w:shd w:val="clear" w:color="auto" w:fill="auto"/>
        </w:tcPr>
        <w:p w14:paraId="6F219055" w14:textId="77777777" w:rsidR="00527BD4" w:rsidRPr="005819CE" w:rsidRDefault="00527BD4" w:rsidP="00A50CF6"/>
      </w:tc>
    </w:tr>
    <w:tr w:rsidR="002948C3" w14:paraId="1F16D258" w14:textId="77777777" w:rsidTr="00A50CF6">
      <w:tc>
        <w:tcPr>
          <w:tcW w:w="2160" w:type="dxa"/>
          <w:shd w:val="clear" w:color="auto" w:fill="auto"/>
        </w:tcPr>
        <w:p w14:paraId="3D109C96" w14:textId="77777777" w:rsidR="000C0163" w:rsidRPr="005819CE" w:rsidRDefault="003F66C9" w:rsidP="000C0163">
          <w:pPr>
            <w:pStyle w:val="Huisstijl-Kopje"/>
          </w:pPr>
          <w:r>
            <w:t>Ons kenmerk</w:t>
          </w:r>
          <w:r w:rsidRPr="005819CE">
            <w:t xml:space="preserve"> </w:t>
          </w:r>
        </w:p>
        <w:p w14:paraId="415407D3" w14:textId="77777777" w:rsidR="000C0163" w:rsidRPr="005819CE" w:rsidRDefault="003F66C9" w:rsidP="000C0163">
          <w:pPr>
            <w:pStyle w:val="Huisstijl-Gegeven"/>
          </w:pPr>
          <w:r>
            <w:t>DEIZ</w:t>
          </w:r>
          <w:r w:rsidR="00926AE2">
            <w:t xml:space="preserve"> / </w:t>
          </w:r>
          <w:r>
            <w:t>52311034</w:t>
          </w:r>
        </w:p>
        <w:p w14:paraId="2D56E6C7" w14:textId="77777777" w:rsidR="00527BD4" w:rsidRDefault="003F66C9" w:rsidP="0053540A">
          <w:pPr>
            <w:pStyle w:val="Huisstijl-Kopje"/>
          </w:pPr>
          <w:r>
            <w:t>Bijlage(n)</w:t>
          </w:r>
        </w:p>
        <w:p w14:paraId="05FEE7FF" w14:textId="42DB7C10" w:rsidR="00F92122" w:rsidRPr="005819CE" w:rsidRDefault="008A0BF4" w:rsidP="0053540A">
          <w:pPr>
            <w:pStyle w:val="Huisstijl-Kopje"/>
          </w:pPr>
          <w:r>
            <w:rPr>
              <w:b w:val="0"/>
              <w:bCs/>
            </w:rPr>
            <w:t>4</w:t>
          </w:r>
        </w:p>
      </w:tc>
    </w:tr>
  </w:tbl>
  <w:p w14:paraId="49902FFE"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948C3" w:rsidRPr="0002350D" w14:paraId="50FD75AA" w14:textId="77777777" w:rsidTr="007610AA">
      <w:trPr>
        <w:trHeight w:val="400"/>
      </w:trPr>
      <w:tc>
        <w:tcPr>
          <w:tcW w:w="7520" w:type="dxa"/>
          <w:gridSpan w:val="2"/>
          <w:shd w:val="clear" w:color="auto" w:fill="auto"/>
        </w:tcPr>
        <w:p w14:paraId="3B8DFBB0" w14:textId="77777777" w:rsidR="00527BD4" w:rsidRPr="005224A4" w:rsidRDefault="003F66C9" w:rsidP="00A50CF6">
          <w:pPr>
            <w:pStyle w:val="Huisstijl-Retouradres"/>
            <w:rPr>
              <w:lang w:val="de-DE"/>
            </w:rPr>
          </w:pPr>
          <w:r w:rsidRPr="005224A4">
            <w:rPr>
              <w:lang w:val="de-DE"/>
            </w:rPr>
            <w:t>&gt; Retouradres Postbus 20401 2500 EK Den Haag</w:t>
          </w:r>
        </w:p>
      </w:tc>
    </w:tr>
    <w:tr w:rsidR="002948C3" w:rsidRPr="0002350D" w14:paraId="29EEE151" w14:textId="77777777" w:rsidTr="007610AA">
      <w:tc>
        <w:tcPr>
          <w:tcW w:w="7520" w:type="dxa"/>
          <w:gridSpan w:val="2"/>
          <w:shd w:val="clear" w:color="auto" w:fill="auto"/>
        </w:tcPr>
        <w:p w14:paraId="2697D5B9" w14:textId="77777777" w:rsidR="00527BD4" w:rsidRPr="005224A4" w:rsidRDefault="00527BD4" w:rsidP="00A50CF6">
          <w:pPr>
            <w:pStyle w:val="Huisstijl-Rubricering"/>
            <w:rPr>
              <w:lang w:val="de-DE"/>
            </w:rPr>
          </w:pPr>
        </w:p>
      </w:tc>
    </w:tr>
    <w:tr w:rsidR="002948C3" w14:paraId="4CCF9DA1" w14:textId="77777777" w:rsidTr="007610AA">
      <w:trPr>
        <w:trHeight w:hRule="exact" w:val="2440"/>
      </w:trPr>
      <w:tc>
        <w:tcPr>
          <w:tcW w:w="7520" w:type="dxa"/>
          <w:gridSpan w:val="2"/>
          <w:shd w:val="clear" w:color="auto" w:fill="auto"/>
        </w:tcPr>
        <w:p w14:paraId="5F35F18F" w14:textId="77777777" w:rsidR="00AE3FA6" w:rsidRPr="008F06CE" w:rsidRDefault="00DC0C0B" w:rsidP="001A5D6F">
          <w:pPr>
            <w:tabs>
              <w:tab w:val="left" w:pos="5580"/>
            </w:tabs>
            <w:rPr>
              <w:szCs w:val="18"/>
            </w:rPr>
          </w:pPr>
          <w:r>
            <w:t>De Voorzitter van de Tweede Kamer</w:t>
          </w:r>
        </w:p>
        <w:p w14:paraId="3C38365D" w14:textId="0D9D15DD" w:rsidR="00DC0C0B" w:rsidRDefault="00DC0C0B" w:rsidP="000C181E">
          <w:pPr>
            <w:tabs>
              <w:tab w:val="left" w:pos="5580"/>
            </w:tabs>
          </w:pPr>
          <w:r>
            <w:t>der Staten-Generaal</w:t>
          </w:r>
        </w:p>
        <w:p w14:paraId="538A503F" w14:textId="77777777" w:rsidR="00DC0C0B" w:rsidRDefault="00DC0C0B" w:rsidP="000C181E">
          <w:pPr>
            <w:tabs>
              <w:tab w:val="left" w:pos="5580"/>
            </w:tabs>
          </w:pPr>
          <w:r>
            <w:t>Prinses Irenestraat 6</w:t>
          </w:r>
        </w:p>
        <w:p w14:paraId="4C46A25D" w14:textId="71A96CF5" w:rsidR="00DC0C0B" w:rsidRDefault="00DC0C0B" w:rsidP="00DC0C0B">
          <w:pPr>
            <w:pStyle w:val="Huisstijl-NAW"/>
          </w:pPr>
          <w:r>
            <w:t xml:space="preserve">2595 BD </w:t>
          </w:r>
          <w:r w:rsidR="00AE3FA6" w:rsidRPr="000F5C1D">
            <w:t xml:space="preserve"> </w:t>
          </w:r>
          <w:r>
            <w:t>DEN HAAG</w:t>
          </w:r>
        </w:p>
      </w:tc>
    </w:tr>
    <w:tr w:rsidR="002948C3" w14:paraId="2F080E3F" w14:textId="77777777" w:rsidTr="007610AA">
      <w:trPr>
        <w:trHeight w:hRule="exact" w:val="400"/>
      </w:trPr>
      <w:tc>
        <w:tcPr>
          <w:tcW w:w="7520" w:type="dxa"/>
          <w:gridSpan w:val="2"/>
          <w:shd w:val="clear" w:color="auto" w:fill="auto"/>
        </w:tcPr>
        <w:p w14:paraId="53DF0D2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2948C3" w14:paraId="2C8B079E" w14:textId="77777777" w:rsidTr="007610AA">
      <w:trPr>
        <w:trHeight w:val="240"/>
      </w:trPr>
      <w:tc>
        <w:tcPr>
          <w:tcW w:w="900" w:type="dxa"/>
          <w:shd w:val="clear" w:color="auto" w:fill="auto"/>
        </w:tcPr>
        <w:p w14:paraId="63175D81" w14:textId="77777777" w:rsidR="00527BD4" w:rsidRPr="007709EF" w:rsidRDefault="003F66C9" w:rsidP="00A50CF6">
          <w:pPr>
            <w:rPr>
              <w:szCs w:val="18"/>
            </w:rPr>
          </w:pPr>
          <w:r>
            <w:rPr>
              <w:szCs w:val="18"/>
            </w:rPr>
            <w:t>Datum</w:t>
          </w:r>
        </w:p>
      </w:tc>
      <w:tc>
        <w:tcPr>
          <w:tcW w:w="6620" w:type="dxa"/>
          <w:shd w:val="clear" w:color="auto" w:fill="auto"/>
        </w:tcPr>
        <w:p w14:paraId="126AF6CE" w14:textId="03DC551A" w:rsidR="00527BD4" w:rsidRPr="007709EF" w:rsidRDefault="008B2D39" w:rsidP="00A50CF6">
          <w:r>
            <w:t>8 mei 2024</w:t>
          </w:r>
        </w:p>
      </w:tc>
    </w:tr>
    <w:tr w:rsidR="002948C3" w14:paraId="1447DC3A" w14:textId="77777777" w:rsidTr="007610AA">
      <w:trPr>
        <w:trHeight w:val="240"/>
      </w:trPr>
      <w:tc>
        <w:tcPr>
          <w:tcW w:w="900" w:type="dxa"/>
          <w:shd w:val="clear" w:color="auto" w:fill="auto"/>
        </w:tcPr>
        <w:p w14:paraId="6CAFF683" w14:textId="77777777" w:rsidR="00527BD4" w:rsidRPr="007709EF" w:rsidRDefault="003F66C9" w:rsidP="00A50CF6">
          <w:pPr>
            <w:rPr>
              <w:szCs w:val="18"/>
            </w:rPr>
          </w:pPr>
          <w:r>
            <w:rPr>
              <w:szCs w:val="18"/>
            </w:rPr>
            <w:t>Betreft</w:t>
          </w:r>
        </w:p>
      </w:tc>
      <w:tc>
        <w:tcPr>
          <w:tcW w:w="6620" w:type="dxa"/>
          <w:shd w:val="clear" w:color="auto" w:fill="auto"/>
        </w:tcPr>
        <w:p w14:paraId="3590EFAF" w14:textId="1E5B28CE" w:rsidR="00527BD4" w:rsidRPr="007709EF" w:rsidRDefault="003F66C9" w:rsidP="00A50CF6">
          <w:r>
            <w:t xml:space="preserve">Kamerbrief inzake energiediplomatie en </w:t>
          </w:r>
          <w:r w:rsidR="005352F9">
            <w:t>m</w:t>
          </w:r>
          <w:r>
            <w:t>otie Erkens</w:t>
          </w:r>
        </w:p>
      </w:tc>
    </w:tr>
  </w:tbl>
  <w:p w14:paraId="23D853C5"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C598FE1E">
      <w:start w:val="1"/>
      <w:numFmt w:val="bullet"/>
      <w:pStyle w:val="Lijstopsomteken"/>
      <w:lvlText w:val="•"/>
      <w:lvlJc w:val="left"/>
      <w:pPr>
        <w:tabs>
          <w:tab w:val="num" w:pos="227"/>
        </w:tabs>
        <w:ind w:left="227" w:hanging="227"/>
      </w:pPr>
      <w:rPr>
        <w:rFonts w:ascii="Verdana" w:hAnsi="Verdana" w:hint="default"/>
        <w:sz w:val="18"/>
        <w:szCs w:val="18"/>
      </w:rPr>
    </w:lvl>
    <w:lvl w:ilvl="1" w:tplc="8BD6F5C4" w:tentative="1">
      <w:start w:val="1"/>
      <w:numFmt w:val="bullet"/>
      <w:lvlText w:val="o"/>
      <w:lvlJc w:val="left"/>
      <w:pPr>
        <w:tabs>
          <w:tab w:val="num" w:pos="1440"/>
        </w:tabs>
        <w:ind w:left="1440" w:hanging="360"/>
      </w:pPr>
      <w:rPr>
        <w:rFonts w:ascii="Courier New" w:hAnsi="Courier New" w:cs="Courier New" w:hint="default"/>
      </w:rPr>
    </w:lvl>
    <w:lvl w:ilvl="2" w:tplc="F2C04252" w:tentative="1">
      <w:start w:val="1"/>
      <w:numFmt w:val="bullet"/>
      <w:lvlText w:val=""/>
      <w:lvlJc w:val="left"/>
      <w:pPr>
        <w:tabs>
          <w:tab w:val="num" w:pos="2160"/>
        </w:tabs>
        <w:ind w:left="2160" w:hanging="360"/>
      </w:pPr>
      <w:rPr>
        <w:rFonts w:ascii="Wingdings" w:hAnsi="Wingdings" w:hint="default"/>
      </w:rPr>
    </w:lvl>
    <w:lvl w:ilvl="3" w:tplc="9CD8AF84" w:tentative="1">
      <w:start w:val="1"/>
      <w:numFmt w:val="bullet"/>
      <w:lvlText w:val=""/>
      <w:lvlJc w:val="left"/>
      <w:pPr>
        <w:tabs>
          <w:tab w:val="num" w:pos="2880"/>
        </w:tabs>
        <w:ind w:left="2880" w:hanging="360"/>
      </w:pPr>
      <w:rPr>
        <w:rFonts w:ascii="Symbol" w:hAnsi="Symbol" w:hint="default"/>
      </w:rPr>
    </w:lvl>
    <w:lvl w:ilvl="4" w:tplc="DED66AC8" w:tentative="1">
      <w:start w:val="1"/>
      <w:numFmt w:val="bullet"/>
      <w:lvlText w:val="o"/>
      <w:lvlJc w:val="left"/>
      <w:pPr>
        <w:tabs>
          <w:tab w:val="num" w:pos="3600"/>
        </w:tabs>
        <w:ind w:left="3600" w:hanging="360"/>
      </w:pPr>
      <w:rPr>
        <w:rFonts w:ascii="Courier New" w:hAnsi="Courier New" w:cs="Courier New" w:hint="default"/>
      </w:rPr>
    </w:lvl>
    <w:lvl w:ilvl="5" w:tplc="DA684584" w:tentative="1">
      <w:start w:val="1"/>
      <w:numFmt w:val="bullet"/>
      <w:lvlText w:val=""/>
      <w:lvlJc w:val="left"/>
      <w:pPr>
        <w:tabs>
          <w:tab w:val="num" w:pos="4320"/>
        </w:tabs>
        <w:ind w:left="4320" w:hanging="360"/>
      </w:pPr>
      <w:rPr>
        <w:rFonts w:ascii="Wingdings" w:hAnsi="Wingdings" w:hint="default"/>
      </w:rPr>
    </w:lvl>
    <w:lvl w:ilvl="6" w:tplc="6CAC83DE" w:tentative="1">
      <w:start w:val="1"/>
      <w:numFmt w:val="bullet"/>
      <w:lvlText w:val=""/>
      <w:lvlJc w:val="left"/>
      <w:pPr>
        <w:tabs>
          <w:tab w:val="num" w:pos="5040"/>
        </w:tabs>
        <w:ind w:left="5040" w:hanging="360"/>
      </w:pPr>
      <w:rPr>
        <w:rFonts w:ascii="Symbol" w:hAnsi="Symbol" w:hint="default"/>
      </w:rPr>
    </w:lvl>
    <w:lvl w:ilvl="7" w:tplc="76D0A15C" w:tentative="1">
      <w:start w:val="1"/>
      <w:numFmt w:val="bullet"/>
      <w:lvlText w:val="o"/>
      <w:lvlJc w:val="left"/>
      <w:pPr>
        <w:tabs>
          <w:tab w:val="num" w:pos="5760"/>
        </w:tabs>
        <w:ind w:left="5760" w:hanging="360"/>
      </w:pPr>
      <w:rPr>
        <w:rFonts w:ascii="Courier New" w:hAnsi="Courier New" w:cs="Courier New" w:hint="default"/>
      </w:rPr>
    </w:lvl>
    <w:lvl w:ilvl="8" w:tplc="B16E5D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F14D36"/>
    <w:multiLevelType w:val="hybridMultilevel"/>
    <w:tmpl w:val="FAA04DF6"/>
    <w:lvl w:ilvl="0" w:tplc="13F27D8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95CBA"/>
    <w:multiLevelType w:val="hybridMultilevel"/>
    <w:tmpl w:val="4FFCE682"/>
    <w:lvl w:ilvl="0" w:tplc="97E6F3FA">
      <w:start w:val="1"/>
      <w:numFmt w:val="bullet"/>
      <w:lvlText w:val=""/>
      <w:lvlJc w:val="left"/>
      <w:pPr>
        <w:ind w:left="1440" w:hanging="360"/>
      </w:pPr>
      <w:rPr>
        <w:rFonts w:ascii="Symbol" w:hAnsi="Symbol"/>
      </w:rPr>
    </w:lvl>
    <w:lvl w:ilvl="1" w:tplc="77821E96">
      <w:start w:val="1"/>
      <w:numFmt w:val="bullet"/>
      <w:lvlText w:val=""/>
      <w:lvlJc w:val="left"/>
      <w:pPr>
        <w:ind w:left="1440" w:hanging="360"/>
      </w:pPr>
      <w:rPr>
        <w:rFonts w:ascii="Symbol" w:hAnsi="Symbol"/>
      </w:rPr>
    </w:lvl>
    <w:lvl w:ilvl="2" w:tplc="A388411C">
      <w:start w:val="1"/>
      <w:numFmt w:val="bullet"/>
      <w:lvlText w:val=""/>
      <w:lvlJc w:val="left"/>
      <w:pPr>
        <w:ind w:left="1440" w:hanging="360"/>
      </w:pPr>
      <w:rPr>
        <w:rFonts w:ascii="Symbol" w:hAnsi="Symbol"/>
      </w:rPr>
    </w:lvl>
    <w:lvl w:ilvl="3" w:tplc="4B3472F6">
      <w:start w:val="1"/>
      <w:numFmt w:val="bullet"/>
      <w:lvlText w:val=""/>
      <w:lvlJc w:val="left"/>
      <w:pPr>
        <w:ind w:left="1440" w:hanging="360"/>
      </w:pPr>
      <w:rPr>
        <w:rFonts w:ascii="Symbol" w:hAnsi="Symbol"/>
      </w:rPr>
    </w:lvl>
    <w:lvl w:ilvl="4" w:tplc="C6E4C730">
      <w:start w:val="1"/>
      <w:numFmt w:val="bullet"/>
      <w:lvlText w:val=""/>
      <w:lvlJc w:val="left"/>
      <w:pPr>
        <w:ind w:left="1440" w:hanging="360"/>
      </w:pPr>
      <w:rPr>
        <w:rFonts w:ascii="Symbol" w:hAnsi="Symbol"/>
      </w:rPr>
    </w:lvl>
    <w:lvl w:ilvl="5" w:tplc="2F7AA8EC">
      <w:start w:val="1"/>
      <w:numFmt w:val="bullet"/>
      <w:lvlText w:val=""/>
      <w:lvlJc w:val="left"/>
      <w:pPr>
        <w:ind w:left="1440" w:hanging="360"/>
      </w:pPr>
      <w:rPr>
        <w:rFonts w:ascii="Symbol" w:hAnsi="Symbol"/>
      </w:rPr>
    </w:lvl>
    <w:lvl w:ilvl="6" w:tplc="02CA826C">
      <w:start w:val="1"/>
      <w:numFmt w:val="bullet"/>
      <w:lvlText w:val=""/>
      <w:lvlJc w:val="left"/>
      <w:pPr>
        <w:ind w:left="1440" w:hanging="360"/>
      </w:pPr>
      <w:rPr>
        <w:rFonts w:ascii="Symbol" w:hAnsi="Symbol"/>
      </w:rPr>
    </w:lvl>
    <w:lvl w:ilvl="7" w:tplc="DFD488FA">
      <w:start w:val="1"/>
      <w:numFmt w:val="bullet"/>
      <w:lvlText w:val=""/>
      <w:lvlJc w:val="left"/>
      <w:pPr>
        <w:ind w:left="1440" w:hanging="360"/>
      </w:pPr>
      <w:rPr>
        <w:rFonts w:ascii="Symbol" w:hAnsi="Symbol"/>
      </w:rPr>
    </w:lvl>
    <w:lvl w:ilvl="8" w:tplc="79FEA4BC">
      <w:start w:val="1"/>
      <w:numFmt w:val="bullet"/>
      <w:lvlText w:val=""/>
      <w:lvlJc w:val="left"/>
      <w:pPr>
        <w:ind w:left="1440" w:hanging="360"/>
      </w:pPr>
      <w:rPr>
        <w:rFonts w:ascii="Symbol" w:hAnsi="Symbol"/>
      </w:rPr>
    </w:lvl>
  </w:abstractNum>
  <w:abstractNum w:abstractNumId="14" w15:restartNumberingAfterBreak="0">
    <w:nsid w:val="1E555FEF"/>
    <w:multiLevelType w:val="hybridMultilevel"/>
    <w:tmpl w:val="50F0923E"/>
    <w:lvl w:ilvl="0" w:tplc="D96CAF6E">
      <w:start w:val="1"/>
      <w:numFmt w:val="bullet"/>
      <w:pStyle w:val="Lijstopsomteken2"/>
      <w:lvlText w:val="–"/>
      <w:lvlJc w:val="left"/>
      <w:pPr>
        <w:tabs>
          <w:tab w:val="num" w:pos="227"/>
        </w:tabs>
        <w:ind w:left="227" w:firstLine="0"/>
      </w:pPr>
      <w:rPr>
        <w:rFonts w:ascii="Verdana" w:hAnsi="Verdana" w:hint="default"/>
      </w:rPr>
    </w:lvl>
    <w:lvl w:ilvl="1" w:tplc="BD0880FA" w:tentative="1">
      <w:start w:val="1"/>
      <w:numFmt w:val="bullet"/>
      <w:lvlText w:val="o"/>
      <w:lvlJc w:val="left"/>
      <w:pPr>
        <w:tabs>
          <w:tab w:val="num" w:pos="1440"/>
        </w:tabs>
        <w:ind w:left="1440" w:hanging="360"/>
      </w:pPr>
      <w:rPr>
        <w:rFonts w:ascii="Courier New" w:hAnsi="Courier New" w:cs="Courier New" w:hint="default"/>
      </w:rPr>
    </w:lvl>
    <w:lvl w:ilvl="2" w:tplc="784A1EE6" w:tentative="1">
      <w:start w:val="1"/>
      <w:numFmt w:val="bullet"/>
      <w:lvlText w:val=""/>
      <w:lvlJc w:val="left"/>
      <w:pPr>
        <w:tabs>
          <w:tab w:val="num" w:pos="2160"/>
        </w:tabs>
        <w:ind w:left="2160" w:hanging="360"/>
      </w:pPr>
      <w:rPr>
        <w:rFonts w:ascii="Wingdings" w:hAnsi="Wingdings" w:hint="default"/>
      </w:rPr>
    </w:lvl>
    <w:lvl w:ilvl="3" w:tplc="C43A821E" w:tentative="1">
      <w:start w:val="1"/>
      <w:numFmt w:val="bullet"/>
      <w:lvlText w:val=""/>
      <w:lvlJc w:val="left"/>
      <w:pPr>
        <w:tabs>
          <w:tab w:val="num" w:pos="2880"/>
        </w:tabs>
        <w:ind w:left="2880" w:hanging="360"/>
      </w:pPr>
      <w:rPr>
        <w:rFonts w:ascii="Symbol" w:hAnsi="Symbol" w:hint="default"/>
      </w:rPr>
    </w:lvl>
    <w:lvl w:ilvl="4" w:tplc="17FA37EC" w:tentative="1">
      <w:start w:val="1"/>
      <w:numFmt w:val="bullet"/>
      <w:lvlText w:val="o"/>
      <w:lvlJc w:val="left"/>
      <w:pPr>
        <w:tabs>
          <w:tab w:val="num" w:pos="3600"/>
        </w:tabs>
        <w:ind w:left="3600" w:hanging="360"/>
      </w:pPr>
      <w:rPr>
        <w:rFonts w:ascii="Courier New" w:hAnsi="Courier New" w:cs="Courier New" w:hint="default"/>
      </w:rPr>
    </w:lvl>
    <w:lvl w:ilvl="5" w:tplc="E9F02C4A" w:tentative="1">
      <w:start w:val="1"/>
      <w:numFmt w:val="bullet"/>
      <w:lvlText w:val=""/>
      <w:lvlJc w:val="left"/>
      <w:pPr>
        <w:tabs>
          <w:tab w:val="num" w:pos="4320"/>
        </w:tabs>
        <w:ind w:left="4320" w:hanging="360"/>
      </w:pPr>
      <w:rPr>
        <w:rFonts w:ascii="Wingdings" w:hAnsi="Wingdings" w:hint="default"/>
      </w:rPr>
    </w:lvl>
    <w:lvl w:ilvl="6" w:tplc="96387AF8" w:tentative="1">
      <w:start w:val="1"/>
      <w:numFmt w:val="bullet"/>
      <w:lvlText w:val=""/>
      <w:lvlJc w:val="left"/>
      <w:pPr>
        <w:tabs>
          <w:tab w:val="num" w:pos="5040"/>
        </w:tabs>
        <w:ind w:left="5040" w:hanging="360"/>
      </w:pPr>
      <w:rPr>
        <w:rFonts w:ascii="Symbol" w:hAnsi="Symbol" w:hint="default"/>
      </w:rPr>
    </w:lvl>
    <w:lvl w:ilvl="7" w:tplc="0EC6283C" w:tentative="1">
      <w:start w:val="1"/>
      <w:numFmt w:val="bullet"/>
      <w:lvlText w:val="o"/>
      <w:lvlJc w:val="left"/>
      <w:pPr>
        <w:tabs>
          <w:tab w:val="num" w:pos="5760"/>
        </w:tabs>
        <w:ind w:left="5760" w:hanging="360"/>
      </w:pPr>
      <w:rPr>
        <w:rFonts w:ascii="Courier New" w:hAnsi="Courier New" w:cs="Courier New" w:hint="default"/>
      </w:rPr>
    </w:lvl>
    <w:lvl w:ilvl="8" w:tplc="CDD869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723A"/>
    <w:multiLevelType w:val="hybridMultilevel"/>
    <w:tmpl w:val="A6883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E3D6B"/>
    <w:multiLevelType w:val="hybridMultilevel"/>
    <w:tmpl w:val="92A2BB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B419A7"/>
    <w:multiLevelType w:val="hybridMultilevel"/>
    <w:tmpl w:val="1BD2B3E0"/>
    <w:lvl w:ilvl="0" w:tplc="859C53FA">
      <w:start w:val="2"/>
      <w:numFmt w:val="bullet"/>
      <w:lvlText w:val="-"/>
      <w:lvlJc w:val="left"/>
      <w:pPr>
        <w:ind w:left="720" w:hanging="360"/>
      </w:pPr>
      <w:rPr>
        <w:rFonts w:ascii="Verdana" w:eastAsiaTheme="minorHAnsi" w:hAnsi="Verdana"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590F29"/>
    <w:multiLevelType w:val="hybridMultilevel"/>
    <w:tmpl w:val="6FF0D9E6"/>
    <w:lvl w:ilvl="0" w:tplc="04130011">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16cid:durableId="211503563">
    <w:abstractNumId w:val="10"/>
  </w:num>
  <w:num w:numId="2" w16cid:durableId="403645163">
    <w:abstractNumId w:val="7"/>
  </w:num>
  <w:num w:numId="3" w16cid:durableId="1619406529">
    <w:abstractNumId w:val="6"/>
  </w:num>
  <w:num w:numId="4" w16cid:durableId="249319810">
    <w:abstractNumId w:val="5"/>
  </w:num>
  <w:num w:numId="5" w16cid:durableId="233584933">
    <w:abstractNumId w:val="4"/>
  </w:num>
  <w:num w:numId="6" w16cid:durableId="2080709081">
    <w:abstractNumId w:val="8"/>
  </w:num>
  <w:num w:numId="7" w16cid:durableId="1053428745">
    <w:abstractNumId w:val="3"/>
  </w:num>
  <w:num w:numId="8" w16cid:durableId="958225368">
    <w:abstractNumId w:val="2"/>
  </w:num>
  <w:num w:numId="9" w16cid:durableId="2130123420">
    <w:abstractNumId w:val="1"/>
  </w:num>
  <w:num w:numId="10" w16cid:durableId="107938222">
    <w:abstractNumId w:val="0"/>
  </w:num>
  <w:num w:numId="11" w16cid:durableId="1919559388">
    <w:abstractNumId w:val="9"/>
  </w:num>
  <w:num w:numId="12" w16cid:durableId="892545153">
    <w:abstractNumId w:val="12"/>
  </w:num>
  <w:num w:numId="13" w16cid:durableId="515198522">
    <w:abstractNumId w:val="16"/>
  </w:num>
  <w:num w:numId="14" w16cid:durableId="1731927282">
    <w:abstractNumId w:val="14"/>
  </w:num>
  <w:num w:numId="15" w16cid:durableId="394277923">
    <w:abstractNumId w:val="11"/>
  </w:num>
  <w:num w:numId="16" w16cid:durableId="1536388331">
    <w:abstractNumId w:val="19"/>
  </w:num>
  <w:num w:numId="17" w16cid:durableId="1202206706">
    <w:abstractNumId w:val="17"/>
  </w:num>
  <w:num w:numId="18" w16cid:durableId="35005566">
    <w:abstractNumId w:val="18"/>
  </w:num>
  <w:num w:numId="19" w16cid:durableId="851577014">
    <w:abstractNumId w:val="13"/>
  </w:num>
  <w:num w:numId="20" w16cid:durableId="82844365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0307"/>
    <w:rsid w:val="000126B3"/>
    <w:rsid w:val="00013862"/>
    <w:rsid w:val="00013F6D"/>
    <w:rsid w:val="00016012"/>
    <w:rsid w:val="00020189"/>
    <w:rsid w:val="00020EE4"/>
    <w:rsid w:val="0002350D"/>
    <w:rsid w:val="00023E9A"/>
    <w:rsid w:val="00024D0D"/>
    <w:rsid w:val="00025DE8"/>
    <w:rsid w:val="00033CDD"/>
    <w:rsid w:val="00034A84"/>
    <w:rsid w:val="00035E67"/>
    <w:rsid w:val="000366F3"/>
    <w:rsid w:val="00036FD6"/>
    <w:rsid w:val="00042A5B"/>
    <w:rsid w:val="00052893"/>
    <w:rsid w:val="0006024D"/>
    <w:rsid w:val="00071F28"/>
    <w:rsid w:val="00074079"/>
    <w:rsid w:val="00086735"/>
    <w:rsid w:val="0008785E"/>
    <w:rsid w:val="00092799"/>
    <w:rsid w:val="00092C5F"/>
    <w:rsid w:val="00096680"/>
    <w:rsid w:val="000A0F36"/>
    <w:rsid w:val="000A174A"/>
    <w:rsid w:val="000A3E0A"/>
    <w:rsid w:val="000A65AC"/>
    <w:rsid w:val="000A7159"/>
    <w:rsid w:val="000B7281"/>
    <w:rsid w:val="000B7FAB"/>
    <w:rsid w:val="000C0163"/>
    <w:rsid w:val="000C181E"/>
    <w:rsid w:val="000C1BA1"/>
    <w:rsid w:val="000C3EA9"/>
    <w:rsid w:val="000D0225"/>
    <w:rsid w:val="000E7895"/>
    <w:rsid w:val="000F161D"/>
    <w:rsid w:val="000F3CAA"/>
    <w:rsid w:val="000F7F67"/>
    <w:rsid w:val="00102ABB"/>
    <w:rsid w:val="00103262"/>
    <w:rsid w:val="0010794A"/>
    <w:rsid w:val="001112D1"/>
    <w:rsid w:val="00121BF0"/>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77DAA"/>
    <w:rsid w:val="00181BE4"/>
    <w:rsid w:val="00185576"/>
    <w:rsid w:val="00185951"/>
    <w:rsid w:val="00196B8B"/>
    <w:rsid w:val="001A2BEA"/>
    <w:rsid w:val="001A6D93"/>
    <w:rsid w:val="001C32EC"/>
    <w:rsid w:val="001C38BD"/>
    <w:rsid w:val="001C4D5A"/>
    <w:rsid w:val="001C6CA6"/>
    <w:rsid w:val="001C772F"/>
    <w:rsid w:val="001D47A8"/>
    <w:rsid w:val="001E34C6"/>
    <w:rsid w:val="001E5581"/>
    <w:rsid w:val="001F3C70"/>
    <w:rsid w:val="00200D88"/>
    <w:rsid w:val="00201F68"/>
    <w:rsid w:val="00205DC2"/>
    <w:rsid w:val="00212F2A"/>
    <w:rsid w:val="00214F2B"/>
    <w:rsid w:val="00217880"/>
    <w:rsid w:val="00222987"/>
    <w:rsid w:val="00222D66"/>
    <w:rsid w:val="00224A8A"/>
    <w:rsid w:val="002309A8"/>
    <w:rsid w:val="00236CFE"/>
    <w:rsid w:val="002428E3"/>
    <w:rsid w:val="00243031"/>
    <w:rsid w:val="00254AEE"/>
    <w:rsid w:val="00260BAF"/>
    <w:rsid w:val="002650F7"/>
    <w:rsid w:val="00271206"/>
    <w:rsid w:val="00273D1D"/>
    <w:rsid w:val="00273F3B"/>
    <w:rsid w:val="00274DB7"/>
    <w:rsid w:val="00275984"/>
    <w:rsid w:val="00280F74"/>
    <w:rsid w:val="00281D74"/>
    <w:rsid w:val="002822CA"/>
    <w:rsid w:val="00285140"/>
    <w:rsid w:val="00286998"/>
    <w:rsid w:val="00291AB7"/>
    <w:rsid w:val="00292EB2"/>
    <w:rsid w:val="0029422B"/>
    <w:rsid w:val="002948C3"/>
    <w:rsid w:val="002A0938"/>
    <w:rsid w:val="002B153C"/>
    <w:rsid w:val="002B3D4C"/>
    <w:rsid w:val="002B5193"/>
    <w:rsid w:val="002B52FC"/>
    <w:rsid w:val="002C2830"/>
    <w:rsid w:val="002D001A"/>
    <w:rsid w:val="002D28E2"/>
    <w:rsid w:val="002D317B"/>
    <w:rsid w:val="002D3587"/>
    <w:rsid w:val="002D502D"/>
    <w:rsid w:val="002E0F69"/>
    <w:rsid w:val="002E7D37"/>
    <w:rsid w:val="002F5147"/>
    <w:rsid w:val="002F78E8"/>
    <w:rsid w:val="002F7ABD"/>
    <w:rsid w:val="00311E78"/>
    <w:rsid w:val="00312597"/>
    <w:rsid w:val="00316EBA"/>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56672"/>
    <w:rsid w:val="00361A56"/>
    <w:rsid w:val="0036252A"/>
    <w:rsid w:val="00364D9D"/>
    <w:rsid w:val="00371048"/>
    <w:rsid w:val="0037396C"/>
    <w:rsid w:val="0037421D"/>
    <w:rsid w:val="00376093"/>
    <w:rsid w:val="00383DA1"/>
    <w:rsid w:val="00385F30"/>
    <w:rsid w:val="0039237A"/>
    <w:rsid w:val="00393696"/>
    <w:rsid w:val="00393963"/>
    <w:rsid w:val="00395575"/>
    <w:rsid w:val="00395672"/>
    <w:rsid w:val="003A06C8"/>
    <w:rsid w:val="003A0D7C"/>
    <w:rsid w:val="003A5290"/>
    <w:rsid w:val="003A6F2E"/>
    <w:rsid w:val="003B0155"/>
    <w:rsid w:val="003B7EE7"/>
    <w:rsid w:val="003C2CCB"/>
    <w:rsid w:val="003D39EC"/>
    <w:rsid w:val="003D5DED"/>
    <w:rsid w:val="003E3DD5"/>
    <w:rsid w:val="003E5862"/>
    <w:rsid w:val="003E6642"/>
    <w:rsid w:val="003F07C6"/>
    <w:rsid w:val="003F1F6B"/>
    <w:rsid w:val="003F3757"/>
    <w:rsid w:val="003F38BD"/>
    <w:rsid w:val="003F44B7"/>
    <w:rsid w:val="003F66C9"/>
    <w:rsid w:val="004008E9"/>
    <w:rsid w:val="00413D48"/>
    <w:rsid w:val="00424355"/>
    <w:rsid w:val="00441AC2"/>
    <w:rsid w:val="0044249B"/>
    <w:rsid w:val="00445146"/>
    <w:rsid w:val="0045023C"/>
    <w:rsid w:val="00451A5B"/>
    <w:rsid w:val="00452BCD"/>
    <w:rsid w:val="00452CEA"/>
    <w:rsid w:val="00465B52"/>
    <w:rsid w:val="0046708E"/>
    <w:rsid w:val="00472A65"/>
    <w:rsid w:val="00474463"/>
    <w:rsid w:val="00474B75"/>
    <w:rsid w:val="004775CF"/>
    <w:rsid w:val="00483F0B"/>
    <w:rsid w:val="00484A5E"/>
    <w:rsid w:val="00496319"/>
    <w:rsid w:val="00497279"/>
    <w:rsid w:val="004A163B"/>
    <w:rsid w:val="004A670A"/>
    <w:rsid w:val="004B5465"/>
    <w:rsid w:val="004B70F0"/>
    <w:rsid w:val="004C21A8"/>
    <w:rsid w:val="004C333A"/>
    <w:rsid w:val="004D505E"/>
    <w:rsid w:val="004D72CA"/>
    <w:rsid w:val="004E2242"/>
    <w:rsid w:val="004E505E"/>
    <w:rsid w:val="004F3952"/>
    <w:rsid w:val="004F42FF"/>
    <w:rsid w:val="004F44C2"/>
    <w:rsid w:val="00502512"/>
    <w:rsid w:val="00503FD2"/>
    <w:rsid w:val="00505262"/>
    <w:rsid w:val="005067D0"/>
    <w:rsid w:val="00507AAE"/>
    <w:rsid w:val="00516022"/>
    <w:rsid w:val="00521CEE"/>
    <w:rsid w:val="005224A4"/>
    <w:rsid w:val="00524FB4"/>
    <w:rsid w:val="00527BD4"/>
    <w:rsid w:val="00534C99"/>
    <w:rsid w:val="005352F9"/>
    <w:rsid w:val="0053540A"/>
    <w:rsid w:val="00537095"/>
    <w:rsid w:val="005403AA"/>
    <w:rsid w:val="005403C8"/>
    <w:rsid w:val="005429DC"/>
    <w:rsid w:val="00550757"/>
    <w:rsid w:val="0055347F"/>
    <w:rsid w:val="005565F9"/>
    <w:rsid w:val="00573041"/>
    <w:rsid w:val="00575B80"/>
    <w:rsid w:val="0057620F"/>
    <w:rsid w:val="005819CE"/>
    <w:rsid w:val="0058298D"/>
    <w:rsid w:val="00584C1A"/>
    <w:rsid w:val="00592FBE"/>
    <w:rsid w:val="00593C2B"/>
    <w:rsid w:val="00595231"/>
    <w:rsid w:val="00596166"/>
    <w:rsid w:val="00597F64"/>
    <w:rsid w:val="005A207F"/>
    <w:rsid w:val="005A2F35"/>
    <w:rsid w:val="005A656B"/>
    <w:rsid w:val="005B3814"/>
    <w:rsid w:val="005B463E"/>
    <w:rsid w:val="005C34E1"/>
    <w:rsid w:val="005C3FE0"/>
    <w:rsid w:val="005C65B5"/>
    <w:rsid w:val="005C740C"/>
    <w:rsid w:val="005D0BE5"/>
    <w:rsid w:val="005D625B"/>
    <w:rsid w:val="005F6132"/>
    <w:rsid w:val="005F62D3"/>
    <w:rsid w:val="005F6D11"/>
    <w:rsid w:val="00600CF0"/>
    <w:rsid w:val="0060154D"/>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07A"/>
    <w:rsid w:val="006C2535"/>
    <w:rsid w:val="006C441E"/>
    <w:rsid w:val="006C4B90"/>
    <w:rsid w:val="006D1016"/>
    <w:rsid w:val="006D17F2"/>
    <w:rsid w:val="006D5C88"/>
    <w:rsid w:val="006E3546"/>
    <w:rsid w:val="006E3FA9"/>
    <w:rsid w:val="006E7D82"/>
    <w:rsid w:val="006F038F"/>
    <w:rsid w:val="006F0F93"/>
    <w:rsid w:val="006F31F2"/>
    <w:rsid w:val="006F7494"/>
    <w:rsid w:val="006F751F"/>
    <w:rsid w:val="00705433"/>
    <w:rsid w:val="00714DC5"/>
    <w:rsid w:val="00715237"/>
    <w:rsid w:val="00721AE1"/>
    <w:rsid w:val="00723B23"/>
    <w:rsid w:val="007254A5"/>
    <w:rsid w:val="00725748"/>
    <w:rsid w:val="007269E3"/>
    <w:rsid w:val="0073449A"/>
    <w:rsid w:val="00735D88"/>
    <w:rsid w:val="0073720D"/>
    <w:rsid w:val="00737507"/>
    <w:rsid w:val="00740712"/>
    <w:rsid w:val="00742AB9"/>
    <w:rsid w:val="00751A6A"/>
    <w:rsid w:val="00754FBF"/>
    <w:rsid w:val="00757ED6"/>
    <w:rsid w:val="007610AA"/>
    <w:rsid w:val="00767022"/>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4595"/>
    <w:rsid w:val="00806120"/>
    <w:rsid w:val="00806F63"/>
    <w:rsid w:val="00810C93"/>
    <w:rsid w:val="00812028"/>
    <w:rsid w:val="00812DD8"/>
    <w:rsid w:val="00813082"/>
    <w:rsid w:val="00813C68"/>
    <w:rsid w:val="00814D03"/>
    <w:rsid w:val="00820371"/>
    <w:rsid w:val="00821117"/>
    <w:rsid w:val="00821FC1"/>
    <w:rsid w:val="00823AE2"/>
    <w:rsid w:val="0083178B"/>
    <w:rsid w:val="00831EE4"/>
    <w:rsid w:val="00833695"/>
    <w:rsid w:val="008336B7"/>
    <w:rsid w:val="00833A8E"/>
    <w:rsid w:val="00834132"/>
    <w:rsid w:val="00836ACA"/>
    <w:rsid w:val="00842CD8"/>
    <w:rsid w:val="008431FA"/>
    <w:rsid w:val="00847444"/>
    <w:rsid w:val="008517C6"/>
    <w:rsid w:val="008547BA"/>
    <w:rsid w:val="008553C7"/>
    <w:rsid w:val="00857FEB"/>
    <w:rsid w:val="008601AF"/>
    <w:rsid w:val="00872271"/>
    <w:rsid w:val="00883137"/>
    <w:rsid w:val="00890AE3"/>
    <w:rsid w:val="00894A3B"/>
    <w:rsid w:val="008A0BF4"/>
    <w:rsid w:val="008A1F5D"/>
    <w:rsid w:val="008A28F5"/>
    <w:rsid w:val="008B1198"/>
    <w:rsid w:val="008B2D39"/>
    <w:rsid w:val="008B3471"/>
    <w:rsid w:val="008B3929"/>
    <w:rsid w:val="008B4125"/>
    <w:rsid w:val="008B4CB3"/>
    <w:rsid w:val="008B567B"/>
    <w:rsid w:val="008B7B24"/>
    <w:rsid w:val="008C356D"/>
    <w:rsid w:val="008D37C3"/>
    <w:rsid w:val="008D43B5"/>
    <w:rsid w:val="008E0B3F"/>
    <w:rsid w:val="008E49AD"/>
    <w:rsid w:val="008E698E"/>
    <w:rsid w:val="008E7D5C"/>
    <w:rsid w:val="008F2584"/>
    <w:rsid w:val="008F3246"/>
    <w:rsid w:val="008F3C1B"/>
    <w:rsid w:val="008F508C"/>
    <w:rsid w:val="00901BE9"/>
    <w:rsid w:val="0090271B"/>
    <w:rsid w:val="00907FDE"/>
    <w:rsid w:val="00910642"/>
    <w:rsid w:val="00910DDF"/>
    <w:rsid w:val="00926AE2"/>
    <w:rsid w:val="00930B13"/>
    <w:rsid w:val="009311C8"/>
    <w:rsid w:val="00933376"/>
    <w:rsid w:val="00933A2F"/>
    <w:rsid w:val="0096140D"/>
    <w:rsid w:val="009716D8"/>
    <w:rsid w:val="009718F9"/>
    <w:rsid w:val="00971F42"/>
    <w:rsid w:val="00972FB9"/>
    <w:rsid w:val="00975112"/>
    <w:rsid w:val="00981768"/>
    <w:rsid w:val="00983E8F"/>
    <w:rsid w:val="0098788A"/>
    <w:rsid w:val="0099240B"/>
    <w:rsid w:val="00994FDA"/>
    <w:rsid w:val="009A31BF"/>
    <w:rsid w:val="009A3B71"/>
    <w:rsid w:val="009A61BC"/>
    <w:rsid w:val="009B0138"/>
    <w:rsid w:val="009B0FE9"/>
    <w:rsid w:val="009B173A"/>
    <w:rsid w:val="009B549B"/>
    <w:rsid w:val="009C1F9E"/>
    <w:rsid w:val="009C3F20"/>
    <w:rsid w:val="009C7CA1"/>
    <w:rsid w:val="009D043D"/>
    <w:rsid w:val="009E16E0"/>
    <w:rsid w:val="009E3C59"/>
    <w:rsid w:val="009F3259"/>
    <w:rsid w:val="00A037D5"/>
    <w:rsid w:val="00A056DE"/>
    <w:rsid w:val="00A1091F"/>
    <w:rsid w:val="00A128AD"/>
    <w:rsid w:val="00A16D7E"/>
    <w:rsid w:val="00A2107F"/>
    <w:rsid w:val="00A21E76"/>
    <w:rsid w:val="00A23BC8"/>
    <w:rsid w:val="00A245F8"/>
    <w:rsid w:val="00A27B57"/>
    <w:rsid w:val="00A30E68"/>
    <w:rsid w:val="00A31933"/>
    <w:rsid w:val="00A329D2"/>
    <w:rsid w:val="00A34AA0"/>
    <w:rsid w:val="00A3715C"/>
    <w:rsid w:val="00A40E7F"/>
    <w:rsid w:val="00A413B4"/>
    <w:rsid w:val="00A41A81"/>
    <w:rsid w:val="00A41C4F"/>
    <w:rsid w:val="00A41FE2"/>
    <w:rsid w:val="00A46FEF"/>
    <w:rsid w:val="00A47948"/>
    <w:rsid w:val="00A50CF6"/>
    <w:rsid w:val="00A56946"/>
    <w:rsid w:val="00A6170E"/>
    <w:rsid w:val="00A63B8C"/>
    <w:rsid w:val="00A715F8"/>
    <w:rsid w:val="00A76F23"/>
    <w:rsid w:val="00A77F6F"/>
    <w:rsid w:val="00A802F3"/>
    <w:rsid w:val="00A831FD"/>
    <w:rsid w:val="00A83352"/>
    <w:rsid w:val="00A850A2"/>
    <w:rsid w:val="00A91FA3"/>
    <w:rsid w:val="00A927D3"/>
    <w:rsid w:val="00AA5251"/>
    <w:rsid w:val="00AA7FC9"/>
    <w:rsid w:val="00AB237D"/>
    <w:rsid w:val="00AB5933"/>
    <w:rsid w:val="00AB7723"/>
    <w:rsid w:val="00AE013D"/>
    <w:rsid w:val="00AE11B7"/>
    <w:rsid w:val="00AE3FA6"/>
    <w:rsid w:val="00AE7F68"/>
    <w:rsid w:val="00AF2321"/>
    <w:rsid w:val="00AF52F6"/>
    <w:rsid w:val="00AF52FD"/>
    <w:rsid w:val="00AF54A8"/>
    <w:rsid w:val="00AF7237"/>
    <w:rsid w:val="00B0043A"/>
    <w:rsid w:val="00B00D75"/>
    <w:rsid w:val="00B016FC"/>
    <w:rsid w:val="00B070CB"/>
    <w:rsid w:val="00B12456"/>
    <w:rsid w:val="00B145F0"/>
    <w:rsid w:val="00B259C8"/>
    <w:rsid w:val="00B26CCF"/>
    <w:rsid w:val="00B30FC2"/>
    <w:rsid w:val="00B331A2"/>
    <w:rsid w:val="00B409E4"/>
    <w:rsid w:val="00B425F0"/>
    <w:rsid w:val="00B42DFA"/>
    <w:rsid w:val="00B531DD"/>
    <w:rsid w:val="00B55014"/>
    <w:rsid w:val="00B62232"/>
    <w:rsid w:val="00B66350"/>
    <w:rsid w:val="00B70BF3"/>
    <w:rsid w:val="00B71DC2"/>
    <w:rsid w:val="00B849F5"/>
    <w:rsid w:val="00B91CFC"/>
    <w:rsid w:val="00B93893"/>
    <w:rsid w:val="00BA1397"/>
    <w:rsid w:val="00BA7E0A"/>
    <w:rsid w:val="00BB18B0"/>
    <w:rsid w:val="00BC2C00"/>
    <w:rsid w:val="00BC3B53"/>
    <w:rsid w:val="00BC3B96"/>
    <w:rsid w:val="00BC4AE3"/>
    <w:rsid w:val="00BC5B28"/>
    <w:rsid w:val="00BC7028"/>
    <w:rsid w:val="00BD2370"/>
    <w:rsid w:val="00BD416F"/>
    <w:rsid w:val="00BE3F88"/>
    <w:rsid w:val="00BE4756"/>
    <w:rsid w:val="00BE5ED9"/>
    <w:rsid w:val="00BE7B41"/>
    <w:rsid w:val="00BF0C85"/>
    <w:rsid w:val="00C15A91"/>
    <w:rsid w:val="00C206F1"/>
    <w:rsid w:val="00C208CE"/>
    <w:rsid w:val="00C217E1"/>
    <w:rsid w:val="00C219B1"/>
    <w:rsid w:val="00C35920"/>
    <w:rsid w:val="00C4015B"/>
    <w:rsid w:val="00C40C60"/>
    <w:rsid w:val="00C43FE6"/>
    <w:rsid w:val="00C5258E"/>
    <w:rsid w:val="00C530C9"/>
    <w:rsid w:val="00C619A7"/>
    <w:rsid w:val="00C73BD0"/>
    <w:rsid w:val="00C73D5F"/>
    <w:rsid w:val="00C82AFE"/>
    <w:rsid w:val="00C83DBC"/>
    <w:rsid w:val="00C86246"/>
    <w:rsid w:val="00C90702"/>
    <w:rsid w:val="00C97C80"/>
    <w:rsid w:val="00CA47D3"/>
    <w:rsid w:val="00CA6533"/>
    <w:rsid w:val="00CA6A25"/>
    <w:rsid w:val="00CA6A3F"/>
    <w:rsid w:val="00CA7C99"/>
    <w:rsid w:val="00CC0B11"/>
    <w:rsid w:val="00CC6290"/>
    <w:rsid w:val="00CC6947"/>
    <w:rsid w:val="00CD233D"/>
    <w:rsid w:val="00CD3499"/>
    <w:rsid w:val="00CD362D"/>
    <w:rsid w:val="00CE101D"/>
    <w:rsid w:val="00CE1814"/>
    <w:rsid w:val="00CE1A95"/>
    <w:rsid w:val="00CE1C84"/>
    <w:rsid w:val="00CE5055"/>
    <w:rsid w:val="00CF053F"/>
    <w:rsid w:val="00CF1A17"/>
    <w:rsid w:val="00CF247B"/>
    <w:rsid w:val="00D00741"/>
    <w:rsid w:val="00D0375A"/>
    <w:rsid w:val="00D0609E"/>
    <w:rsid w:val="00D078E1"/>
    <w:rsid w:val="00D100E9"/>
    <w:rsid w:val="00D17942"/>
    <w:rsid w:val="00D21E4B"/>
    <w:rsid w:val="00D22441"/>
    <w:rsid w:val="00D23522"/>
    <w:rsid w:val="00D235E2"/>
    <w:rsid w:val="00D25820"/>
    <w:rsid w:val="00D264D6"/>
    <w:rsid w:val="00D33BC3"/>
    <w:rsid w:val="00D33BF0"/>
    <w:rsid w:val="00D33DE0"/>
    <w:rsid w:val="00D361F7"/>
    <w:rsid w:val="00D36447"/>
    <w:rsid w:val="00D516BE"/>
    <w:rsid w:val="00D5423B"/>
    <w:rsid w:val="00D54E6A"/>
    <w:rsid w:val="00D54F4E"/>
    <w:rsid w:val="00D56E01"/>
    <w:rsid w:val="00D57A56"/>
    <w:rsid w:val="00D604B3"/>
    <w:rsid w:val="00D60BA4"/>
    <w:rsid w:val="00D62419"/>
    <w:rsid w:val="00D65D7F"/>
    <w:rsid w:val="00D77870"/>
    <w:rsid w:val="00D80977"/>
    <w:rsid w:val="00D80CCE"/>
    <w:rsid w:val="00D86EEA"/>
    <w:rsid w:val="00D87D03"/>
    <w:rsid w:val="00D9360B"/>
    <w:rsid w:val="00D95A29"/>
    <w:rsid w:val="00D95C88"/>
    <w:rsid w:val="00D97B2E"/>
    <w:rsid w:val="00DA241E"/>
    <w:rsid w:val="00DB36FE"/>
    <w:rsid w:val="00DB533A"/>
    <w:rsid w:val="00DB60AE"/>
    <w:rsid w:val="00DB6307"/>
    <w:rsid w:val="00DC0C0B"/>
    <w:rsid w:val="00DD1DCD"/>
    <w:rsid w:val="00DD338F"/>
    <w:rsid w:val="00DD66F2"/>
    <w:rsid w:val="00DE2853"/>
    <w:rsid w:val="00DE3FE0"/>
    <w:rsid w:val="00DE578A"/>
    <w:rsid w:val="00DF2583"/>
    <w:rsid w:val="00DF54D9"/>
    <w:rsid w:val="00DF7283"/>
    <w:rsid w:val="00E0153B"/>
    <w:rsid w:val="00E01A59"/>
    <w:rsid w:val="00E10DC6"/>
    <w:rsid w:val="00E11F8E"/>
    <w:rsid w:val="00E15881"/>
    <w:rsid w:val="00E16A8F"/>
    <w:rsid w:val="00E21DE3"/>
    <w:rsid w:val="00E2409C"/>
    <w:rsid w:val="00E24AFA"/>
    <w:rsid w:val="00E273C5"/>
    <w:rsid w:val="00E307D1"/>
    <w:rsid w:val="00E32ACA"/>
    <w:rsid w:val="00E3731D"/>
    <w:rsid w:val="00E43250"/>
    <w:rsid w:val="00E43E98"/>
    <w:rsid w:val="00E51469"/>
    <w:rsid w:val="00E634E3"/>
    <w:rsid w:val="00E71445"/>
    <w:rsid w:val="00E717C4"/>
    <w:rsid w:val="00E73E2A"/>
    <w:rsid w:val="00E77E18"/>
    <w:rsid w:val="00E77F89"/>
    <w:rsid w:val="00E80330"/>
    <w:rsid w:val="00E806C5"/>
    <w:rsid w:val="00E80E71"/>
    <w:rsid w:val="00E850D3"/>
    <w:rsid w:val="00E853D6"/>
    <w:rsid w:val="00E876B9"/>
    <w:rsid w:val="00EA7DDE"/>
    <w:rsid w:val="00EC0DFF"/>
    <w:rsid w:val="00EC237D"/>
    <w:rsid w:val="00EC2918"/>
    <w:rsid w:val="00EC4D0E"/>
    <w:rsid w:val="00EC4E2B"/>
    <w:rsid w:val="00ED072A"/>
    <w:rsid w:val="00ED539E"/>
    <w:rsid w:val="00EE4A1F"/>
    <w:rsid w:val="00EE4C2D"/>
    <w:rsid w:val="00EE5E89"/>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1C85"/>
    <w:rsid w:val="00F2315B"/>
    <w:rsid w:val="00F322C6"/>
    <w:rsid w:val="00F34805"/>
    <w:rsid w:val="00F41A6F"/>
    <w:rsid w:val="00F45A25"/>
    <w:rsid w:val="00F50F86"/>
    <w:rsid w:val="00F51ED9"/>
    <w:rsid w:val="00F53F91"/>
    <w:rsid w:val="00F5519C"/>
    <w:rsid w:val="00F61569"/>
    <w:rsid w:val="00F61A72"/>
    <w:rsid w:val="00F62B67"/>
    <w:rsid w:val="00F66F13"/>
    <w:rsid w:val="00F74073"/>
    <w:rsid w:val="00F75603"/>
    <w:rsid w:val="00F772B8"/>
    <w:rsid w:val="00F845B4"/>
    <w:rsid w:val="00F8713B"/>
    <w:rsid w:val="00F87436"/>
    <w:rsid w:val="00F92122"/>
    <w:rsid w:val="00F93F9E"/>
    <w:rsid w:val="00FA2CD7"/>
    <w:rsid w:val="00FB06ED"/>
    <w:rsid w:val="00FB0F8F"/>
    <w:rsid w:val="00FC03B6"/>
    <w:rsid w:val="00FC2311"/>
    <w:rsid w:val="00FC3165"/>
    <w:rsid w:val="00FC36AB"/>
    <w:rsid w:val="00FC4300"/>
    <w:rsid w:val="00FC7F66"/>
    <w:rsid w:val="00FD5776"/>
    <w:rsid w:val="00FD5F04"/>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62B3F5"/>
  <w15:docId w15:val="{1D828A3D-86E9-4988-A323-430CA3F1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iPriority w:val="99"/>
    <w:unhideWhenUsed/>
    <w:rsid w:val="00C82AFE"/>
    <w:pPr>
      <w:spacing w:line="180" w:lineRule="atLeast"/>
    </w:pPr>
    <w:rPr>
      <w:sz w:val="13"/>
      <w:szCs w:val="20"/>
    </w:rPr>
  </w:style>
  <w:style w:type="character" w:customStyle="1" w:styleId="VoetnoottekstChar">
    <w:name w:val="Voetnoottekst Char"/>
    <w:basedOn w:val="Standaardalinea-lettertype"/>
    <w:link w:val="Voetnoottekst"/>
    <w:uiPriority w:val="99"/>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Normaalweb">
    <w:name w:val="Normal (Web)"/>
    <w:basedOn w:val="Standaard"/>
    <w:uiPriority w:val="99"/>
    <w:semiHidden/>
    <w:unhideWhenUsed/>
    <w:rsid w:val="006D5C88"/>
    <w:pPr>
      <w:spacing w:before="100" w:beforeAutospacing="1" w:after="100" w:afterAutospacing="1" w:line="240" w:lineRule="auto"/>
    </w:pPr>
    <w:rPr>
      <w:rFonts w:ascii="Calibri" w:eastAsiaTheme="minorHAnsi" w:hAnsi="Calibri" w:cs="Calibri"/>
      <w:sz w:val="22"/>
      <w:szCs w:val="22"/>
    </w:rPr>
  </w:style>
  <w:style w:type="character" w:styleId="Verwijzingopmerking">
    <w:name w:val="annotation reference"/>
    <w:basedOn w:val="Standaardalinea-lettertype"/>
    <w:uiPriority w:val="99"/>
    <w:semiHidden/>
    <w:unhideWhenUsed/>
    <w:rsid w:val="0053540A"/>
    <w:rPr>
      <w:sz w:val="16"/>
      <w:szCs w:val="16"/>
    </w:rPr>
  </w:style>
  <w:style w:type="paragraph" w:styleId="Tekstopmerking">
    <w:name w:val="annotation text"/>
    <w:basedOn w:val="Standaard"/>
    <w:link w:val="TekstopmerkingChar"/>
    <w:uiPriority w:val="99"/>
    <w:unhideWhenUsed/>
    <w:rsid w:val="0053540A"/>
    <w:pPr>
      <w:spacing w:line="240" w:lineRule="auto"/>
    </w:pPr>
    <w:rPr>
      <w:sz w:val="20"/>
      <w:szCs w:val="20"/>
    </w:rPr>
  </w:style>
  <w:style w:type="character" w:customStyle="1" w:styleId="TekstopmerkingChar">
    <w:name w:val="Tekst opmerking Char"/>
    <w:basedOn w:val="Standaardalinea-lettertype"/>
    <w:link w:val="Tekstopmerking"/>
    <w:uiPriority w:val="99"/>
    <w:rsid w:val="0053540A"/>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53540A"/>
    <w:rPr>
      <w:b/>
      <w:bCs/>
    </w:rPr>
  </w:style>
  <w:style w:type="character" w:customStyle="1" w:styleId="OnderwerpvanopmerkingChar">
    <w:name w:val="Onderwerp van opmerking Char"/>
    <w:basedOn w:val="TekstopmerkingChar"/>
    <w:link w:val="Onderwerpvanopmerking"/>
    <w:semiHidden/>
    <w:rsid w:val="0053540A"/>
    <w:rPr>
      <w:rFonts w:ascii="Verdana" w:hAnsi="Verdana"/>
      <w:b/>
      <w:bCs/>
      <w:lang w:val="nl-NL" w:eastAsia="nl-NL"/>
    </w:rPr>
  </w:style>
  <w:style w:type="paragraph" w:styleId="Lijstalinea">
    <w:name w:val="List Paragraph"/>
    <w:basedOn w:val="Standaard"/>
    <w:link w:val="LijstalineaChar"/>
    <w:uiPriority w:val="34"/>
    <w:qFormat/>
    <w:rsid w:val="0053540A"/>
    <w:pPr>
      <w:ind w:left="720"/>
      <w:contextualSpacing/>
    </w:pPr>
  </w:style>
  <w:style w:type="character" w:styleId="Voetnootmarkering">
    <w:name w:val="footnote reference"/>
    <w:basedOn w:val="Standaardalinea-lettertype"/>
    <w:uiPriority w:val="99"/>
    <w:semiHidden/>
    <w:unhideWhenUsed/>
    <w:rsid w:val="0053540A"/>
    <w:rPr>
      <w:vertAlign w:val="superscript"/>
    </w:rPr>
  </w:style>
  <w:style w:type="character" w:customStyle="1" w:styleId="LijstalineaChar">
    <w:name w:val="Lijstalinea Char"/>
    <w:basedOn w:val="Standaardalinea-lettertype"/>
    <w:link w:val="Lijstalinea"/>
    <w:uiPriority w:val="34"/>
    <w:rsid w:val="0053540A"/>
    <w:rPr>
      <w:rFonts w:ascii="Verdana" w:hAnsi="Verdana"/>
      <w:sz w:val="18"/>
      <w:szCs w:val="24"/>
      <w:lang w:val="nl-NL" w:eastAsia="nl-NL"/>
    </w:rPr>
  </w:style>
  <w:style w:type="character" w:styleId="Vermelding">
    <w:name w:val="Mention"/>
    <w:basedOn w:val="Standaardalinea-lettertype"/>
    <w:uiPriority w:val="99"/>
    <w:unhideWhenUsed/>
    <w:rsid w:val="0053540A"/>
    <w:rPr>
      <w:color w:val="2B579A"/>
      <w:shd w:val="clear" w:color="auto" w:fill="E6E6E6"/>
    </w:rPr>
  </w:style>
  <w:style w:type="character" w:customStyle="1" w:styleId="normaltextrun">
    <w:name w:val="normaltextrun"/>
    <w:basedOn w:val="Standaardalinea-lettertype"/>
    <w:rsid w:val="0053540A"/>
  </w:style>
  <w:style w:type="paragraph" w:customStyle="1" w:styleId="paragraph">
    <w:name w:val="paragraph"/>
    <w:basedOn w:val="Standaard"/>
    <w:rsid w:val="0053540A"/>
    <w:pPr>
      <w:spacing w:before="100" w:beforeAutospacing="1" w:after="100" w:afterAutospacing="1" w:line="240" w:lineRule="auto"/>
    </w:pPr>
    <w:rPr>
      <w:rFonts w:ascii="Times New Roman" w:hAnsi="Times New Roman"/>
      <w:sz w:val="24"/>
    </w:rPr>
  </w:style>
  <w:style w:type="character" w:customStyle="1" w:styleId="eop">
    <w:name w:val="eop"/>
    <w:basedOn w:val="Standaardalinea-lettertype"/>
    <w:rsid w:val="0053540A"/>
  </w:style>
  <w:style w:type="paragraph" w:styleId="Revisie">
    <w:name w:val="Revision"/>
    <w:hidden/>
    <w:uiPriority w:val="99"/>
    <w:semiHidden/>
    <w:rsid w:val="00FB0F8F"/>
    <w:rPr>
      <w:rFonts w:ascii="Verdana" w:hAnsi="Verdana"/>
      <w:sz w:val="18"/>
      <w:szCs w:val="24"/>
      <w:lang w:val="nl-NL" w:eastAsia="nl-NL"/>
    </w:rPr>
  </w:style>
  <w:style w:type="paragraph" w:customStyle="1" w:styleId="AutoCorrectie">
    <w:name w:val="AutoCorrectie"/>
    <w:rsid w:val="000C181E"/>
    <w:pPr>
      <w:spacing w:after="160" w:line="259" w:lineRule="auto"/>
    </w:pPr>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climate.ec.europa.eu/news-your-voice/news/european-hydrogen-bank-pilot-auction-132-bids-received-17-european-countries-2024-02-19_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15122">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A474A"/>
    <w:rsid w:val="0011147C"/>
    <w:rsid w:val="00155FF4"/>
    <w:rsid w:val="00515122"/>
    <w:rsid w:val="006E1A9B"/>
    <w:rsid w:val="008A719E"/>
    <w:rsid w:val="00A22FC5"/>
    <w:rsid w:val="00BB555D"/>
    <w:rsid w:val="00C65E23"/>
    <w:rsid w:val="00C84E5A"/>
    <w:rsid w:val="00CC3513"/>
    <w:rsid w:val="00DB6F38"/>
    <w:rsid w:val="00F16BC5"/>
    <w:rsid w:val="00F35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7</ap:Pages>
  <ap:Words>2577</ap:Words>
  <ap:Characters>15873</ap:Characters>
  <ap:DocSecurity>4</ap:DocSecurity>
  <ap:Lines>132</ap:Lines>
  <ap:Paragraphs>36</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18414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2024-05-08T12:34:00.0000000Z</dcterms:created>
  <dcterms:modified xsi:type="dcterms:W3CDTF">2024-05-08T12:34:00.0000000Z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schweringm</vt:lpwstr>
  </property>
  <property fmtid="{D5CDD505-2E9C-101B-9397-08002B2CF9AE}" pid="3" name="AUTHOR_ID">
    <vt:lpwstr>schweringm</vt:lpwstr>
  </property>
  <property fmtid="{D5CDD505-2E9C-101B-9397-08002B2CF9AE}" pid="4" name="A_ADRES">
    <vt:lpwstr>Voorzitter Tweede Kamer </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Kamerbrief inzake energiediplomatie en Motie Erkens</vt:lpwstr>
  </property>
  <property fmtid="{D5CDD505-2E9C-101B-9397-08002B2CF9AE}" pid="9" name="documentId">
    <vt:lpwstr>52311034</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schweringm</vt:lpwstr>
  </property>
</Properties>
</file>