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6DC" w:rsidRDefault="00AD2520" w14:paraId="7F42E1E2" w14:textId="77777777">
      <w:pPr>
        <w:pStyle w:val="StandaardAanhef"/>
      </w:pPr>
      <w:r>
        <w:t>Geachte voorzitter,</w:t>
      </w:r>
    </w:p>
    <w:p w:rsidR="00E6160A" w:rsidRDefault="00E6160A" w14:paraId="43E0A6C5" w14:textId="77777777">
      <w:bookmarkStart w:name="_Hlk165388406" w:id="0"/>
      <w:proofErr w:type="gramStart"/>
      <w:r>
        <w:t>Conform</w:t>
      </w:r>
      <w:proofErr w:type="gramEnd"/>
      <w:r>
        <w:t xml:space="preserve"> de afspraken uit </w:t>
      </w:r>
      <w:r w:rsidR="00057FB3">
        <w:t>het coalitieakkoord</w:t>
      </w:r>
      <w:r>
        <w:rPr>
          <w:rStyle w:val="Voetnootmarkering"/>
        </w:rPr>
        <w:footnoteReference w:id="1"/>
      </w:r>
      <w:r w:rsidR="0079214A">
        <w:t xml:space="preserve"> en </w:t>
      </w:r>
      <w:r w:rsidRPr="003B3F52" w:rsidR="0079214A">
        <w:t xml:space="preserve">de </w:t>
      </w:r>
      <w:r w:rsidRPr="003B3F52">
        <w:t>schriftelijke toezegging</w:t>
      </w:r>
      <w:r w:rsidRPr="003B3F52" w:rsidR="0079214A">
        <w:t xml:space="preserve"> </w:t>
      </w:r>
      <w:r w:rsidRPr="003B3F52">
        <w:t xml:space="preserve">uit de </w:t>
      </w:r>
      <w:r w:rsidRPr="003B3F52" w:rsidR="0079214A">
        <w:t>brief die namens ons beide</w:t>
      </w:r>
      <w:r w:rsidR="0056681C">
        <w:t>n</w:t>
      </w:r>
      <w:r w:rsidRPr="003B3F52" w:rsidR="0079214A">
        <w:t xml:space="preserve"> op 5</w:t>
      </w:r>
      <w:r w:rsidR="00597BC8">
        <w:t> </w:t>
      </w:r>
      <w:r w:rsidRPr="003B3F52" w:rsidR="0079214A">
        <w:t>juli</w:t>
      </w:r>
      <w:r w:rsidR="00597BC8">
        <w:t> </w:t>
      </w:r>
      <w:r w:rsidRPr="003B3F52" w:rsidR="0079214A">
        <w:t>2022 naar uw Kamer werd gestuurd</w:t>
      </w:r>
      <w:r w:rsidRPr="003B3F52">
        <w:rPr>
          <w:rStyle w:val="Voetnootmarkering"/>
        </w:rPr>
        <w:footnoteReference w:id="2"/>
      </w:r>
      <w:r w:rsidRPr="003B3F52">
        <w:t>,</w:t>
      </w:r>
      <w:r>
        <w:t xml:space="preserve"> </w:t>
      </w:r>
      <w:r w:rsidR="00865077">
        <w:t>bieden wij</w:t>
      </w:r>
      <w:r w:rsidR="009A2420">
        <w:t xml:space="preserve"> </w:t>
      </w:r>
      <w:r>
        <w:t xml:space="preserve">u middels deze brief </w:t>
      </w:r>
      <w:r w:rsidR="009A2420">
        <w:t xml:space="preserve">het onderzoek van </w:t>
      </w:r>
      <w:proofErr w:type="spellStart"/>
      <w:r w:rsidR="009A2420">
        <w:t>Ecorys</w:t>
      </w:r>
      <w:proofErr w:type="spellEnd"/>
      <w:r>
        <w:t xml:space="preserve"> naar de verkenning van een brede suikerbelasting op voedingsmiddelen</w:t>
      </w:r>
      <w:r w:rsidR="009A2420">
        <w:t xml:space="preserve"> aan</w:t>
      </w:r>
      <w:r>
        <w:t>.</w:t>
      </w:r>
    </w:p>
    <w:p w:rsidR="00E6160A" w:rsidRDefault="00E6160A" w14:paraId="1C6AAB9C" w14:textId="77777777"/>
    <w:p w:rsidR="00174D8A" w:rsidRDefault="0055463D" w14:paraId="4346438F" w14:textId="77777777">
      <w:r>
        <w:t>In het coalitieakkoord is afgesproken dat wordt bezien hoe op termijn een suikerbelasting kan worden ingevoerd. In dit kader hebben d</w:t>
      </w:r>
      <w:r w:rsidR="00220025">
        <w:t>e</w:t>
      </w:r>
      <w:r w:rsidR="00057FB3">
        <w:t xml:space="preserve"> ministeries van Financi</w:t>
      </w:r>
      <w:r w:rsidR="00220025">
        <w:t>ë</w:t>
      </w:r>
      <w:r w:rsidR="00057FB3">
        <w:t>n en van Volksgezondheid, Welzijn en Sport</w:t>
      </w:r>
      <w:r w:rsidR="00E6160A">
        <w:t xml:space="preserve"> het onderzoeksbureau </w:t>
      </w:r>
      <w:proofErr w:type="spellStart"/>
      <w:r w:rsidR="00E6160A">
        <w:t>Ecorys</w:t>
      </w:r>
      <w:proofErr w:type="spellEnd"/>
      <w:r w:rsidR="00057FB3">
        <w:t xml:space="preserve"> onderzoek laten </w:t>
      </w:r>
      <w:r>
        <w:t xml:space="preserve">uitvoeren </w:t>
      </w:r>
      <w:r w:rsidR="00057FB3">
        <w:t xml:space="preserve">naar een </w:t>
      </w:r>
      <w:r w:rsidR="00220025">
        <w:t xml:space="preserve">brede </w:t>
      </w:r>
      <w:r w:rsidR="00057FB3">
        <w:t>suikerbelasting op voedingsmiddelen.</w:t>
      </w:r>
      <w:bookmarkEnd w:id="0"/>
      <w:r w:rsidR="00057FB3">
        <w:t xml:space="preserve"> Het onderzoek</w:t>
      </w:r>
      <w:r w:rsidR="0056681C">
        <w:t>srapport</w:t>
      </w:r>
      <w:r w:rsidR="00057FB3">
        <w:t xml:space="preserve"> is </w:t>
      </w:r>
      <w:r w:rsidR="00220025">
        <w:t xml:space="preserve">op </w:t>
      </w:r>
      <w:r w:rsidR="001557C2">
        <w:t xml:space="preserve">8 mei 2024 </w:t>
      </w:r>
      <w:r w:rsidR="00220025">
        <w:t>opgeleverd</w:t>
      </w:r>
      <w:r w:rsidR="00434DF8">
        <w:t xml:space="preserve"> en vindt u </w:t>
      </w:r>
      <w:r w:rsidR="003568F1">
        <w:t>als bijlage</w:t>
      </w:r>
      <w:r w:rsidR="00220025">
        <w:t xml:space="preserve"> bij deze brief.</w:t>
      </w:r>
      <w:r w:rsidR="00E6160A">
        <w:t xml:space="preserve"> </w:t>
      </w:r>
    </w:p>
    <w:p w:rsidR="00174D8A" w:rsidRDefault="00174D8A" w14:paraId="799A8E27" w14:textId="77777777"/>
    <w:p w:rsidR="00200F8A" w:rsidRDefault="00057FB3" w14:paraId="394C59C4" w14:textId="77777777">
      <w:r>
        <w:t xml:space="preserve">In het onderzoek </w:t>
      </w:r>
      <w:r w:rsidR="00200F8A">
        <w:t xml:space="preserve">is gekeken </w:t>
      </w:r>
      <w:r>
        <w:t xml:space="preserve">naar de mogelijkheden voor een brede suikerbelasting op voedingsmiddelen andere dan alcoholvrije dranken. Voor alcoholvrije dranken bestaat </w:t>
      </w:r>
      <w:r w:rsidR="0074218D">
        <w:t xml:space="preserve">sinds 1993 </w:t>
      </w:r>
      <w:r>
        <w:t>al een belasting met een vlak tarief. Op vrijdag</w:t>
      </w:r>
      <w:r w:rsidR="00597BC8">
        <w:t> </w:t>
      </w:r>
      <w:r>
        <w:t>26</w:t>
      </w:r>
      <w:r w:rsidR="00597BC8">
        <w:t> </w:t>
      </w:r>
      <w:r>
        <w:t>april</w:t>
      </w:r>
      <w:r w:rsidR="0043112F">
        <w:t xml:space="preserve"> 2024 </w:t>
      </w:r>
      <w:r>
        <w:t xml:space="preserve">hebben wij uw Kamer in een </w:t>
      </w:r>
      <w:r w:rsidR="00617997">
        <w:t>separate</w:t>
      </w:r>
      <w:r>
        <w:t xml:space="preserve"> brief geïnformeerd over de mogelijkheden voor een </w:t>
      </w:r>
      <w:r w:rsidR="00174D8A">
        <w:t>gedifferentieerde verbruiksbelasting van</w:t>
      </w:r>
      <w:r>
        <w:t xml:space="preserve"> </w:t>
      </w:r>
      <w:proofErr w:type="gramStart"/>
      <w:r>
        <w:t>alcoholvrije</w:t>
      </w:r>
      <w:proofErr w:type="gramEnd"/>
      <w:r>
        <w:t xml:space="preserve"> dranken</w:t>
      </w:r>
      <w:r w:rsidR="00174D8A">
        <w:t xml:space="preserve"> op basis van het suikergehalte</w:t>
      </w:r>
      <w:r>
        <w:t>.</w:t>
      </w:r>
      <w:r>
        <w:rPr>
          <w:rStyle w:val="Voetnootmarkering"/>
        </w:rPr>
        <w:footnoteReference w:id="3"/>
      </w:r>
    </w:p>
    <w:p w:rsidR="00FB4E5C" w:rsidRDefault="00FB4E5C" w14:paraId="411C87C0" w14:textId="77777777"/>
    <w:p w:rsidR="00626726" w:rsidRDefault="00200F8A" w14:paraId="7E909887" w14:textId="77777777">
      <w:bookmarkStart w:name="_Hlk165388524" w:id="1"/>
      <w:r>
        <w:t xml:space="preserve">Het onderzoek </w:t>
      </w:r>
      <w:r w:rsidR="0074218D">
        <w:t xml:space="preserve">naar een brede suikerbelasting op voedingsmiddelen </w:t>
      </w:r>
      <w:r>
        <w:t xml:space="preserve">is gericht op de vraag of </w:t>
      </w:r>
      <w:r w:rsidR="00057FB3">
        <w:t xml:space="preserve">een </w:t>
      </w:r>
      <w:r w:rsidR="0074218D">
        <w:t>dergelijke belasting</w:t>
      </w:r>
      <w:r w:rsidR="00057FB3">
        <w:t xml:space="preserve"> </w:t>
      </w:r>
      <w:r>
        <w:t xml:space="preserve">een effectief instrument is voor het verminderen van </w:t>
      </w:r>
      <w:r w:rsidR="0074218D">
        <w:t xml:space="preserve">de </w:t>
      </w:r>
      <w:r>
        <w:t xml:space="preserve">consumptie van suiker via voedingsmiddelen. </w:t>
      </w:r>
      <w:r w:rsidR="0074218D">
        <w:t>In het onderzoek</w:t>
      </w:r>
      <w:r>
        <w:t xml:space="preserve"> is </w:t>
      </w:r>
      <w:r w:rsidR="00FB4E5C">
        <w:t>ingegaan op</w:t>
      </w:r>
      <w:r w:rsidR="0074218D">
        <w:t xml:space="preserve"> de</w:t>
      </w:r>
      <w:r w:rsidR="00FB4E5C">
        <w:t xml:space="preserve"> vraag</w:t>
      </w:r>
      <w:r>
        <w:t xml:space="preserve"> hoe een dergelijke belasting kan worden vormgegeven zodat wordt bijgedragen aan dit gezondheidsdoel. Uit het onderzoek blijkt dat een suikerbelasting </w:t>
      </w:r>
      <w:r w:rsidRPr="00200F8A">
        <w:t>kan</w:t>
      </w:r>
      <w:r>
        <w:t xml:space="preserve"> bijdragen aan </w:t>
      </w:r>
      <w:r w:rsidR="00FB4E5C">
        <w:t>het verminderen van consumptie van suiker via voedingsmiddelen</w:t>
      </w:r>
      <w:r w:rsidR="00626726">
        <w:t xml:space="preserve"> en dat </w:t>
      </w:r>
      <w:r w:rsidRPr="00626726" w:rsidR="00626726">
        <w:t>het effect van een suikerbelasting op de suikerconsumptie</w:t>
      </w:r>
      <w:r w:rsidR="00626726">
        <w:t xml:space="preserve"> het grootst is onder de top twintig procent suikerconsumenten (de mensen die het meeste suiker consumeren)</w:t>
      </w:r>
      <w:r w:rsidR="009370B5">
        <w:t>.</w:t>
      </w:r>
      <w:r w:rsidR="00626726">
        <w:t xml:space="preserve"> Logischerwijs is ook de gezondheidswinst het grootst bij deze groep mensen.</w:t>
      </w:r>
    </w:p>
    <w:p w:rsidR="009370B5" w:rsidRDefault="009370B5" w14:paraId="0C3873B3" w14:textId="77777777"/>
    <w:p w:rsidR="00057FB3" w:rsidRDefault="00FB4E5C" w14:paraId="6CBB48DB" w14:textId="77777777">
      <w:r>
        <w:lastRenderedPageBreak/>
        <w:t>Onder voorwaarden kan een dergelijke belasting jur</w:t>
      </w:r>
      <w:r w:rsidR="00200F8A">
        <w:t xml:space="preserve">idisch houdbaar </w:t>
      </w:r>
      <w:r>
        <w:t>worden vormgegeven.</w:t>
      </w:r>
      <w:r w:rsidR="003568F1">
        <w:t xml:space="preserve"> </w:t>
      </w:r>
      <w:r w:rsidR="00B269EF">
        <w:t xml:space="preserve">De varianten van een brede suikerbelasting op voedingsmiddelen die </w:t>
      </w:r>
      <w:proofErr w:type="spellStart"/>
      <w:r w:rsidR="00B269EF">
        <w:t>Ecorys</w:t>
      </w:r>
      <w:proofErr w:type="spellEnd"/>
      <w:r w:rsidR="00B269EF">
        <w:t xml:space="preserve"> heeft doorgerekend hebben een budgettaire opbrengst tussen de €</w:t>
      </w:r>
      <w:r w:rsidR="003C7CAE">
        <w:t> </w:t>
      </w:r>
      <w:r w:rsidR="00B269EF">
        <w:t>700 miljoen en €</w:t>
      </w:r>
      <w:r w:rsidR="003C7CAE">
        <w:t> </w:t>
      </w:r>
      <w:r w:rsidR="00B269EF">
        <w:t>1,2 milj</w:t>
      </w:r>
      <w:r w:rsidR="00174D8A">
        <w:t>ard</w:t>
      </w:r>
      <w:r w:rsidR="00B269EF">
        <w:t xml:space="preserve">.  </w:t>
      </w:r>
    </w:p>
    <w:bookmarkEnd w:id="1"/>
    <w:p w:rsidR="00057FB3" w:rsidRDefault="00057FB3" w14:paraId="67E6E78D" w14:textId="77777777"/>
    <w:p w:rsidR="00057FB3" w:rsidRDefault="00F3771D" w14:paraId="204DFEF1" w14:textId="5AAF7A9F">
      <w:bookmarkStart w:name="_Hlk165388584" w:id="2"/>
      <w:r>
        <w:t xml:space="preserve">Tijdens het debat over de </w:t>
      </w:r>
      <w:r w:rsidRPr="00F3420E">
        <w:t>Toekomstvisie agrarische sector</w:t>
      </w:r>
      <w:r>
        <w:t xml:space="preserve"> </w:t>
      </w:r>
      <w:r w:rsidR="00C76CF4">
        <w:t>van</w:t>
      </w:r>
      <w:r>
        <w:t xml:space="preserve"> woensdag 27 maart hebben de leden </w:t>
      </w:r>
      <w:r w:rsidR="00057FB3">
        <w:t>Van Campen en Tielen een motie ingediend om opvolging van dit onderzoek aan een volgend kabinet te laten gelet op de lastendruk van een dergelijke suikerbelasting op huishoudens.</w:t>
      </w:r>
      <w:r w:rsidR="00220025">
        <w:rPr>
          <w:rStyle w:val="Voetnootmarkering"/>
        </w:rPr>
        <w:footnoteReference w:id="4"/>
      </w:r>
      <w:r w:rsidR="00057FB3">
        <w:t xml:space="preserve"> </w:t>
      </w:r>
      <w:r w:rsidR="00220025">
        <w:t xml:space="preserve">Het kabinet heeft deze motie </w:t>
      </w:r>
      <w:r w:rsidR="00BE64CA">
        <w:t>‘</w:t>
      </w:r>
      <w:r w:rsidR="00220025">
        <w:t>oordeel kamer</w:t>
      </w:r>
      <w:r w:rsidR="00BE64CA">
        <w:t>’</w:t>
      </w:r>
      <w:r w:rsidR="00220025">
        <w:t xml:space="preserve"> gegeven en dez</w:t>
      </w:r>
      <w:r w:rsidR="00057FB3">
        <w:t>e motie is door uw Kamer aangenomen. Het kabinet</w:t>
      </w:r>
      <w:r w:rsidR="00220025">
        <w:t xml:space="preserve"> zal </w:t>
      </w:r>
      <w:r w:rsidR="00057FB3">
        <w:t>geen vervolg</w:t>
      </w:r>
      <w:r w:rsidR="00220025">
        <w:t xml:space="preserve"> geven</w:t>
      </w:r>
      <w:r w:rsidR="00057FB3">
        <w:t xml:space="preserve"> aan het onderzoek naar een brede suikerbelasting </w:t>
      </w:r>
      <w:r w:rsidR="00220025">
        <w:t>gelet op haar demissionaire status. Het kabinet v</w:t>
      </w:r>
      <w:r w:rsidR="00057FB3">
        <w:t xml:space="preserve">oert </w:t>
      </w:r>
      <w:r w:rsidR="00220025">
        <w:t xml:space="preserve">daarmee </w:t>
      </w:r>
      <w:r w:rsidR="00057FB3">
        <w:t xml:space="preserve">deze </w:t>
      </w:r>
      <w:r w:rsidR="00220025">
        <w:t xml:space="preserve">aangenomen </w:t>
      </w:r>
      <w:r w:rsidR="00057FB3">
        <w:t xml:space="preserve">motie uit. Eventuele verdere opvolging van </w:t>
      </w:r>
      <w:r w:rsidR="00220025">
        <w:t>het</w:t>
      </w:r>
      <w:r w:rsidR="00057FB3">
        <w:t xml:space="preserve"> onderzoek</w:t>
      </w:r>
      <w:r w:rsidR="00220025">
        <w:t xml:space="preserve"> </w:t>
      </w:r>
      <w:r w:rsidR="00057FB3">
        <w:t xml:space="preserve">is </w:t>
      </w:r>
      <w:r w:rsidR="00220025">
        <w:t xml:space="preserve">daarmee </w:t>
      </w:r>
      <w:r w:rsidR="00057FB3">
        <w:t xml:space="preserve">aan uw Kamer of </w:t>
      </w:r>
      <w:r w:rsidR="00220025">
        <w:t xml:space="preserve">aan </w:t>
      </w:r>
      <w:r w:rsidR="00057FB3">
        <w:t>een nieuw kabinet.</w:t>
      </w:r>
    </w:p>
    <w:p w:rsidR="00E6160A" w:rsidRDefault="00E6160A" w14:paraId="6B3A1A8C" w14:textId="77777777"/>
    <w:p w:rsidR="00E6160A" w:rsidRDefault="00E6160A" w14:paraId="2F195323" w14:textId="77777777"/>
    <w:bookmarkEnd w:id="2"/>
    <w:p w:rsidR="003066DC" w:rsidRDefault="00AD2520" w14:paraId="79973D4E" w14:textId="77777777">
      <w:pPr>
        <w:pStyle w:val="StandaardSlotzin"/>
      </w:pPr>
      <w:r>
        <w:t>Hoogachtend,</w:t>
      </w:r>
    </w:p>
    <w:p w:rsidR="003066DC" w:rsidRDefault="003066DC" w14:paraId="3A17C023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3066DC" w:rsidTr="00BE64CA" w14:paraId="01481690" w14:textId="77777777">
        <w:tc>
          <w:tcPr>
            <w:tcW w:w="3592" w:type="dxa"/>
          </w:tcPr>
          <w:p w:rsidR="003066DC" w:rsidRDefault="00BE64CA" w14:paraId="3C32E0A6" w14:textId="3007B08A">
            <w:proofErr w:type="gramStart"/>
            <w:r>
              <w:t>d</w:t>
            </w:r>
            <w:r w:rsidR="00AD2520">
              <w:t>e</w:t>
            </w:r>
            <w:proofErr w:type="gramEnd"/>
            <w:r w:rsidR="00AD2520">
              <w:t xml:space="preserve"> staatssecretaris van Financiën - Fiscaliteit en Belastingdienst,</w:t>
            </w:r>
            <w:r w:rsidR="00AD2520">
              <w:br/>
            </w:r>
            <w:r w:rsidR="00AD2520">
              <w:br/>
            </w:r>
            <w:r w:rsidR="00AD2520">
              <w:br/>
            </w:r>
            <w:r w:rsidR="00AD2520">
              <w:br/>
            </w:r>
            <w:r w:rsidR="00AD2520">
              <w:br/>
            </w:r>
            <w:r w:rsidR="00AD2520">
              <w:br/>
              <w:t>Marnix L.A. van Rij</w:t>
            </w:r>
          </w:p>
        </w:tc>
        <w:tc>
          <w:tcPr>
            <w:tcW w:w="3892" w:type="dxa"/>
          </w:tcPr>
          <w:p w:rsidR="003066DC" w:rsidRDefault="00AD2520" w14:paraId="06E1034B" w14:textId="77777777">
            <w:proofErr w:type="gramStart"/>
            <w:r>
              <w:t>de</w:t>
            </w:r>
            <w:proofErr w:type="gramEnd"/>
            <w:r>
              <w:t xml:space="preserve"> </w:t>
            </w:r>
            <w:r w:rsidR="00DA34D6">
              <w:t>staatssecretaris van Volksgezondheid, Welzijn en Sport</w:t>
            </w:r>
            <w:r>
              <w:t>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DA34D6">
              <w:t>Maarten van Ooijen</w:t>
            </w:r>
          </w:p>
        </w:tc>
      </w:tr>
      <w:tr w:rsidR="003066DC" w:rsidTr="00BE64CA" w14:paraId="391EFDD3" w14:textId="77777777">
        <w:tc>
          <w:tcPr>
            <w:tcW w:w="3592" w:type="dxa"/>
          </w:tcPr>
          <w:p w:rsidR="003066DC" w:rsidRDefault="003066DC" w14:paraId="45963C46" w14:textId="77777777"/>
        </w:tc>
        <w:tc>
          <w:tcPr>
            <w:tcW w:w="3892" w:type="dxa"/>
          </w:tcPr>
          <w:p w:rsidR="003066DC" w:rsidRDefault="00AD2520" w14:paraId="2F93187B" w14:textId="77777777">
            <w:r>
              <w:t> </w:t>
            </w:r>
          </w:p>
        </w:tc>
      </w:tr>
      <w:tr w:rsidR="003066DC" w:rsidTr="00BE64CA" w14:paraId="6BE7A6FE" w14:textId="77777777">
        <w:tc>
          <w:tcPr>
            <w:tcW w:w="3592" w:type="dxa"/>
          </w:tcPr>
          <w:p w:rsidR="003066DC" w:rsidRDefault="003066DC" w14:paraId="74FC6B01" w14:textId="77777777"/>
        </w:tc>
        <w:tc>
          <w:tcPr>
            <w:tcW w:w="3892" w:type="dxa"/>
          </w:tcPr>
          <w:p w:rsidR="003066DC" w:rsidRDefault="00AD2520" w14:paraId="12A20006" w14:textId="77777777">
            <w:r>
              <w:t> </w:t>
            </w:r>
          </w:p>
        </w:tc>
      </w:tr>
      <w:tr w:rsidR="003066DC" w:rsidTr="00BE64CA" w14:paraId="32463FFA" w14:textId="77777777">
        <w:tc>
          <w:tcPr>
            <w:tcW w:w="3592" w:type="dxa"/>
          </w:tcPr>
          <w:p w:rsidR="003066DC" w:rsidRDefault="003066DC" w14:paraId="30FE3CAF" w14:textId="77777777"/>
        </w:tc>
        <w:tc>
          <w:tcPr>
            <w:tcW w:w="3892" w:type="dxa"/>
          </w:tcPr>
          <w:p w:rsidR="003066DC" w:rsidRDefault="00AD2520" w14:paraId="246ADA52" w14:textId="77777777">
            <w:r>
              <w:t> </w:t>
            </w:r>
          </w:p>
        </w:tc>
      </w:tr>
      <w:tr w:rsidR="003066DC" w:rsidTr="00BE64CA" w14:paraId="2AFF2526" w14:textId="77777777">
        <w:tc>
          <w:tcPr>
            <w:tcW w:w="3592" w:type="dxa"/>
          </w:tcPr>
          <w:p w:rsidR="003066DC" w:rsidRDefault="003066DC" w14:paraId="4C111889" w14:textId="77777777"/>
        </w:tc>
        <w:tc>
          <w:tcPr>
            <w:tcW w:w="3892" w:type="dxa"/>
          </w:tcPr>
          <w:p w:rsidR="003066DC" w:rsidRDefault="00AD2520" w14:paraId="46E71AE2" w14:textId="77777777">
            <w:r>
              <w:t> </w:t>
            </w:r>
          </w:p>
        </w:tc>
      </w:tr>
    </w:tbl>
    <w:p w:rsidR="003066DC" w:rsidRDefault="003066DC" w14:paraId="1940DC81" w14:textId="77777777">
      <w:pPr>
        <w:pStyle w:val="WitregelW1bodytekst"/>
      </w:pPr>
    </w:p>
    <w:p w:rsidR="003066DC" w:rsidRDefault="003066DC" w14:paraId="6857EF18" w14:textId="77777777">
      <w:pPr>
        <w:pStyle w:val="Verdana7"/>
      </w:pPr>
    </w:p>
    <w:sectPr w:rsidR="003066D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085D" w14:textId="77777777" w:rsidR="00BA57B6" w:rsidRDefault="00BA57B6">
      <w:pPr>
        <w:spacing w:line="240" w:lineRule="auto"/>
      </w:pPr>
      <w:r>
        <w:separator/>
      </w:r>
    </w:p>
  </w:endnote>
  <w:endnote w:type="continuationSeparator" w:id="0">
    <w:p w14:paraId="115B9119" w14:textId="77777777" w:rsidR="00BA57B6" w:rsidRDefault="00BA5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838F" w14:textId="77777777" w:rsidR="00BA57B6" w:rsidRDefault="00BA57B6">
      <w:pPr>
        <w:spacing w:line="240" w:lineRule="auto"/>
      </w:pPr>
      <w:r>
        <w:separator/>
      </w:r>
    </w:p>
  </w:footnote>
  <w:footnote w:type="continuationSeparator" w:id="0">
    <w:p w14:paraId="21F4E577" w14:textId="77777777" w:rsidR="00BA57B6" w:rsidRDefault="00BA57B6">
      <w:pPr>
        <w:spacing w:line="240" w:lineRule="auto"/>
      </w:pPr>
      <w:r>
        <w:continuationSeparator/>
      </w:r>
    </w:p>
  </w:footnote>
  <w:footnote w:id="1">
    <w:p w14:paraId="41F31A96" w14:textId="77777777" w:rsidR="00E6160A" w:rsidRPr="00200F8A" w:rsidRDefault="00E6160A" w:rsidP="00E6160A">
      <w:pPr>
        <w:pStyle w:val="Voetnoottekst"/>
        <w:rPr>
          <w:sz w:val="14"/>
          <w:szCs w:val="14"/>
        </w:rPr>
      </w:pPr>
      <w:r w:rsidRPr="00200F8A">
        <w:rPr>
          <w:rStyle w:val="Voetnootmarkering"/>
          <w:sz w:val="14"/>
          <w:szCs w:val="14"/>
        </w:rPr>
        <w:footnoteRef/>
      </w:r>
      <w:r w:rsidRPr="00200F8A">
        <w:rPr>
          <w:sz w:val="14"/>
          <w:szCs w:val="14"/>
        </w:rPr>
        <w:t xml:space="preserve"> Coalitieakkoord ‘Omzien naar elkaar, vooruitkijken naar de toekomst’, p. 35.</w:t>
      </w:r>
    </w:p>
  </w:footnote>
  <w:footnote w:id="2">
    <w:p w14:paraId="264FC356" w14:textId="77777777" w:rsidR="00E6160A" w:rsidRPr="005D2316" w:rsidRDefault="00E6160A">
      <w:pPr>
        <w:pStyle w:val="Voetnoottekst"/>
        <w:rPr>
          <w:sz w:val="13"/>
          <w:szCs w:val="13"/>
        </w:rPr>
      </w:pPr>
      <w:r w:rsidRPr="005D2316">
        <w:rPr>
          <w:rStyle w:val="Voetnootmarkering"/>
          <w:sz w:val="13"/>
          <w:szCs w:val="13"/>
        </w:rPr>
        <w:footnoteRef/>
      </w:r>
      <w:r w:rsidRPr="005D2316">
        <w:rPr>
          <w:sz w:val="13"/>
          <w:szCs w:val="13"/>
        </w:rPr>
        <w:t xml:space="preserve"> </w:t>
      </w:r>
      <w:r w:rsidR="0079214A" w:rsidRPr="003B3F52">
        <w:rPr>
          <w:sz w:val="14"/>
          <w:szCs w:val="14"/>
        </w:rPr>
        <w:t>Kamerstukken II 2021/22, 31532, nr. 275</w:t>
      </w:r>
    </w:p>
  </w:footnote>
  <w:footnote w:id="3">
    <w:p w14:paraId="5D0581B9" w14:textId="77777777" w:rsidR="00057FB3" w:rsidRPr="00200F8A" w:rsidRDefault="00057FB3">
      <w:pPr>
        <w:pStyle w:val="Voetnoottekst"/>
        <w:rPr>
          <w:sz w:val="14"/>
          <w:szCs w:val="14"/>
        </w:rPr>
      </w:pPr>
      <w:r w:rsidRPr="00200F8A">
        <w:rPr>
          <w:rStyle w:val="Voetnootmarkering"/>
          <w:sz w:val="14"/>
          <w:szCs w:val="14"/>
        </w:rPr>
        <w:footnoteRef/>
      </w:r>
      <w:r w:rsidRPr="00200F8A">
        <w:rPr>
          <w:sz w:val="14"/>
          <w:szCs w:val="14"/>
        </w:rPr>
        <w:t xml:space="preserve"> Kamerstukken II 2023/24, </w:t>
      </w:r>
      <w:r w:rsidR="00597BC8">
        <w:rPr>
          <w:sz w:val="14"/>
          <w:szCs w:val="14"/>
        </w:rPr>
        <w:t>32140, nr. 186.</w:t>
      </w:r>
    </w:p>
  </w:footnote>
  <w:footnote w:id="4">
    <w:p w14:paraId="374E7AFD" w14:textId="77777777" w:rsidR="00220025" w:rsidRPr="004F1D64" w:rsidRDefault="00220025">
      <w:pPr>
        <w:pStyle w:val="Voetnoottekst"/>
        <w:rPr>
          <w:sz w:val="13"/>
          <w:szCs w:val="13"/>
        </w:rPr>
      </w:pPr>
      <w:r w:rsidRPr="004F1D64">
        <w:rPr>
          <w:rStyle w:val="Voetnootmarkering"/>
          <w:sz w:val="13"/>
          <w:szCs w:val="13"/>
        </w:rPr>
        <w:footnoteRef/>
      </w:r>
      <w:r w:rsidRPr="004F1D64">
        <w:rPr>
          <w:sz w:val="13"/>
          <w:szCs w:val="13"/>
        </w:rPr>
        <w:t xml:space="preserve"> Kamerstukken II 2023/24, 30252, nr. 160.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A908" w14:textId="77777777" w:rsidR="003066DC" w:rsidRDefault="00AD252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1B942F9F" wp14:editId="1EF3B810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3FC655" w14:textId="77777777" w:rsidR="003066DC" w:rsidRDefault="00AD2520">
                          <w:pPr>
                            <w:pStyle w:val="StandaardReferentiegegevensKop"/>
                          </w:pPr>
                          <w:r>
                            <w:t xml:space="preserve">Directie Verbruiksbelastingen\, Douane en Internationale </w:t>
                          </w:r>
                          <w:proofErr w:type="spellStart"/>
                          <w:r>
                            <w:t>aang</w:t>
                          </w:r>
                          <w:proofErr w:type="spellEnd"/>
                          <w:r>
                            <w:t>.</w:t>
                          </w:r>
                        </w:p>
                        <w:p w14:paraId="7DA8896F" w14:textId="77777777" w:rsidR="003066DC" w:rsidRDefault="003066DC">
                          <w:pPr>
                            <w:pStyle w:val="WitregelW1"/>
                          </w:pPr>
                        </w:p>
                        <w:p w14:paraId="45AD705E" w14:textId="77777777" w:rsidR="003066DC" w:rsidRDefault="00AD252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9BCA888" w14:textId="7E39C818" w:rsidR="003D5FDC" w:rsidRDefault="003D04A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2024-0000296998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B942F9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643FC655" w14:textId="77777777" w:rsidR="003066DC" w:rsidRDefault="00AD2520">
                    <w:pPr>
                      <w:pStyle w:val="StandaardReferentiegegevensKop"/>
                    </w:pPr>
                    <w:r>
                      <w:t xml:space="preserve">Directie Verbruiksbelastingen\, Douane en Internationale </w:t>
                    </w:r>
                    <w:proofErr w:type="spellStart"/>
                    <w:r>
                      <w:t>aang</w:t>
                    </w:r>
                    <w:proofErr w:type="spellEnd"/>
                    <w:r>
                      <w:t>.</w:t>
                    </w:r>
                  </w:p>
                  <w:p w14:paraId="7DA8896F" w14:textId="77777777" w:rsidR="003066DC" w:rsidRDefault="003066DC">
                    <w:pPr>
                      <w:pStyle w:val="WitregelW1"/>
                    </w:pPr>
                  </w:p>
                  <w:p w14:paraId="45AD705E" w14:textId="77777777" w:rsidR="003066DC" w:rsidRDefault="00AD252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9BCA888" w14:textId="7E39C818" w:rsidR="003D5FDC" w:rsidRDefault="003D04A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2024-0000296998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6E8F45D" wp14:editId="31F3504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2A1B0E" w14:textId="77777777" w:rsidR="003D5FDC" w:rsidRDefault="003D04A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E8F45D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72A1B0E" w14:textId="77777777" w:rsidR="003D5FDC" w:rsidRDefault="003D04A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E5A977E" wp14:editId="54729A5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719F50" w14:textId="6299BD59" w:rsidR="003D5FDC" w:rsidRDefault="003D04A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5A977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41719F50" w14:textId="6299BD59" w:rsidR="003D5FDC" w:rsidRDefault="003D04A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C617" w14:textId="77777777" w:rsidR="003066DC" w:rsidRDefault="00AD252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B98903E" wp14:editId="36E265A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EAC990" w14:textId="77777777" w:rsidR="003066DC" w:rsidRDefault="00AD252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F6165" wp14:editId="6D282572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B98903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AEAC990" w14:textId="77777777" w:rsidR="003066DC" w:rsidRDefault="00AD252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5F6165" wp14:editId="6D282572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6637ECF" wp14:editId="5204805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FC2F7D" w14:textId="77777777" w:rsidR="007334E4" w:rsidRDefault="007334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637EC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6FFC2F7D" w14:textId="77777777" w:rsidR="007334E4" w:rsidRDefault="007334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1BBC1AD" wp14:editId="6B01D54C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F69340" w14:textId="77777777" w:rsidR="003066DC" w:rsidRDefault="00AD2520">
                          <w:pPr>
                            <w:pStyle w:val="StandaardReferentiegegevensKop"/>
                          </w:pPr>
                          <w:r>
                            <w:t xml:space="preserve">Directie Verbruiksbelastingen\, Douane en Internationale </w:t>
                          </w:r>
                          <w:proofErr w:type="spellStart"/>
                          <w:r>
                            <w:t>aang</w:t>
                          </w:r>
                          <w:proofErr w:type="spellEnd"/>
                          <w:r>
                            <w:t>.</w:t>
                          </w:r>
                        </w:p>
                        <w:p w14:paraId="127BE9DA" w14:textId="77777777" w:rsidR="003066DC" w:rsidRDefault="003066DC">
                          <w:pPr>
                            <w:pStyle w:val="WitregelW1"/>
                          </w:pPr>
                        </w:p>
                        <w:p w14:paraId="36C6FD61" w14:textId="77777777" w:rsidR="003066DC" w:rsidRDefault="00AD252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AF33A06" w14:textId="77777777" w:rsidR="003066DC" w:rsidRDefault="00AD252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005AC1B" w14:textId="77777777" w:rsidR="003066DC" w:rsidRDefault="00AD252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4A85CED" w14:textId="77777777" w:rsidR="003066DC" w:rsidRDefault="00AD252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A01D720" w14:textId="77777777" w:rsidR="003066DC" w:rsidRDefault="00AD2520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23A6B71A" w14:textId="77777777" w:rsidR="003066DC" w:rsidRDefault="003066DC">
                          <w:pPr>
                            <w:pStyle w:val="WitregelW2"/>
                          </w:pPr>
                        </w:p>
                        <w:p w14:paraId="4DCB1711" w14:textId="77777777" w:rsidR="003066DC" w:rsidRDefault="00AD252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340D0FB" w14:textId="4565599D" w:rsidR="003D5FDC" w:rsidRDefault="003D04A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2024-0000296998</w:t>
                          </w:r>
                          <w:r>
                            <w:fldChar w:fldCharType="end"/>
                          </w:r>
                        </w:p>
                        <w:p w14:paraId="689DCC94" w14:textId="77777777" w:rsidR="003066DC" w:rsidRDefault="003066DC">
                          <w:pPr>
                            <w:pStyle w:val="WitregelW1"/>
                          </w:pPr>
                        </w:p>
                        <w:p w14:paraId="08BE27BB" w14:textId="77777777" w:rsidR="003066DC" w:rsidRDefault="00AD252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206F2E0" w14:textId="12C5115F" w:rsidR="003D5FDC" w:rsidRDefault="003D04A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</w:instrText>
                          </w:r>
                          <w:r>
                            <w:instrText xml:space="preserve">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FA028DB" w14:textId="77777777" w:rsidR="003066DC" w:rsidRDefault="003066DC">
                          <w:pPr>
                            <w:pStyle w:val="WitregelW1"/>
                          </w:pPr>
                        </w:p>
                        <w:p w14:paraId="1E4C3D38" w14:textId="77777777" w:rsidR="003066DC" w:rsidRDefault="00AD252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DD547C9" w14:textId="77777777" w:rsidR="003066DC" w:rsidRDefault="00AD2520">
                          <w:pPr>
                            <w:pStyle w:val="StandaardReferentiegegevens"/>
                          </w:pPr>
                          <w:r>
                            <w:t xml:space="preserve">1. </w:t>
                          </w:r>
                          <w:r w:rsidR="0056681C">
                            <w:t>Verkennend o</w:t>
                          </w:r>
                          <w:r>
                            <w:t>nderzoek</w:t>
                          </w:r>
                          <w:r w:rsidR="00725E55">
                            <w:t xml:space="preserve"> </w:t>
                          </w:r>
                          <w:r w:rsidR="0056681C">
                            <w:t xml:space="preserve">suikerbelasting </w:t>
                          </w:r>
                          <w:proofErr w:type="spellStart"/>
                          <w:r w:rsidR="00725E55">
                            <w:t>Ecorys</w:t>
                          </w:r>
                          <w:proofErr w:type="spellEnd"/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BBC1AD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4F69340" w14:textId="77777777" w:rsidR="003066DC" w:rsidRDefault="00AD2520">
                    <w:pPr>
                      <w:pStyle w:val="StandaardReferentiegegevensKop"/>
                    </w:pPr>
                    <w:r>
                      <w:t xml:space="preserve">Directie Verbruiksbelastingen\, Douane en Internationale </w:t>
                    </w:r>
                    <w:proofErr w:type="spellStart"/>
                    <w:r>
                      <w:t>aang</w:t>
                    </w:r>
                    <w:proofErr w:type="spellEnd"/>
                    <w:r>
                      <w:t>.</w:t>
                    </w:r>
                  </w:p>
                  <w:p w14:paraId="127BE9DA" w14:textId="77777777" w:rsidR="003066DC" w:rsidRDefault="003066DC">
                    <w:pPr>
                      <w:pStyle w:val="WitregelW1"/>
                    </w:pPr>
                  </w:p>
                  <w:p w14:paraId="36C6FD61" w14:textId="77777777" w:rsidR="003066DC" w:rsidRDefault="00AD252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AF33A06" w14:textId="77777777" w:rsidR="003066DC" w:rsidRDefault="00AD252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005AC1B" w14:textId="77777777" w:rsidR="003066DC" w:rsidRDefault="00AD252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4A85CED" w14:textId="77777777" w:rsidR="003066DC" w:rsidRDefault="00AD252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A01D720" w14:textId="77777777" w:rsidR="003066DC" w:rsidRDefault="00AD2520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23A6B71A" w14:textId="77777777" w:rsidR="003066DC" w:rsidRDefault="003066DC">
                    <w:pPr>
                      <w:pStyle w:val="WitregelW2"/>
                    </w:pPr>
                  </w:p>
                  <w:p w14:paraId="4DCB1711" w14:textId="77777777" w:rsidR="003066DC" w:rsidRDefault="00AD252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340D0FB" w14:textId="4565599D" w:rsidR="003D5FDC" w:rsidRDefault="003D04A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2024-0000296998</w:t>
                    </w:r>
                    <w:r>
                      <w:fldChar w:fldCharType="end"/>
                    </w:r>
                  </w:p>
                  <w:p w14:paraId="689DCC94" w14:textId="77777777" w:rsidR="003066DC" w:rsidRDefault="003066DC">
                    <w:pPr>
                      <w:pStyle w:val="WitregelW1"/>
                    </w:pPr>
                  </w:p>
                  <w:p w14:paraId="08BE27BB" w14:textId="77777777" w:rsidR="003066DC" w:rsidRDefault="00AD252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206F2E0" w14:textId="12C5115F" w:rsidR="003D5FDC" w:rsidRDefault="003D04A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</w:instrText>
                    </w:r>
                    <w:r>
                      <w:instrText xml:space="preserve">ERTY  "UwKenmerk"  \* MERGEFORMAT </w:instrText>
                    </w:r>
                    <w:r>
                      <w:fldChar w:fldCharType="end"/>
                    </w:r>
                  </w:p>
                  <w:p w14:paraId="5FA028DB" w14:textId="77777777" w:rsidR="003066DC" w:rsidRDefault="003066DC">
                    <w:pPr>
                      <w:pStyle w:val="WitregelW1"/>
                    </w:pPr>
                  </w:p>
                  <w:p w14:paraId="1E4C3D38" w14:textId="77777777" w:rsidR="003066DC" w:rsidRDefault="00AD2520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DD547C9" w14:textId="77777777" w:rsidR="003066DC" w:rsidRDefault="00AD2520">
                    <w:pPr>
                      <w:pStyle w:val="StandaardReferentiegegevens"/>
                    </w:pPr>
                    <w:r>
                      <w:t xml:space="preserve">1. </w:t>
                    </w:r>
                    <w:r w:rsidR="0056681C">
                      <w:t>Verkennend o</w:t>
                    </w:r>
                    <w:r>
                      <w:t>nderzoek</w:t>
                    </w:r>
                    <w:r w:rsidR="00725E55">
                      <w:t xml:space="preserve"> </w:t>
                    </w:r>
                    <w:r w:rsidR="0056681C">
                      <w:t xml:space="preserve">suikerbelasting </w:t>
                    </w:r>
                    <w:proofErr w:type="spellStart"/>
                    <w:r w:rsidR="00725E55">
                      <w:t>Ecorys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060C171" wp14:editId="5AE9D73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61F3AB" w14:textId="77777777" w:rsidR="003066DC" w:rsidRDefault="00AD252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60C17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0961F3AB" w14:textId="77777777" w:rsidR="003066DC" w:rsidRDefault="00AD252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7F1C6D9" wp14:editId="71664E5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775F5A" w14:textId="5D0A8417" w:rsidR="003D5FDC" w:rsidRDefault="003D04A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891CDEB" w14:textId="77777777" w:rsidR="003066DC" w:rsidRDefault="00AD2520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F1C6D9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22775F5A" w14:textId="5D0A8417" w:rsidR="003D5FDC" w:rsidRDefault="003D04A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891CDEB" w14:textId="77777777" w:rsidR="003066DC" w:rsidRDefault="00AD2520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CD7714F" wp14:editId="7022D58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876163" w14:textId="77777777" w:rsidR="003D5FDC" w:rsidRDefault="003D04A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D7714F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3876163" w14:textId="77777777" w:rsidR="003D5FDC" w:rsidRDefault="003D04A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365FF80" wp14:editId="7B077D2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066DC" w14:paraId="0405DF1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8306017" w14:textId="77777777" w:rsidR="003066DC" w:rsidRDefault="003066DC"/>
                            </w:tc>
                            <w:tc>
                              <w:tcPr>
                                <w:tcW w:w="5400" w:type="dxa"/>
                              </w:tcPr>
                              <w:p w14:paraId="22E3461F" w14:textId="77777777" w:rsidR="003066DC" w:rsidRDefault="003066DC"/>
                            </w:tc>
                          </w:tr>
                          <w:tr w:rsidR="003066DC" w14:paraId="4736975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04C484C" w14:textId="77777777" w:rsidR="003066DC" w:rsidRDefault="00AD252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97E8EBC" w14:textId="2A7E6397" w:rsidR="003066DC" w:rsidRDefault="003D04A7">
                                <w:r>
                                  <w:t>14 mei 2024</w:t>
                                </w:r>
                              </w:p>
                            </w:tc>
                          </w:tr>
                          <w:tr w:rsidR="003066DC" w14:paraId="65FE934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458C4AB" w14:textId="77777777" w:rsidR="003066DC" w:rsidRDefault="00AD252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C7D825A" w14:textId="287EEA05" w:rsidR="003066DC" w:rsidRDefault="003D04A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Oplevering onderzoek naar de mogelijkheden voor een brede suikerbelasting op voedingsmiddelen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066DC" w14:paraId="3C03ADE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26604A7" w14:textId="77777777" w:rsidR="003066DC" w:rsidRDefault="003066DC"/>
                            </w:tc>
                            <w:tc>
                              <w:tcPr>
                                <w:tcW w:w="4738" w:type="dxa"/>
                              </w:tcPr>
                              <w:p w14:paraId="4ECD7B65" w14:textId="77777777" w:rsidR="003066DC" w:rsidRDefault="003066DC"/>
                            </w:tc>
                          </w:tr>
                        </w:tbl>
                        <w:p w14:paraId="74344DF0" w14:textId="77777777" w:rsidR="007334E4" w:rsidRDefault="007334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65FF80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066DC" w14:paraId="0405DF1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8306017" w14:textId="77777777" w:rsidR="003066DC" w:rsidRDefault="003066DC"/>
                      </w:tc>
                      <w:tc>
                        <w:tcPr>
                          <w:tcW w:w="5400" w:type="dxa"/>
                        </w:tcPr>
                        <w:p w14:paraId="22E3461F" w14:textId="77777777" w:rsidR="003066DC" w:rsidRDefault="003066DC"/>
                      </w:tc>
                    </w:tr>
                    <w:tr w:rsidR="003066DC" w14:paraId="4736975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04C484C" w14:textId="77777777" w:rsidR="003066DC" w:rsidRDefault="00AD252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97E8EBC" w14:textId="2A7E6397" w:rsidR="003066DC" w:rsidRDefault="003D04A7">
                          <w:r>
                            <w:t>14 mei 2024</w:t>
                          </w:r>
                        </w:p>
                      </w:tc>
                    </w:tr>
                    <w:tr w:rsidR="003066DC" w14:paraId="65FE934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458C4AB" w14:textId="77777777" w:rsidR="003066DC" w:rsidRDefault="00AD252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C7D825A" w14:textId="287EEA05" w:rsidR="003066DC" w:rsidRDefault="003D04A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Oplevering onderzoek naar de mogelijkheden voor een brede suikerbelasting op voedingsmiddelen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066DC" w14:paraId="3C03ADE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26604A7" w14:textId="77777777" w:rsidR="003066DC" w:rsidRDefault="003066DC"/>
                      </w:tc>
                      <w:tc>
                        <w:tcPr>
                          <w:tcW w:w="4738" w:type="dxa"/>
                        </w:tcPr>
                        <w:p w14:paraId="4ECD7B65" w14:textId="77777777" w:rsidR="003066DC" w:rsidRDefault="003066DC"/>
                      </w:tc>
                    </w:tr>
                  </w:tbl>
                  <w:p w14:paraId="74344DF0" w14:textId="77777777" w:rsidR="007334E4" w:rsidRDefault="007334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95A49F1" wp14:editId="47D382AF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E3DBD3" w14:textId="035A8593" w:rsidR="003D5FDC" w:rsidRDefault="003D04A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5A49F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0AE3DBD3" w14:textId="035A8593" w:rsidR="003D5FDC" w:rsidRDefault="003D04A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8494F24" wp14:editId="4F6DCA3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3868CF" w14:textId="77777777" w:rsidR="007334E4" w:rsidRDefault="007334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494F24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383868CF" w14:textId="77777777" w:rsidR="007334E4" w:rsidRDefault="007334E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AB6DC8"/>
    <w:multiLevelType w:val="multilevel"/>
    <w:tmpl w:val="3AD0653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F90B2C2"/>
    <w:multiLevelType w:val="multilevel"/>
    <w:tmpl w:val="E55C10B7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23624"/>
    <w:multiLevelType w:val="multilevel"/>
    <w:tmpl w:val="1A32C7D2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33F3B"/>
    <w:multiLevelType w:val="multilevel"/>
    <w:tmpl w:val="154C8AC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1E7BAB"/>
    <w:multiLevelType w:val="multilevel"/>
    <w:tmpl w:val="4D386E7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85A83"/>
    <w:multiLevelType w:val="multilevel"/>
    <w:tmpl w:val="5B696AE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7758553">
    <w:abstractNumId w:val="4"/>
  </w:num>
  <w:num w:numId="2" w16cid:durableId="595749363">
    <w:abstractNumId w:val="0"/>
  </w:num>
  <w:num w:numId="3" w16cid:durableId="1047531311">
    <w:abstractNumId w:val="5"/>
  </w:num>
  <w:num w:numId="4" w16cid:durableId="16009657">
    <w:abstractNumId w:val="3"/>
  </w:num>
  <w:num w:numId="5" w16cid:durableId="401484475">
    <w:abstractNumId w:val="1"/>
  </w:num>
  <w:num w:numId="6" w16cid:durableId="122599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D6"/>
    <w:rsid w:val="00057FB3"/>
    <w:rsid w:val="0007237A"/>
    <w:rsid w:val="000966DD"/>
    <w:rsid w:val="000C43C2"/>
    <w:rsid w:val="001557C2"/>
    <w:rsid w:val="00174D8A"/>
    <w:rsid w:val="001B437B"/>
    <w:rsid w:val="001D30F4"/>
    <w:rsid w:val="001D4E83"/>
    <w:rsid w:val="001E6947"/>
    <w:rsid w:val="00200F8A"/>
    <w:rsid w:val="00220025"/>
    <w:rsid w:val="003066DC"/>
    <w:rsid w:val="003568F1"/>
    <w:rsid w:val="003753C6"/>
    <w:rsid w:val="0038138B"/>
    <w:rsid w:val="003B3F52"/>
    <w:rsid w:val="003C7CAE"/>
    <w:rsid w:val="003D04A7"/>
    <w:rsid w:val="003D5FDC"/>
    <w:rsid w:val="0043112F"/>
    <w:rsid w:val="00434DF8"/>
    <w:rsid w:val="004F1D64"/>
    <w:rsid w:val="0055463D"/>
    <w:rsid w:val="0056681C"/>
    <w:rsid w:val="00584FBC"/>
    <w:rsid w:val="00597BC8"/>
    <w:rsid w:val="005C0064"/>
    <w:rsid w:val="005D2316"/>
    <w:rsid w:val="00617997"/>
    <w:rsid w:val="00626726"/>
    <w:rsid w:val="006B1DD0"/>
    <w:rsid w:val="006B7F63"/>
    <w:rsid w:val="00725E55"/>
    <w:rsid w:val="007334E4"/>
    <w:rsid w:val="0074218D"/>
    <w:rsid w:val="00782888"/>
    <w:rsid w:val="0079214A"/>
    <w:rsid w:val="007C7FAF"/>
    <w:rsid w:val="0083183F"/>
    <w:rsid w:val="00865077"/>
    <w:rsid w:val="008C03DD"/>
    <w:rsid w:val="009370B5"/>
    <w:rsid w:val="009938AC"/>
    <w:rsid w:val="009A2420"/>
    <w:rsid w:val="009C032F"/>
    <w:rsid w:val="00A76D8A"/>
    <w:rsid w:val="00AA4294"/>
    <w:rsid w:val="00AD2520"/>
    <w:rsid w:val="00AE294C"/>
    <w:rsid w:val="00AE6C35"/>
    <w:rsid w:val="00B269EF"/>
    <w:rsid w:val="00B45F26"/>
    <w:rsid w:val="00B72FB5"/>
    <w:rsid w:val="00BA57B6"/>
    <w:rsid w:val="00BE64CA"/>
    <w:rsid w:val="00BF10BC"/>
    <w:rsid w:val="00C76CF4"/>
    <w:rsid w:val="00CF257D"/>
    <w:rsid w:val="00DA34D6"/>
    <w:rsid w:val="00DD4558"/>
    <w:rsid w:val="00E6160A"/>
    <w:rsid w:val="00E664E6"/>
    <w:rsid w:val="00ED5F21"/>
    <w:rsid w:val="00F3771D"/>
    <w:rsid w:val="00F471F2"/>
    <w:rsid w:val="00F743A4"/>
    <w:rsid w:val="00FB4E5C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4461B"/>
  <w15:docId w15:val="{CCC8E92A-458E-4698-8009-CAA710A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A34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4D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A34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4D6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7FB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7FB3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7FB3"/>
    <w:rPr>
      <w:vertAlign w:val="superscript"/>
    </w:rPr>
  </w:style>
  <w:style w:type="paragraph" w:styleId="Revisie">
    <w:name w:val="Revision"/>
    <w:hidden/>
    <w:uiPriority w:val="99"/>
    <w:semiHidden/>
    <w:rsid w:val="00E6160A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4F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4F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4FB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F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FBC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webSetting" Target="webSettings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Eerste%20of%20Tweede%20Kam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458</ap:Words>
  <ap:Characters>2521</ap:Characters>
  <ap:DocSecurity>0</ap:DocSecurity>
  <ap:Lines>21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2024-05-14T13:26:00.0000000Z</dcterms:created>
  <dcterms:modified xsi:type="dcterms:W3CDTF">2024-05-14T13:26:00.0000000Z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Oplevering onderzoek naar de mogelijkheden voor een brede suikerbelasting op voedingsmiddelen</vt:lpwstr>
  </property>
  <property fmtid="{D5CDD505-2E9C-101B-9397-08002B2CF9AE}" pid="4" name="Datum">
    <vt:lpwstr>30 april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2024-0000296998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2024-04-30T14:13:12Z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9b483213-fc7a-40ce-9d9c-96577854e6cb</vt:lpwstr>
  </property>
  <property fmtid="{D5CDD505-2E9C-101B-9397-08002B2CF9AE}" pid="15" name="MSIP_Label_b2aa6e22-2c82-48c6-bf24-1790f4b9c128_ContentBits">
    <vt:lpwstr>0</vt:lpwstr>
  </property>
</Properties>
</file>