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7A92" w:rsidR="00FA2BB6" w:rsidP="00FA2BB6" w:rsidRDefault="00FA2BB6" w14:paraId="4E74085A" w14:textId="451BDFC9">
      <w:r w:rsidRPr="002E7A92">
        <w:t xml:space="preserve">Op 20 maart </w:t>
      </w:r>
      <w:r w:rsidR="00FC1607">
        <w:t>heeft de minister van Sociale Zaken en Werkgelegenheid</w:t>
      </w:r>
      <w:r w:rsidRPr="002E7A92">
        <w:t xml:space="preserve"> met uw Kamer gesproken over het wetsvoorstel dat kinderopvangtoeslag (KOT) </w:t>
      </w:r>
      <w:r w:rsidR="00FA370B">
        <w:t>mogelijk moet maken</w:t>
      </w:r>
      <w:r w:rsidRPr="002E7A92" w:rsidR="00FA370B">
        <w:t xml:space="preserve"> </w:t>
      </w:r>
      <w:r w:rsidRPr="002E7A92">
        <w:t>voor Oekraïense ontheemden en ouders met een partner buiten de Europese Unie, de Europese Economische Ruimte en Zwitserland.</w:t>
      </w:r>
      <w:r w:rsidRPr="002E7A92">
        <w:rPr>
          <w:rStyle w:val="Voetnootmarkering"/>
        </w:rPr>
        <w:footnoteReference w:id="2"/>
      </w:r>
      <w:r w:rsidRPr="002E7A92">
        <w:t xml:space="preserve"> Het uitbreken van de oorlog in Oekraïne heeft een grote stroom ontheemden op gang gebracht. Twee jaar geleden </w:t>
      </w:r>
      <w:r w:rsidR="00AC5D22">
        <w:t>heeft het kabinet</w:t>
      </w:r>
      <w:r w:rsidR="003648AB">
        <w:t>, met instemming van uw Kamer</w:t>
      </w:r>
      <w:r w:rsidR="005862F8">
        <w:t>,</w:t>
      </w:r>
      <w:r w:rsidRPr="002E7A92" w:rsidR="00AC5D22">
        <w:t xml:space="preserve"> </w:t>
      </w:r>
      <w:r w:rsidRPr="002E7A92">
        <w:t xml:space="preserve">besloten om hen op te vangen en zo goed mogelijk deel te laten nemen aan de Nederlandse maatschappij. Met een oorlog die voortduurt, is dit nog steeds </w:t>
      </w:r>
      <w:r w:rsidR="00FA370B">
        <w:t xml:space="preserve">zeer </w:t>
      </w:r>
      <w:r w:rsidRPr="002E7A92">
        <w:t xml:space="preserve">nodig. </w:t>
      </w:r>
    </w:p>
    <w:p w:rsidRPr="002E7A92" w:rsidR="00FA2BB6" w:rsidP="00FA2BB6" w:rsidRDefault="00FA2BB6" w14:paraId="43ABC78B" w14:textId="77777777">
      <w:pPr>
        <w:rPr>
          <w:color w:val="auto"/>
        </w:rPr>
      </w:pPr>
    </w:p>
    <w:p w:rsidRPr="002E7A92" w:rsidR="00FA2BB6" w:rsidP="00FA2BB6" w:rsidRDefault="00FA2BB6" w14:paraId="54714161" w14:textId="799B81A3">
      <w:r w:rsidRPr="002E7A92">
        <w:t xml:space="preserve">Met dit wetsvoorstel kan de in Nederland werkende ouder met een partner buiten de EU aanspraak maken op KOT. Zo kan hij of zij deelnemen aan de arbeidsmarkt en werk en de zorg voor kinderen combineren. </w:t>
      </w:r>
      <w:r w:rsidR="00FA370B">
        <w:t xml:space="preserve">Daarmee </w:t>
      </w:r>
      <w:r w:rsidR="00FC1607">
        <w:t>zet het kabinet</w:t>
      </w:r>
      <w:r w:rsidR="00FA370B">
        <w:t xml:space="preserve"> in op e</w:t>
      </w:r>
      <w:r w:rsidRPr="002E7A92" w:rsidR="00FA370B">
        <w:t xml:space="preserve">en </w:t>
      </w:r>
      <w:r w:rsidRPr="002E7A92">
        <w:t xml:space="preserve">hogere arbeidsparticipatie. Daarnaast draagt kinderopvang bij aan de ontwikkeling van kinderen. </w:t>
      </w:r>
      <w:r w:rsidR="00E1650F">
        <w:t>Alleen mensen met een geldige verblijfsstatus voor Nederland kunnen, indien zij voldoen aan de voorwaarden, aanspraak maken op toeslagen, waaronder KOT</w:t>
      </w:r>
      <w:r w:rsidRPr="002E7A92">
        <w:t xml:space="preserve">. </w:t>
      </w:r>
      <w:r w:rsidR="00373048">
        <w:t>Beide ouders</w:t>
      </w:r>
      <w:r w:rsidR="001B0DDD">
        <w:t xml:space="preserve"> </w:t>
      </w:r>
      <w:r w:rsidRPr="002E7A92">
        <w:t xml:space="preserve">moeten werken, het kind </w:t>
      </w:r>
      <w:r w:rsidR="00373048">
        <w:t>dient</w:t>
      </w:r>
      <w:r w:rsidRPr="002E7A92" w:rsidR="00373048">
        <w:t xml:space="preserve"> </w:t>
      </w:r>
      <w:r w:rsidRPr="002E7A92">
        <w:t xml:space="preserve">naar </w:t>
      </w:r>
      <w:r w:rsidR="00373048">
        <w:t xml:space="preserve">een </w:t>
      </w:r>
      <w:r w:rsidRPr="002E7A92">
        <w:t xml:space="preserve">formele kinderopvang </w:t>
      </w:r>
      <w:r w:rsidR="00373048">
        <w:t xml:space="preserve">te </w:t>
      </w:r>
      <w:r w:rsidRPr="002E7A92">
        <w:t xml:space="preserve">gaan en de rekeningen voor het gebruik daarvan zijn betaald. </w:t>
      </w:r>
      <w:r w:rsidR="00373048">
        <w:t>O</w:t>
      </w:r>
      <w:r w:rsidRPr="002E7A92">
        <w:t xml:space="preserve">uders </w:t>
      </w:r>
      <w:r w:rsidR="00373048">
        <w:t xml:space="preserve">betalen </w:t>
      </w:r>
      <w:r w:rsidRPr="002E7A92">
        <w:t xml:space="preserve">altijd een eigen bijdrage voor de kinderopvang. Kinderopvang </w:t>
      </w:r>
      <w:r w:rsidR="007F1B3F">
        <w:t>blijft</w:t>
      </w:r>
      <w:r w:rsidRPr="002E7A92" w:rsidR="007F1B3F">
        <w:t xml:space="preserve"> </w:t>
      </w:r>
      <w:r w:rsidRPr="002E7A92">
        <w:t xml:space="preserve">netto een kostenpost. </w:t>
      </w:r>
    </w:p>
    <w:p w:rsidRPr="002E7A92" w:rsidR="00FA2BB6" w:rsidP="00FA2BB6" w:rsidRDefault="00FA2BB6" w14:paraId="65A32B01" w14:textId="77777777"/>
    <w:p w:rsidRPr="002E7A92" w:rsidR="00FA2BB6" w:rsidP="00FA2BB6" w:rsidRDefault="006439FC" w14:paraId="17E61A88" w14:textId="394D5962">
      <w:r>
        <w:t xml:space="preserve">Dienst Toeslagen </w:t>
      </w:r>
      <w:r w:rsidR="003648AB">
        <w:t>anticipeert</w:t>
      </w:r>
      <w:r>
        <w:t xml:space="preserve"> reeds</w:t>
      </w:r>
      <w:r w:rsidRPr="002E7A92" w:rsidR="00FA2BB6">
        <w:t xml:space="preserve"> op het wetsvoorstel</w:t>
      </w:r>
      <w:r>
        <w:t xml:space="preserve"> en</w:t>
      </w:r>
      <w:r w:rsidRPr="002E7A92" w:rsidR="00FA2BB6">
        <w:t xml:space="preserve"> keert vooruitlopend op de parlementaire behandeling sinds juli 2022, met terugwerkende kracht tot 4 maart 2022, voorschotten kinderopvangtoeslag uit. Hierover is uw Kamer geïnformeerd in de brief van 15 juni 2022.</w:t>
      </w:r>
      <w:r w:rsidRPr="002E7A92" w:rsidR="00FA2BB6">
        <w:rPr>
          <w:rStyle w:val="Voetnootmarkering"/>
        </w:rPr>
        <w:footnoteReference w:id="3"/>
      </w:r>
      <w:r w:rsidRPr="002E7A92" w:rsidR="00FA2BB6">
        <w:t xml:space="preserve"> Indien het wetsvoorstel niet wordt aangenomen</w:t>
      </w:r>
      <w:r w:rsidR="00E35B6D">
        <w:t>,</w:t>
      </w:r>
      <w:r w:rsidRPr="002E7A92" w:rsidR="00FA2BB6">
        <w:t xml:space="preserve"> zullen reeds ontvangen voorschotten</w:t>
      </w:r>
      <w:r w:rsidR="00443435">
        <w:t xml:space="preserve"> op de gebruikelijke manier worden gecontroleerd door Dienst Toeslagen</w:t>
      </w:r>
      <w:r w:rsidR="00A43B2A">
        <w:t>.</w:t>
      </w:r>
      <w:r w:rsidR="00C2362C">
        <w:t xml:space="preserve"> O</w:t>
      </w:r>
      <w:r w:rsidR="00B93D63">
        <w:t xml:space="preserve">p </w:t>
      </w:r>
      <w:r w:rsidRPr="002E7A92" w:rsidR="00FA2BB6">
        <w:t>basis van de beschikbare gegevens</w:t>
      </w:r>
      <w:r w:rsidR="00C2362C">
        <w:t xml:space="preserve"> zullen de aanvragen</w:t>
      </w:r>
      <w:r w:rsidR="0084618A">
        <w:t xml:space="preserve"> </w:t>
      </w:r>
      <w:r w:rsidRPr="002E7A92" w:rsidR="00FA2BB6">
        <w:t xml:space="preserve">worden </w:t>
      </w:r>
      <w:r w:rsidR="002033EE">
        <w:t>behandeld</w:t>
      </w:r>
      <w:r w:rsidRPr="002E7A92" w:rsidR="002033EE">
        <w:t xml:space="preserve"> </w:t>
      </w:r>
      <w:r w:rsidRPr="002E7A92" w:rsidR="00FA2BB6">
        <w:t>alsof het wetsvoorstel wel zou zijn aangenomen.</w:t>
      </w:r>
      <w:r w:rsidR="0084618A">
        <w:t xml:space="preserve"> </w:t>
      </w:r>
      <w:r w:rsidR="00C06D73">
        <w:t>Net als</w:t>
      </w:r>
      <w:r w:rsidR="0084618A">
        <w:t xml:space="preserve"> bij de aanvragen van andere ouders, </w:t>
      </w:r>
      <w:r w:rsidR="00C06D73">
        <w:t>zullen bijvoorbeeld afwijkingen in het aantal opvanguren worden gecorrigeerd</w:t>
      </w:r>
      <w:r w:rsidR="00E35B6D">
        <w:t xml:space="preserve">. Daaruit kunnen </w:t>
      </w:r>
      <w:r w:rsidR="00C06D73">
        <w:t>nabetalingen en terugvorderingen ontstaan</w:t>
      </w:r>
      <w:r w:rsidR="00CE7ADE">
        <w:t xml:space="preserve">. </w:t>
      </w:r>
      <w:r w:rsidR="006C20CA">
        <w:t>D</w:t>
      </w:r>
      <w:r w:rsidRPr="002E7A92" w:rsidR="00FA2BB6">
        <w:t xml:space="preserve">e aanvragen </w:t>
      </w:r>
      <w:r w:rsidR="0005532E">
        <w:t xml:space="preserve">worden </w:t>
      </w:r>
      <w:r w:rsidRPr="002E7A92" w:rsidR="00FA2BB6">
        <w:t xml:space="preserve">door Dienst Toeslagen binnen een redelijke termijn na het informeren van de betreffende burgers stopgezet, waardoor Oekraïense ontheemden en andere ouders met een partner buiten de EU de kosten van kinderopvang voortaan volledig zelf </w:t>
      </w:r>
      <w:r>
        <w:t xml:space="preserve">zullen </w:t>
      </w:r>
      <w:r w:rsidRPr="002E7A92" w:rsidR="00FA2BB6">
        <w:t xml:space="preserve">moeten betalen. </w:t>
      </w:r>
    </w:p>
    <w:p w:rsidRPr="002E7A92" w:rsidR="00FA2BB6" w:rsidP="00FA2BB6" w:rsidRDefault="00FA2BB6" w14:paraId="71948348" w14:textId="3A8DAA09">
      <w:r w:rsidRPr="002E7A92">
        <w:lastRenderedPageBreak/>
        <w:t xml:space="preserve">U heeft verzocht om per brief informatie te ontvangen over: (1) waarom voor dit instrument (de KOT) is gekozen; (2) de cijfers over de groep ouders met een partner buiten de EU en (3) de handhaving van de arbeidseis. In deze brief </w:t>
      </w:r>
      <w:r w:rsidR="008C01A9">
        <w:t xml:space="preserve">wordt hierop ingegaan. </w:t>
      </w:r>
    </w:p>
    <w:p w:rsidRPr="002E7A92" w:rsidR="00FA2BB6" w:rsidP="00FA2BB6" w:rsidRDefault="00FA2BB6" w14:paraId="33F46843" w14:textId="77777777"/>
    <w:p w:rsidRPr="002E7A92" w:rsidR="00FA2BB6" w:rsidP="00FA2BB6" w:rsidRDefault="00FA2BB6" w14:paraId="697D63FB" w14:textId="77777777">
      <w:pPr>
        <w:pStyle w:val="Lijstalinea"/>
        <w:numPr>
          <w:ilvl w:val="0"/>
          <w:numId w:val="7"/>
        </w:numPr>
        <w:rPr>
          <w:rFonts w:ascii="Verdana" w:hAnsi="Verdana"/>
          <w:b/>
          <w:bCs/>
          <w:sz w:val="18"/>
          <w:szCs w:val="18"/>
        </w:rPr>
      </w:pPr>
      <w:r w:rsidRPr="002E7A92">
        <w:rPr>
          <w:rFonts w:ascii="Verdana" w:hAnsi="Verdana"/>
          <w:b/>
          <w:bCs/>
          <w:sz w:val="18"/>
          <w:szCs w:val="18"/>
        </w:rPr>
        <w:t xml:space="preserve">Keuze instrument KOT </w:t>
      </w:r>
    </w:p>
    <w:p w:rsidRPr="002E7A92" w:rsidR="00FA2BB6" w:rsidP="00FA2BB6" w:rsidRDefault="00FA2BB6" w14:paraId="0A7173B9" w14:textId="365481F8">
      <w:r w:rsidRPr="002E7A92">
        <w:t xml:space="preserve">Tijdens het debat vroeg het lid Keijzer (BBB) waarom is gekozen om Oekraïense ontheemden aanspraak te laten maken op KOT en niet voor een aparte bijdrage/subsidie voor Oekraïense ontheemden om de kosten voor formele kinderopvang te betalen. Zoals tijdens het debat aangegeven, is dit aan </w:t>
      </w:r>
      <w:r w:rsidR="00C76695">
        <w:t xml:space="preserve">het </w:t>
      </w:r>
      <w:r w:rsidRPr="002E7A92">
        <w:t xml:space="preserve">begin van de oorlog onderzocht. Toen is gekeken of het mogelijk was om gemeenten een vergoeding uit te laten keren aan Oekraïense ontheemden om te besteden aan kinderopvang. Er is destijds voor gekozen dit niet te doen. Het </w:t>
      </w:r>
      <w:r w:rsidR="00BE07C9">
        <w:t>kabinet wil</w:t>
      </w:r>
      <w:r w:rsidRPr="002E7A92">
        <w:t xml:space="preserve"> werkende Oekraïense ontheemden tegemoetkomen in de kosten voor</w:t>
      </w:r>
      <w:r w:rsidR="00703955">
        <w:t xml:space="preserve"> </w:t>
      </w:r>
      <w:r w:rsidRPr="002E7A92">
        <w:t>kinderopvang.</w:t>
      </w:r>
      <w:r w:rsidR="00C2362C">
        <w:t xml:space="preserve"> De verwachting destijds was dat er vele Oekraïense ontheemden gebruik zouden willen maken van kinderopvang</w:t>
      </w:r>
      <w:r w:rsidR="00AD73B1">
        <w:t xml:space="preserve"> en dat zij ongelijk zouden zijn verdeeld over de gemeenten</w:t>
      </w:r>
      <w:r w:rsidR="00C2362C">
        <w:t>.</w:t>
      </w:r>
      <w:r w:rsidRPr="002E7A92">
        <w:t xml:space="preserve"> Een aparte voorziening via gemeenten is</w:t>
      </w:r>
      <w:r w:rsidR="00C2362C">
        <w:t xml:space="preserve"> </w:t>
      </w:r>
      <w:r w:rsidRPr="002E7A92">
        <w:t>minder doelmatig</w:t>
      </w:r>
      <w:r w:rsidR="00C2362C">
        <w:t xml:space="preserve"> dan de KOT</w:t>
      </w:r>
      <w:r w:rsidRPr="002E7A92">
        <w:t xml:space="preserve"> en brengt </w:t>
      </w:r>
      <w:r w:rsidR="00871ECD">
        <w:t xml:space="preserve">extra </w:t>
      </w:r>
      <w:r w:rsidRPr="002E7A92">
        <w:t>uitvoeringslasten met zich mee</w:t>
      </w:r>
      <w:r w:rsidR="00C2362C">
        <w:t xml:space="preserve">. </w:t>
      </w:r>
      <w:r w:rsidR="00A43B2A">
        <w:t xml:space="preserve">Gemeenten hebben geen ervaring met handhaving op </w:t>
      </w:r>
      <w:r w:rsidR="00E35B6D">
        <w:t>bijvoorbeeld een arbeidseis</w:t>
      </w:r>
      <w:r w:rsidR="00C2362C">
        <w:t xml:space="preserve">, </w:t>
      </w:r>
      <w:r w:rsidR="00A43B2A">
        <w:t xml:space="preserve">terwijl dit reeds onderdeel is van de uitvoeringsprocessen van </w:t>
      </w:r>
      <w:r w:rsidR="00C2362C">
        <w:t xml:space="preserve">Dienst Toeslagen. </w:t>
      </w:r>
    </w:p>
    <w:p w:rsidRPr="002E7A92" w:rsidR="00FA2BB6" w:rsidP="00FA2BB6" w:rsidRDefault="00FA2BB6" w14:paraId="2B129C15" w14:textId="77777777"/>
    <w:p w:rsidRPr="002E7A92" w:rsidR="00FA2BB6" w:rsidP="00FA2BB6" w:rsidRDefault="00FA2BB6" w14:paraId="3D712406" w14:textId="45A84413">
      <w:r w:rsidRPr="002E7A92">
        <w:t>Ook is onderzocht om een extra vergoeding voor kinderopvang toe te voegen aan het leefgeld. Daar is niet voor gekozen, omdat alle Oekraïense ontheemden leefgeld kunnen ontvangen en niet alleen zij die werken</w:t>
      </w:r>
      <w:r w:rsidR="002665FD">
        <w:t xml:space="preserve"> en kinderopvang gebruiken</w:t>
      </w:r>
      <w:r w:rsidRPr="002E7A92">
        <w:t xml:space="preserve">. </w:t>
      </w:r>
      <w:r w:rsidRPr="002E7A92" w:rsidR="00871ECD">
        <w:t xml:space="preserve">Een koppeling met het leefgeld (een generieke maatregel) zou </w:t>
      </w:r>
      <w:r w:rsidR="00871ECD">
        <w:t xml:space="preserve">daarmee ongericht zijn en </w:t>
      </w:r>
      <w:r w:rsidRPr="002E7A92" w:rsidR="00871ECD">
        <w:t xml:space="preserve">leiden tot hogere kosten. </w:t>
      </w:r>
      <w:r w:rsidRPr="002E7A92">
        <w:t>Door de keuze voor KOT blijft de tegemoetkoming voor de kosten voor kinderopvang verbonden aan arbeid</w:t>
      </w:r>
      <w:r w:rsidR="007F6AFE">
        <w:t xml:space="preserve"> en aan kinderopvang</w:t>
      </w:r>
      <w:r w:rsidRPr="002E7A92">
        <w:t xml:space="preserve">. </w:t>
      </w:r>
      <w:r w:rsidR="007F6AFE">
        <w:t>M</w:t>
      </w:r>
      <w:r w:rsidRPr="002E7A92">
        <w:t xml:space="preserve">et de KOT bestaat al een systeem waarmee doeltreffend en doelmatig voor werkende ouders een vergoeding voor kinderopvang kan worden verstrekt. </w:t>
      </w:r>
      <w:r w:rsidR="009F5CF3">
        <w:t>O</w:t>
      </w:r>
      <w:r w:rsidRPr="002E7A92">
        <w:t>m Oekraïense ontheemden aanspraak te laten maken op huurtoeslag</w:t>
      </w:r>
      <w:r w:rsidR="00BE07C9">
        <w:t xml:space="preserve"> is</w:t>
      </w:r>
      <w:r w:rsidRPr="002E7A92">
        <w:t xml:space="preserve"> de Wet op de huurtoeslag gewijzigd en</w:t>
      </w:r>
      <w:r w:rsidR="00BE07C9">
        <w:t xml:space="preserve"> is ook</w:t>
      </w:r>
      <w:r w:rsidRPr="002E7A92">
        <w:t xml:space="preserve"> aangesloten bij een reeds bestaand en gericht middel om burgers doeltreffend te ondersteunen.</w:t>
      </w:r>
    </w:p>
    <w:p w:rsidRPr="002E7A92" w:rsidR="00FA2BB6" w:rsidP="00FA2BB6" w:rsidRDefault="00FA2BB6" w14:paraId="42D3094B" w14:textId="77777777"/>
    <w:p w:rsidRPr="002E7A92" w:rsidR="008C2D4F" w:rsidP="00CD1B0F" w:rsidRDefault="00FA2BB6" w14:paraId="374537BA" w14:textId="1425DF7B">
      <w:r w:rsidRPr="002E7A92">
        <w:t>Bij de totstandkoming van de voorliggende wetswijziging is de mogelijkheid onderzocht om specifiek Oekraïense ontheemden toe te voegen aan de W</w:t>
      </w:r>
      <w:r w:rsidR="00CD1B0F">
        <w:t>et kinderopvang</w:t>
      </w:r>
      <w:r w:rsidRPr="002E7A92">
        <w:t xml:space="preserve"> en aanspraak te laten maken op KOT. Zij zouden echter vaak alsnog geen aanspraak kunnen maken op KOT, omdat zij een partner hebben die buiten de EU verblijft. In veel gevallen blijft de partner van de Oekraïense ontheemde achter, bijvoorbeeld door dienstplicht. </w:t>
      </w:r>
      <w:r w:rsidR="00C639E1">
        <w:t xml:space="preserve">Zonder dit voorstel tot wetswijziging hebben ouders met een partner buiten de EU geen recht op KOT. </w:t>
      </w:r>
      <w:r w:rsidR="008C2D4F">
        <w:t xml:space="preserve">Vanwege het gelijkheidsbeginsel kan niet </w:t>
      </w:r>
      <w:r w:rsidRPr="002E7A92" w:rsidR="008C2D4F">
        <w:t xml:space="preserve">enkel voor Oekraïense ontheemden een uitzondering </w:t>
      </w:r>
      <w:r w:rsidR="008C2D4F">
        <w:t>worden gemaakt</w:t>
      </w:r>
      <w:r w:rsidRPr="002E7A92" w:rsidR="008C2D4F">
        <w:t xml:space="preserve"> binnen de Wet kinderopvang ten opzichte van andere ouders met een partner buiten de EU. Dit volgt ook uit een eerder uitgebracht advies van de Landsadvocaat</w:t>
      </w:r>
      <w:r w:rsidR="00C639E1">
        <w:t>.</w:t>
      </w:r>
      <w:r w:rsidR="008C2D4F">
        <w:rPr>
          <w:rStyle w:val="Voetnootmarkering"/>
        </w:rPr>
        <w:footnoteReference w:id="4"/>
      </w:r>
      <w:r w:rsidRPr="002E7A92" w:rsidR="008C2D4F">
        <w:t>.</w:t>
      </w:r>
    </w:p>
    <w:p w:rsidRPr="002E7A92" w:rsidR="00FA2BB6" w:rsidP="00FA2BB6" w:rsidRDefault="00FA2BB6" w14:paraId="19F2E121" w14:textId="77777777">
      <w:pPr>
        <w:spacing w:line="240" w:lineRule="auto"/>
      </w:pPr>
    </w:p>
    <w:p w:rsidRPr="002E7A92" w:rsidR="007F6AFE" w:rsidP="00CD1B0F" w:rsidRDefault="00CA7E1A" w14:paraId="3F7A217A" w14:textId="3B9135CB">
      <w:r>
        <w:t xml:space="preserve">KOT is nodig om het hebben van werk en zorg voor de kinderen </w:t>
      </w:r>
      <w:r w:rsidR="00E607EF">
        <w:t xml:space="preserve">beter </w:t>
      </w:r>
      <w:r>
        <w:t xml:space="preserve">te </w:t>
      </w:r>
      <w:r w:rsidR="00E91DCC">
        <w:t xml:space="preserve">kunnen </w:t>
      </w:r>
      <w:r>
        <w:t>combineren. Werk is belangrijk voor het opdoen van sociale contacten, om zelfredzaam te zijn en kan</w:t>
      </w:r>
      <w:r w:rsidR="000B296F">
        <w:t xml:space="preserve"> voor statushouders</w:t>
      </w:r>
      <w:r>
        <w:t xml:space="preserve"> </w:t>
      </w:r>
      <w:r w:rsidR="00BE07C9">
        <w:t>de integratie</w:t>
      </w:r>
      <w:r>
        <w:t xml:space="preserve"> bevorderen</w:t>
      </w:r>
      <w:r w:rsidR="00E35B6D">
        <w:t>.</w:t>
      </w:r>
      <w:r>
        <w:t xml:space="preserve"> </w:t>
      </w:r>
    </w:p>
    <w:p w:rsidRPr="002E7A92" w:rsidR="00FA2BB6" w:rsidP="00FA2BB6" w:rsidRDefault="00FA2BB6" w14:paraId="77D9640D" w14:textId="77777777">
      <w:pPr>
        <w:spacing w:line="240" w:lineRule="auto"/>
      </w:pPr>
    </w:p>
    <w:p w:rsidRPr="002E7A92" w:rsidR="00FA2BB6" w:rsidP="00FA2BB6" w:rsidRDefault="00FA2BB6" w14:paraId="69E03ED5" w14:textId="6E90E8E6">
      <w:pPr>
        <w:pStyle w:val="Lijstalinea"/>
        <w:numPr>
          <w:ilvl w:val="0"/>
          <w:numId w:val="7"/>
        </w:numPr>
        <w:rPr>
          <w:rFonts w:ascii="Verdana" w:hAnsi="Verdana"/>
          <w:sz w:val="18"/>
          <w:szCs w:val="18"/>
        </w:rPr>
      </w:pPr>
      <w:r w:rsidRPr="002E7A92">
        <w:rPr>
          <w:rFonts w:ascii="Verdana" w:hAnsi="Verdana"/>
          <w:b/>
          <w:bCs/>
          <w:sz w:val="18"/>
          <w:szCs w:val="18"/>
        </w:rPr>
        <w:t>Cijfers groep ouders met een partner buiten de EU</w:t>
      </w:r>
    </w:p>
    <w:p w:rsidRPr="002E7A92" w:rsidR="00FA2BB6" w:rsidP="00FA2BB6" w:rsidRDefault="00D4722E" w14:paraId="5AD751CF" w14:textId="14DB77BE">
      <w:bookmarkStart w:name="_Hlk164152941" w:id="0"/>
      <w:r>
        <w:t xml:space="preserve">Tijdens het debat is gevraagd om meer kleuring te geven aan de groep van 400 niet-Oekraïense ouders die onder het voorliggende wetsvoorstel KOT hebben </w:t>
      </w:r>
      <w:r>
        <w:lastRenderedPageBreak/>
        <w:t xml:space="preserve">aangevraagd: wie zijn dit en wat voor werk doen zij? </w:t>
      </w:r>
      <w:r w:rsidRPr="002E7A92" w:rsidR="00FA2BB6">
        <w:t xml:space="preserve">Voor het toekennen van toeslagen </w:t>
      </w:r>
      <w:r w:rsidR="00535245">
        <w:t xml:space="preserve">gebruikt </w:t>
      </w:r>
      <w:r>
        <w:t xml:space="preserve">Dienst Toeslagen </w:t>
      </w:r>
      <w:r w:rsidR="00535245">
        <w:t>verschillende</w:t>
      </w:r>
      <w:r>
        <w:t xml:space="preserve"> gegevens. In het geval van de KOT </w:t>
      </w:r>
      <w:r w:rsidR="00535245">
        <w:t>is van belang</w:t>
      </w:r>
      <w:r>
        <w:t xml:space="preserve"> dat iemand werkt, maar niet in welk verband dat is</w:t>
      </w:r>
      <w:r w:rsidRPr="002E7A92" w:rsidR="00FA2BB6">
        <w:t xml:space="preserve">. Wel kan een actualisatie </w:t>
      </w:r>
      <w:r w:rsidR="00C439DB">
        <w:t xml:space="preserve">worden </w:t>
      </w:r>
      <w:r w:rsidR="00C2403D">
        <w:t>ge</w:t>
      </w:r>
      <w:r w:rsidRPr="002E7A92" w:rsidR="00FA2BB6">
        <w:t xml:space="preserve">geven van het aantal voorschotten dat aan de doelgroep wordt uitgekeerd. </w:t>
      </w:r>
      <w:r w:rsidRPr="00CE7ADE" w:rsidR="00CE7ADE">
        <w:t>Voor informatie over toeslagpartnerschap maakt Dienst Toeslagen gebruik van de basisregistratie personen (BRP). Informatie over het woonland van partners buiten Nederland is afkomstig uit een specifiek onderdeel van de BRP; de Registratie Niet Ingezeten (RNI).</w:t>
      </w:r>
    </w:p>
    <w:p w:rsidRPr="002E7A92" w:rsidR="00FA2BB6" w:rsidP="00FA2BB6" w:rsidRDefault="00FA2BB6" w14:paraId="7FCB899B" w14:textId="77777777"/>
    <w:p w:rsidRPr="002E7A92" w:rsidR="00FA2BB6" w:rsidP="00FA2BB6" w:rsidRDefault="00CE7ADE" w14:paraId="116A69A3" w14:textId="19E65DA5">
      <w:r>
        <w:t>Zoals in het debat genoemd</w:t>
      </w:r>
      <w:r w:rsidR="00E35B6D">
        <w:t>,</w:t>
      </w:r>
      <w:r>
        <w:t xml:space="preserve"> </w:t>
      </w:r>
      <w:r w:rsidR="007F6AFE">
        <w:t>zijn</w:t>
      </w:r>
      <w:r w:rsidRPr="002E7A92" w:rsidR="00FA2BB6">
        <w:t xml:space="preserve"> </w:t>
      </w:r>
      <w:r>
        <w:t xml:space="preserve">er </w:t>
      </w:r>
      <w:r w:rsidRPr="002E7A92" w:rsidR="00FA2BB6">
        <w:t>ca. 470 aanvragen v</w:t>
      </w:r>
      <w:r w:rsidR="00480402">
        <w:t>an</w:t>
      </w:r>
      <w:r w:rsidRPr="002E7A92" w:rsidR="00FA2BB6">
        <w:t xml:space="preserve"> Oekraïense ontheemden die in 2023 een beschikking van Dienst Toeslagen hebben ontvangen. Op dit moment </w:t>
      </w:r>
      <w:r w:rsidR="00480402">
        <w:t>(</w:t>
      </w:r>
      <w:r w:rsidR="00E35B6D">
        <w:t xml:space="preserve">maart </w:t>
      </w:r>
      <w:r w:rsidR="00480402">
        <w:t xml:space="preserve">2024) </w:t>
      </w:r>
      <w:r w:rsidRPr="002E7A92" w:rsidR="00FA2BB6">
        <w:t>wordt aan ca. 500 Oekraïense ontheemden voorschotten KOT verstrekt. Ongeveer de helft daarvan heeft een (werkende) partner in Nederland. De andere helft bestaat uit aanvragers zonder partner, met een partner in Oekraïne of waarvan het onbekend is, maar aannemelijk, dat de partner in Oekraïne verblijft. Mede in verband met de situatie in Oekraïne is de registratie op dit vlak beperkt.</w:t>
      </w:r>
    </w:p>
    <w:p w:rsidRPr="00AA7E8D" w:rsidR="00FA2BB6" w:rsidP="00FA2BB6" w:rsidRDefault="00FA2BB6" w14:paraId="2718D619" w14:textId="77777777">
      <w:pPr>
        <w:rPr>
          <w:sz w:val="16"/>
          <w:szCs w:val="16"/>
        </w:rPr>
      </w:pPr>
    </w:p>
    <w:p w:rsidRPr="002E7A92" w:rsidR="00FA2BB6" w:rsidP="00FA2BB6" w:rsidRDefault="00462449" w14:paraId="3A635A39" w14:textId="1929047F">
      <w:r>
        <w:t xml:space="preserve">Ook </w:t>
      </w:r>
      <w:r w:rsidR="004D485C">
        <w:t xml:space="preserve">waren </w:t>
      </w:r>
      <w:r>
        <w:t xml:space="preserve">er </w:t>
      </w:r>
      <w:r w:rsidR="004D485C">
        <w:t xml:space="preserve">in 2022 </w:t>
      </w:r>
      <w:r>
        <w:t>ca.</w:t>
      </w:r>
      <w:r w:rsidRPr="002E7A92" w:rsidR="00FA2BB6">
        <w:t xml:space="preserve"> 400 aanvragers, niet </w:t>
      </w:r>
      <w:r w:rsidR="008C06E0">
        <w:t xml:space="preserve">specifiek </w:t>
      </w:r>
      <w:r w:rsidRPr="002E7A92" w:rsidR="00FA2BB6">
        <w:t>zijnde Oekraïense ontheemden</w:t>
      </w:r>
      <w:r w:rsidR="004D485C">
        <w:t>, waarvan</w:t>
      </w:r>
      <w:r w:rsidRPr="002E7A92" w:rsidR="00FA2BB6">
        <w:t xml:space="preserve"> de partner zich op enig moment buiten de EU bevond. </w:t>
      </w:r>
      <w:r w:rsidR="004D485C">
        <w:t>Het</w:t>
      </w:r>
      <w:r w:rsidRPr="002E7A92" w:rsidR="004D485C">
        <w:t xml:space="preserve"> </w:t>
      </w:r>
      <w:r w:rsidR="004D485C">
        <w:t xml:space="preserve">actuele </w:t>
      </w:r>
      <w:r w:rsidRPr="002E7A92" w:rsidR="004D485C">
        <w:t>aantal</w:t>
      </w:r>
      <w:r w:rsidR="004D485C">
        <w:t xml:space="preserve"> ‘lopende aanvragen’</w:t>
      </w:r>
      <w:r w:rsidR="004D485C">
        <w:rPr>
          <w:rStyle w:val="Voetnootmarkering"/>
        </w:rPr>
        <w:footnoteReference w:id="5"/>
      </w:r>
      <w:r w:rsidR="004D485C">
        <w:t xml:space="preserve"> van deze groep, relevant met betrekking tot dit wetsvoorstel, ligt </w:t>
      </w:r>
      <w:r w:rsidR="00480402">
        <w:t xml:space="preserve">per maart 2024 </w:t>
      </w:r>
      <w:r w:rsidR="00E91DCC">
        <w:t xml:space="preserve">op </w:t>
      </w:r>
      <w:r w:rsidR="00480402">
        <w:t xml:space="preserve">ca. 200 aanvragers uit deze doelgroep </w:t>
      </w:r>
      <w:r w:rsidR="00E91DCC">
        <w:t xml:space="preserve">die </w:t>
      </w:r>
      <w:r w:rsidR="00480402">
        <w:t>voorschotten KOT</w:t>
      </w:r>
      <w:r w:rsidR="00E91DCC">
        <w:t xml:space="preserve"> ontvangen</w:t>
      </w:r>
      <w:r w:rsidR="00480402">
        <w:t>.</w:t>
      </w:r>
      <w:r w:rsidRPr="00480402" w:rsidR="00480402">
        <w:t xml:space="preserve"> </w:t>
      </w:r>
      <w:r w:rsidR="00C06D73">
        <w:t>S</w:t>
      </w:r>
      <w:r w:rsidRPr="002E7A92" w:rsidR="00480402">
        <w:t xml:space="preserve">inds aanvang van de uitvoering </w:t>
      </w:r>
      <w:r w:rsidR="006B59A5">
        <w:t xml:space="preserve">van dit wetsvoorstel </w:t>
      </w:r>
      <w:r w:rsidR="00480402">
        <w:t>(2022)</w:t>
      </w:r>
      <w:r w:rsidRPr="002E7A92" w:rsidR="00480402">
        <w:t xml:space="preserve"> </w:t>
      </w:r>
      <w:r w:rsidR="00C06D73">
        <w:t xml:space="preserve">liggen de aantallen rond deze orde van grootte. </w:t>
      </w:r>
      <w:r w:rsidR="00480402">
        <w:t xml:space="preserve">Dit getal is </w:t>
      </w:r>
      <w:r w:rsidRPr="002E7A92" w:rsidR="00FA2BB6">
        <w:t xml:space="preserve">om twee redenen </w:t>
      </w:r>
      <w:r w:rsidR="004D485C">
        <w:t>lager</w:t>
      </w:r>
      <w:r w:rsidR="006D029D">
        <w:t xml:space="preserve"> dan de 400</w:t>
      </w:r>
      <w:r w:rsidR="00E91DCC">
        <w:t xml:space="preserve"> aanvragers</w:t>
      </w:r>
      <w:r w:rsidR="004D485C">
        <w:t xml:space="preserve">. </w:t>
      </w:r>
      <w:r w:rsidRPr="002E7A92" w:rsidR="00FA2BB6">
        <w:t xml:space="preserve">Ten eerste betreft </w:t>
      </w:r>
      <w:r w:rsidR="006B59A5">
        <w:t>dat</w:t>
      </w:r>
      <w:r w:rsidRPr="002E7A92" w:rsidR="006B59A5">
        <w:t xml:space="preserve"> </w:t>
      </w:r>
      <w:r w:rsidRPr="002E7A92" w:rsidR="00FA2BB6">
        <w:t xml:space="preserve">een overschatting, omdat ook burgers </w:t>
      </w:r>
      <w:r w:rsidR="00480402">
        <w:t>worden</w:t>
      </w:r>
      <w:r w:rsidRPr="002E7A92" w:rsidR="00480402">
        <w:t xml:space="preserve"> </w:t>
      </w:r>
      <w:r w:rsidRPr="002E7A92" w:rsidR="00FA2BB6">
        <w:t>meegeteld die zonder dit wetsvoorstel recht hebben op KOT</w:t>
      </w:r>
      <w:r w:rsidR="00B77600">
        <w:t>.</w:t>
      </w:r>
      <w:r w:rsidRPr="00480402" w:rsidR="00480402">
        <w:t xml:space="preserve"> </w:t>
      </w:r>
      <w:r w:rsidR="00E91DCC">
        <w:t>D</w:t>
      </w:r>
      <w:r w:rsidRPr="00480402" w:rsidR="00480402">
        <w:t xml:space="preserve">e periode van verblijf buiten de EU correspondeert </w:t>
      </w:r>
      <w:r w:rsidR="00E91DCC">
        <w:t xml:space="preserve">uiteindelijk niet </w:t>
      </w:r>
      <w:r w:rsidRPr="00480402" w:rsidR="00480402">
        <w:t>met de aanvraagperiode kinderopvangtoeslag: zij hebben dus niet de hele periode buiten de EU gewoond en daarom al op basis van de huidige wet recht op kinderopvangtoeslag.</w:t>
      </w:r>
      <w:r w:rsidRPr="002E7A92" w:rsidR="00FA2BB6">
        <w:t xml:space="preserve"> Ten tweede stoppen aanvragen gedurende het jaar</w:t>
      </w:r>
      <w:r w:rsidR="00480402">
        <w:t xml:space="preserve"> of</w:t>
      </w:r>
      <w:r w:rsidRPr="002E7A92" w:rsidR="00480402">
        <w:t xml:space="preserve"> </w:t>
      </w:r>
      <w:r w:rsidRPr="002E7A92" w:rsidR="00FA2BB6">
        <w:t xml:space="preserve">verandert de situatie van </w:t>
      </w:r>
      <w:r w:rsidR="00480402">
        <w:t xml:space="preserve">de </w:t>
      </w:r>
      <w:r w:rsidRPr="002E7A92" w:rsidR="00FA2BB6">
        <w:t>burger</w:t>
      </w:r>
      <w:r w:rsidR="006B59A5">
        <w:t>.</w:t>
      </w:r>
      <w:r w:rsidRPr="002E7A92" w:rsidR="00FA2BB6">
        <w:rPr>
          <w:rStyle w:val="Voetnootmarkering"/>
        </w:rPr>
        <w:footnoteReference w:id="6"/>
      </w:r>
      <w:r w:rsidR="00480402">
        <w:t xml:space="preserve"> Hierdoor ligt</w:t>
      </w:r>
      <w:r w:rsidRPr="002E7A92" w:rsidR="00FA2BB6">
        <w:t xml:space="preserve"> het totaal aantal aanvragen over een toeslagjaar </w:t>
      </w:r>
      <w:r w:rsidR="00480402">
        <w:t xml:space="preserve">dus </w:t>
      </w:r>
      <w:r w:rsidRPr="002E7A92" w:rsidR="00FA2BB6">
        <w:t xml:space="preserve">hoger dan het aantal aanvragen waarvoor op een zeker moment voorschotten </w:t>
      </w:r>
      <w:r w:rsidR="006D029D">
        <w:t xml:space="preserve">KOT </w:t>
      </w:r>
      <w:r w:rsidRPr="002E7A92" w:rsidR="00FA2BB6">
        <w:t xml:space="preserve">worden uitgekeerd. </w:t>
      </w:r>
    </w:p>
    <w:p w:rsidRPr="002E7A92" w:rsidR="00FA2BB6" w:rsidP="00FA2BB6" w:rsidRDefault="00FA2BB6" w14:paraId="175FA344" w14:textId="77777777"/>
    <w:p w:rsidRPr="002E7A92" w:rsidR="00FA2BB6" w:rsidP="00FA2BB6" w:rsidRDefault="00FA2BB6" w14:paraId="73A647E3" w14:textId="23C5EF13">
      <w:r w:rsidRPr="002E7A92">
        <w:t xml:space="preserve">Met betrekking tot de woonplaats van de partners buiten de EU bestaat een gevarieerd beeld. Van de 200 lopende aanvragen </w:t>
      </w:r>
      <w:r w:rsidR="00BB0BFB">
        <w:t>is van c</w:t>
      </w:r>
      <w:r w:rsidR="004D485C">
        <w:t>a.</w:t>
      </w:r>
      <w:r w:rsidR="00BB0BFB">
        <w:t xml:space="preserve"> een kwart van de partners de actuele woonplaats</w:t>
      </w:r>
      <w:r w:rsidR="00480402">
        <w:t xml:space="preserve"> vooralsnog</w:t>
      </w:r>
      <w:r w:rsidR="00BB0BFB">
        <w:t xml:space="preserve"> onbekend. In</w:t>
      </w:r>
      <w:r w:rsidRPr="002E7A92">
        <w:t xml:space="preserve"> </w:t>
      </w:r>
      <w:r w:rsidR="00926BBD">
        <w:t xml:space="preserve">zowel </w:t>
      </w:r>
      <w:r w:rsidRPr="002E7A92">
        <w:t xml:space="preserve">Groot-Brittannië </w:t>
      </w:r>
      <w:r w:rsidR="006C62B2">
        <w:t>als</w:t>
      </w:r>
      <w:r w:rsidRPr="002E7A92" w:rsidR="006C62B2">
        <w:t xml:space="preserve"> </w:t>
      </w:r>
      <w:r w:rsidRPr="002E7A92">
        <w:t>de Verenigde Staten</w:t>
      </w:r>
      <w:r w:rsidR="00BB0BFB">
        <w:t xml:space="preserve"> zijn meer dan 10 partners woonachtig</w:t>
      </w:r>
      <w:r w:rsidR="00F9364E">
        <w:t>. D</w:t>
      </w:r>
      <w:r w:rsidRPr="002E7A92">
        <w:t xml:space="preserve">e overige partners zijn over meer dan 40 landen verdeeld. </w:t>
      </w:r>
      <w:r w:rsidR="006D029D">
        <w:t>De</w:t>
      </w:r>
      <w:r w:rsidR="006D5637">
        <w:t xml:space="preserve"> </w:t>
      </w:r>
      <w:r w:rsidR="006D029D">
        <w:t>groep bestaat uit</w:t>
      </w:r>
      <w:r w:rsidRPr="002E7A92">
        <w:t xml:space="preserve"> Nederlandse burgers waarvan de partner wegens arbeidsverplichtingen buiten de EU woont, statushouders met een </w:t>
      </w:r>
      <w:r w:rsidR="0096664E">
        <w:t xml:space="preserve">al dan niet </w:t>
      </w:r>
      <w:r w:rsidRPr="002E7A92">
        <w:t>nareizende partner of (kennis)migranten waarvan de partner in het land van herkomst is achtergebleven.</w:t>
      </w:r>
      <w:r w:rsidR="004E12D1">
        <w:t xml:space="preserve"> </w:t>
      </w:r>
      <w:r w:rsidRPr="002E7A92" w:rsidR="006D029D">
        <w:t>Op de totale kinderopvangpopulatie (</w:t>
      </w:r>
      <w:r w:rsidR="006D029D">
        <w:t>ruim</w:t>
      </w:r>
      <w:r w:rsidRPr="002E7A92" w:rsidR="006D029D">
        <w:t xml:space="preserve"> </w:t>
      </w:r>
      <w:r w:rsidR="006D029D">
        <w:t>6</w:t>
      </w:r>
      <w:r w:rsidRPr="002E7A92" w:rsidR="006D029D">
        <w:t xml:space="preserve">00.000 ouders) gaat het om </w:t>
      </w:r>
      <w:r w:rsidR="006D029D">
        <w:t>zeer kleine</w:t>
      </w:r>
      <w:r w:rsidRPr="002E7A92" w:rsidR="006D029D">
        <w:t xml:space="preserve"> aantallen</w:t>
      </w:r>
      <w:r w:rsidR="006D029D">
        <w:t xml:space="preserve"> </w:t>
      </w:r>
      <w:r w:rsidR="002F7568">
        <w:t>aanvragers met</w:t>
      </w:r>
      <w:r w:rsidR="006D029D">
        <w:t xml:space="preserve"> een partner buiten de EU</w:t>
      </w:r>
      <w:r w:rsidRPr="002E7A92" w:rsidR="006D029D">
        <w:t>.</w:t>
      </w:r>
      <w:r w:rsidR="006D029D">
        <w:t xml:space="preserve"> </w:t>
      </w:r>
    </w:p>
    <w:bookmarkEnd w:id="0"/>
    <w:p w:rsidRPr="002E7A92" w:rsidR="00FA2BB6" w:rsidP="00FA2BB6" w:rsidRDefault="00FA2BB6" w14:paraId="5D85E294" w14:textId="77777777">
      <w:pPr>
        <w:rPr>
          <w:b/>
          <w:bCs/>
        </w:rPr>
      </w:pPr>
    </w:p>
    <w:p w:rsidRPr="002E7A92" w:rsidR="00FA2BB6" w:rsidP="00FA2BB6" w:rsidRDefault="00FA2BB6" w14:paraId="4D20B79D" w14:textId="77777777">
      <w:pPr>
        <w:pStyle w:val="Lijstalinea"/>
        <w:numPr>
          <w:ilvl w:val="0"/>
          <w:numId w:val="7"/>
        </w:numPr>
        <w:rPr>
          <w:rFonts w:ascii="Verdana" w:hAnsi="Verdana"/>
          <w:b/>
          <w:bCs/>
          <w:sz w:val="18"/>
          <w:szCs w:val="18"/>
        </w:rPr>
      </w:pPr>
      <w:r w:rsidRPr="002E7A92">
        <w:rPr>
          <w:rFonts w:ascii="Verdana" w:hAnsi="Verdana"/>
          <w:b/>
          <w:bCs/>
          <w:sz w:val="18"/>
          <w:szCs w:val="18"/>
        </w:rPr>
        <w:t xml:space="preserve">Handhaving van de arbeidseis </w:t>
      </w:r>
    </w:p>
    <w:p w:rsidRPr="002E7A92" w:rsidR="00FA2BB6" w:rsidP="00FA2BB6" w:rsidRDefault="00FA2BB6" w14:paraId="7B30EE74" w14:textId="72AF4B5D">
      <w:r w:rsidRPr="002E7A92">
        <w:t xml:space="preserve">In het debat zijn daarnaast diverse vragen door de leden De Jong (PVV), Van Oostenbruggen (NSC), Van den Hil (VVD) en Keijzer (BBB) gesteld over de handhaving van de arbeidseis van de partner die buiten de EU werkt. Allereerst </w:t>
      </w:r>
      <w:r w:rsidR="0041265F">
        <w:t>moet</w:t>
      </w:r>
      <w:r w:rsidRPr="002E7A92" w:rsidR="0041265F">
        <w:t xml:space="preserve"> </w:t>
      </w:r>
      <w:r w:rsidR="0041265F">
        <w:t>worden</w:t>
      </w:r>
      <w:r w:rsidRPr="002E7A92" w:rsidR="0041265F">
        <w:t xml:space="preserve"> benadruk</w:t>
      </w:r>
      <w:r w:rsidR="0041265F">
        <w:t>t</w:t>
      </w:r>
      <w:r w:rsidRPr="002E7A92" w:rsidR="0041265F">
        <w:t xml:space="preserve"> </w:t>
      </w:r>
      <w:r w:rsidRPr="002E7A92">
        <w:t xml:space="preserve">dat de voorwaarden zoals vermeld in de Wet kinderopvang voor ouders binnen de EU en buiten de EU hetzelfde zijn: het kind </w:t>
      </w:r>
      <w:r w:rsidRPr="002E7A92">
        <w:lastRenderedPageBreak/>
        <w:t>moet daadwerkelijk naar formele kinderopvang gaan, de rekeningen voor het gebruik daarvan moeten zijn betaald en beide ouders moeten werken</w:t>
      </w:r>
      <w:r w:rsidR="00786C15">
        <w:t xml:space="preserve"> </w:t>
      </w:r>
      <w:r w:rsidR="00B517E7">
        <w:t xml:space="preserve">of </w:t>
      </w:r>
      <w:r w:rsidR="00786C15">
        <w:t>voldoen aan de doelgroepstatus</w:t>
      </w:r>
      <w:r w:rsidR="00E607EF">
        <w:t>.</w:t>
      </w:r>
      <w:r w:rsidRPr="002E7A92" w:rsidR="00F5220E">
        <w:rPr>
          <w:rStyle w:val="Voetnootmarkering"/>
        </w:rPr>
        <w:footnoteReference w:id="7"/>
      </w:r>
      <w:r w:rsidRPr="002E7A92">
        <w:t xml:space="preserve"> Het wetsvoorstel maakt dan ook geen uitzondering voor ouders met een partner buiten de EU, maar laat </w:t>
      </w:r>
      <w:r w:rsidR="00A34C02">
        <w:t>alleen</w:t>
      </w:r>
      <w:r w:rsidRPr="002E7A92" w:rsidR="00A34C02">
        <w:t xml:space="preserve"> </w:t>
      </w:r>
      <w:r w:rsidRPr="002E7A92">
        <w:t xml:space="preserve">de voorwaarde vervallen dat de partner moet wonen en werken binnen de EU. </w:t>
      </w:r>
      <w:r w:rsidR="00EF7610">
        <w:t>Het handhavingsproces is voor iedereen met een partner, in Nederland, binnen de EU en buiten de EU, hetzelfde.</w:t>
      </w:r>
      <w:r w:rsidRPr="002E7A92">
        <w:t xml:space="preserve"> In deze paragraaf </w:t>
      </w:r>
      <w:r w:rsidR="0041265F">
        <w:t>volgt</w:t>
      </w:r>
      <w:r w:rsidRPr="002E7A92">
        <w:t xml:space="preserve"> toelichting op de handhaving op de arbeidseis. </w:t>
      </w:r>
    </w:p>
    <w:p w:rsidRPr="002E7A92" w:rsidR="00FA2BB6" w:rsidP="00FA2BB6" w:rsidRDefault="00FA2BB6" w14:paraId="0DFFA790" w14:textId="77777777"/>
    <w:p w:rsidRPr="002E7A92" w:rsidR="00FA2BB6" w:rsidP="00FA2BB6" w:rsidRDefault="00CE17B7" w14:paraId="1F38D1FA" w14:textId="7B83FAF8">
      <w:r>
        <w:t>In het algemeen richt de handhaving zich</w:t>
      </w:r>
      <w:r w:rsidRPr="002E7A92" w:rsidR="00FA2BB6">
        <w:t xml:space="preserve"> op het zodanig beïnvloeden van het gedrag van burgers </w:t>
      </w:r>
      <w:r w:rsidR="00396D73">
        <w:t>zo</w:t>
      </w:r>
      <w:r w:rsidRPr="002E7A92" w:rsidR="00FA2BB6">
        <w:t xml:space="preserve">dat zij </w:t>
      </w:r>
      <w:r w:rsidR="00853AB8">
        <w:t>–</w:t>
      </w:r>
      <w:r w:rsidRPr="002E7A92" w:rsidR="00FA2BB6">
        <w:t xml:space="preserve"> zoveel mogelijk uit zichzelf </w:t>
      </w:r>
      <w:r w:rsidR="00853AB8">
        <w:t>–</w:t>
      </w:r>
      <w:r w:rsidRPr="002E7A92" w:rsidR="00FA2BB6">
        <w:t xml:space="preserve"> structureel de regels naleven.</w:t>
      </w:r>
      <w:r w:rsidRPr="002E7A92">
        <w:rPr>
          <w:rStyle w:val="Voetnootmarkering"/>
        </w:rPr>
        <w:footnoteReference w:id="8"/>
      </w:r>
      <w:r w:rsidRPr="002E7A92" w:rsidR="00FA2BB6">
        <w:t xml:space="preserve"> Als dat nodig is, wordt naleving afgedwongen. Handhaving (van de arbeidseis) begint daarom al op het moment van aanvraag door de burger. Hier wordt de burger gevraagd of deze en de toeslagpartner werken of dat zij </w:t>
      </w:r>
      <w:r w:rsidR="00AD73B1">
        <w:t xml:space="preserve">een </w:t>
      </w:r>
      <w:r w:rsidRPr="002E7A92" w:rsidR="00FA2BB6">
        <w:t>doelgroepstatus</w:t>
      </w:r>
      <w:r w:rsidR="00AD73B1">
        <w:t xml:space="preserve"> hebben</w:t>
      </w:r>
      <w:r w:rsidRPr="002E7A92" w:rsidR="00FA2BB6">
        <w:t xml:space="preserve">. Als de burger hier negatief op antwoordt, kan deze de aanvraag niet voltooien en volgt ook geen toekenning van de toeslag. Tijdens het aanvraagproces is nog geen sprake van het aanleveren van bewijslast door de burger, omdat dit gezien de aantallen zoveel mogelijk geautomatiseerd op basis van contra-informatie gebeurt. </w:t>
      </w:r>
    </w:p>
    <w:p w:rsidRPr="002E7A92" w:rsidR="00FA2BB6" w:rsidP="00FA2BB6" w:rsidRDefault="00FA2BB6" w14:paraId="61144DBA" w14:textId="77777777"/>
    <w:p w:rsidR="00FA2BB6" w:rsidP="00FA2BB6" w:rsidRDefault="00FA2BB6" w14:paraId="61DC24C8" w14:textId="2B8F0A3D">
      <w:r w:rsidRPr="002E7A92">
        <w:t xml:space="preserve">Dienst Toeslagen ontvangt gedurende en na afloop van het jaar gegevens van verschillende instanties, zoals het inkomen via de Belastingdienst en gegevens over de doelgroepstatus vanuit DUO, UWV en namens gemeenten via Stichting Inlichtingenbureau. Ook bij partners buiten de EU wordt het inkomen door de belastinginspecteur vastgesteld en aan Dienst Toeslagen verstrekt. Deze gegevens worden bij de definitieve toekenning langs de aanvragen gelegd. Op basis van deze gegevens kan voor het overgrote deel van de kinderopvangtoeslagpopulatie vastgesteld worden dat aannemelijk is dat aan de arbeidseis wordt voldaan. </w:t>
      </w:r>
    </w:p>
    <w:p w:rsidRPr="002E7A92" w:rsidR="00786C15" w:rsidP="00FA2BB6" w:rsidRDefault="00786C15" w14:paraId="0E1EFB03" w14:textId="77777777"/>
    <w:p w:rsidRPr="002E7A92" w:rsidR="00FA2BB6" w:rsidP="00FA2BB6" w:rsidRDefault="00FA2BB6" w14:paraId="557BF900" w14:textId="09A8CF61">
      <w:r w:rsidRPr="002E7A92">
        <w:t xml:space="preserve">Vervolgens blijft een groep aanvragen over waarvan niet met voldoende zekerheid op basis van de beschikbare gegevens door Dienst Toeslagen kan worden vastgesteld dat aan de arbeidseis wordt voldaan. Deze aanvragen komen in aanmerking voor handmatig toezicht op de arbeidseis. Handmatig toezicht is een arbeidsintensief en capaciteit rovend proces, waarbij aanvullende informatie bij de burger wordt uitgevraagd en individueel beoordeeld. Het is logischerwijs niet realistisch om alle aanvragen </w:t>
      </w:r>
      <w:r w:rsidR="006B5DB0">
        <w:t xml:space="preserve">binnen de kinderopvangtoeslagpopulatie </w:t>
      </w:r>
      <w:r w:rsidRPr="002E7A92">
        <w:t xml:space="preserve">op doelmatige wijze van een volledige controle te voorzien. </w:t>
      </w:r>
      <w:r w:rsidR="003C4567">
        <w:t>E</w:t>
      </w:r>
      <w:r w:rsidR="00B30F22">
        <w:t>r</w:t>
      </w:r>
      <w:r w:rsidR="008E1F26">
        <w:t xml:space="preserve"> vindt dus een selectie plaats</w:t>
      </w:r>
      <w:r w:rsidRPr="002E7A92">
        <w:t xml:space="preserve"> welke aanvragen onderworpen worden aan nadere controle. </w:t>
      </w:r>
    </w:p>
    <w:p w:rsidRPr="002E7A92" w:rsidR="00FA2BB6" w:rsidP="00FA2BB6" w:rsidRDefault="00FA2BB6" w14:paraId="301E15AD" w14:textId="77777777"/>
    <w:p w:rsidR="00FA2BB6" w:rsidP="00FA2BB6" w:rsidRDefault="009C5378" w14:paraId="100C67DE" w14:textId="4CD9CADB">
      <w:r>
        <w:t>Het</w:t>
      </w:r>
      <w:r w:rsidR="00396D73">
        <w:t xml:space="preserve"> selectieproces </w:t>
      </w:r>
      <w:r>
        <w:t xml:space="preserve">voor handmatige behandeling is </w:t>
      </w:r>
      <w:r w:rsidR="00396D73">
        <w:t xml:space="preserve">voor </w:t>
      </w:r>
      <w:r>
        <w:t>a</w:t>
      </w:r>
      <w:r w:rsidR="00396D73">
        <w:t>lle aanvragers KOT gelijk</w:t>
      </w:r>
      <w:r>
        <w:t xml:space="preserve">. Er mag daarbij geen onderscheid gemaakt worden </w:t>
      </w:r>
      <w:r w:rsidR="00926BBD">
        <w:t>tussen</w:t>
      </w:r>
      <w:r w:rsidR="00396D73">
        <w:t xml:space="preserve"> </w:t>
      </w:r>
      <w:r w:rsidRPr="002E7A92" w:rsidR="00FA2BB6">
        <w:t>partner</w:t>
      </w:r>
      <w:r w:rsidR="00926BBD">
        <w:t>s</w:t>
      </w:r>
      <w:r w:rsidRPr="002E7A92" w:rsidR="00FA2BB6">
        <w:t xml:space="preserve"> </w:t>
      </w:r>
      <w:r w:rsidR="00926BBD">
        <w:t xml:space="preserve">die </w:t>
      </w:r>
      <w:r w:rsidR="00AA7E8D">
        <w:t xml:space="preserve">in Nederland, </w:t>
      </w:r>
      <w:r w:rsidRPr="002E7A92" w:rsidR="00FA2BB6">
        <w:t xml:space="preserve">buiten </w:t>
      </w:r>
      <w:r w:rsidR="00396D73">
        <w:t xml:space="preserve">Nederland of </w:t>
      </w:r>
      <w:r w:rsidR="00AA7E8D">
        <w:t xml:space="preserve">buiten </w:t>
      </w:r>
      <w:r w:rsidRPr="002E7A92" w:rsidR="00FA2BB6">
        <w:t xml:space="preserve">de EU </w:t>
      </w:r>
      <w:r w:rsidR="00926BBD">
        <w:t>verblijven</w:t>
      </w:r>
      <w:r w:rsidR="00396D73">
        <w:t>.</w:t>
      </w:r>
      <w:r w:rsidRPr="002E7A92" w:rsidR="00FA2BB6">
        <w:t xml:space="preserve"> Zoals ook aangegeven in antwoord op de vragen in de Nota naar aanleiding van het verslag is het wel zo dat bij een partner in het buitenland de kans groter is dat Dienst Toeslagen </w:t>
      </w:r>
      <w:r w:rsidR="00AA7E8D">
        <w:t>niet over</w:t>
      </w:r>
      <w:r w:rsidRPr="002E7A92" w:rsidR="00AA7E8D">
        <w:t xml:space="preserve"> </w:t>
      </w:r>
      <w:r w:rsidRPr="002E7A92" w:rsidR="00FA2BB6">
        <w:t xml:space="preserve">gegevens </w:t>
      </w:r>
      <w:r w:rsidR="00AA7E8D">
        <w:t>beschikt</w:t>
      </w:r>
      <w:r w:rsidRPr="002E7A92" w:rsidR="00AA7E8D">
        <w:t xml:space="preserve"> </w:t>
      </w:r>
      <w:r w:rsidRPr="002E7A92" w:rsidR="00FA2BB6">
        <w:t xml:space="preserve">om automatisch vast te kunnen stellen of wordt voldaan aan de arbeidseis. </w:t>
      </w:r>
      <w:r w:rsidR="00AA7E8D">
        <w:t>A</w:t>
      </w:r>
      <w:r w:rsidRPr="002E7A92" w:rsidR="00FA2BB6">
        <w:t xml:space="preserve">anvragen waarbij sprake is van een partner buiten de EU </w:t>
      </w:r>
      <w:r w:rsidR="00AA7E8D">
        <w:t xml:space="preserve">komen daardoor </w:t>
      </w:r>
      <w:r w:rsidRPr="002E7A92" w:rsidR="00FA2BB6">
        <w:t>relatief vaker in aanmerking voor handmatig toezicht</w:t>
      </w:r>
      <w:r>
        <w:t xml:space="preserve"> dan aanvragen waarvoor de contra-informatie wel voorhanden is</w:t>
      </w:r>
      <w:r w:rsidRPr="002E7A92" w:rsidR="00FA2BB6">
        <w:t xml:space="preserve">. </w:t>
      </w:r>
    </w:p>
    <w:p w:rsidRPr="002E7A92" w:rsidR="00FA2BB6" w:rsidP="00FA2BB6" w:rsidRDefault="00FA2BB6" w14:paraId="46F97495" w14:textId="734842CF">
      <w:r w:rsidRPr="002E7A92">
        <w:t>Het handmatige toezicht vraagt</w:t>
      </w:r>
      <w:r w:rsidR="009C5378">
        <w:t xml:space="preserve"> vervolgens</w:t>
      </w:r>
      <w:r w:rsidRPr="002E7A92">
        <w:t xml:space="preserve"> om een persoonlijke benadering. Aanvragers dienen aannemelijk te maken dat aan de arbeidseis wordt voldaan. De meeste ouders die in Nederland wonen, werken of voldoen aan een doelgroepstatus zullen dit desgevraagd relatief eenvoudig kunnen ondersteunen met documenten. In sommige gevallen kan dit lastiger zijn. Afhankelijk van de baan van de partner en de plek waar deze werkt, kan het makkelijker of moeilijker zijn om bewijs aan te leveren. </w:t>
      </w:r>
      <w:r w:rsidRPr="002E7A92" w:rsidR="00396D73">
        <w:t xml:space="preserve">Als de aanvrager </w:t>
      </w:r>
      <w:r w:rsidR="003C4567">
        <w:t xml:space="preserve">echter </w:t>
      </w:r>
      <w:r w:rsidRPr="002E7A92" w:rsidR="00396D73">
        <w:t>niet aannemelijk kan maken</w:t>
      </w:r>
      <w:r w:rsidR="00396D73">
        <w:t xml:space="preserve"> dat aan de arbeidseis wordt voldaan</w:t>
      </w:r>
      <w:r w:rsidRPr="002E7A92" w:rsidR="00396D73">
        <w:t xml:space="preserve">, bestaat er geen recht op toeslag en </w:t>
      </w:r>
      <w:r w:rsidR="00396D73">
        <w:t xml:space="preserve">worden uitbetaalde voorschotten </w:t>
      </w:r>
      <w:r w:rsidRPr="002E7A92" w:rsidR="00396D73">
        <w:t>terug</w:t>
      </w:r>
      <w:r w:rsidR="00396D73">
        <w:t>ge</w:t>
      </w:r>
      <w:r w:rsidRPr="002E7A92" w:rsidR="00396D73">
        <w:t>vorder</w:t>
      </w:r>
      <w:r w:rsidR="00396D73">
        <w:t>d</w:t>
      </w:r>
      <w:r w:rsidRPr="002E7A92" w:rsidR="00396D73">
        <w:t>.</w:t>
      </w:r>
      <w:r w:rsidR="003C4567">
        <w:t xml:space="preserve"> Ook dit geldt voor </w:t>
      </w:r>
      <w:r w:rsidR="008F1860">
        <w:t>alle aanvragers, zowel met</w:t>
      </w:r>
      <w:r w:rsidR="003C4567">
        <w:t xml:space="preserve"> partners binnen als buiten Nederland </w:t>
      </w:r>
      <w:r w:rsidR="008F1860">
        <w:t>en</w:t>
      </w:r>
      <w:r w:rsidR="003C4567">
        <w:t xml:space="preserve"> buiten de EU. </w:t>
      </w:r>
    </w:p>
    <w:p w:rsidRPr="002E7A92" w:rsidR="00FA2BB6" w:rsidP="00FA2BB6" w:rsidRDefault="00FA2BB6" w14:paraId="63C7C913" w14:textId="77777777"/>
    <w:p w:rsidRPr="002E7A92" w:rsidR="00FA2BB6" w:rsidP="00FA2BB6" w:rsidRDefault="00FA2BB6" w14:paraId="6AFA5629" w14:textId="4B821D9B">
      <w:r w:rsidRPr="002E7A92">
        <w:t xml:space="preserve">Om hier enige context aan te geven, </w:t>
      </w:r>
      <w:r w:rsidR="0041265F">
        <w:t>zijn</w:t>
      </w:r>
      <w:r w:rsidRPr="002E7A92">
        <w:t xml:space="preserve"> in het debat enkele voorbeelden </w:t>
      </w:r>
      <w:r w:rsidR="0041265F">
        <w:t>ge</w:t>
      </w:r>
      <w:r w:rsidRPr="002E7A92">
        <w:t xml:space="preserve">geven. </w:t>
      </w:r>
      <w:r w:rsidR="005D695E">
        <w:t xml:space="preserve">Sommige ouders zullen op basis van de locatie van hun werk en het type organisatie waar zij werken makkelijker in staat zijn om gedegen bewijslast aan te leveren waaruit blijkt dat zij voldoen aan de arbeidseis. Voor andere ouders </w:t>
      </w:r>
      <w:r w:rsidR="00535245">
        <w:t>ligt</w:t>
      </w:r>
      <w:r w:rsidR="005D695E">
        <w:t xml:space="preserve"> dit ingewikkelder</w:t>
      </w:r>
      <w:r w:rsidR="00535245">
        <w:t>,</w:t>
      </w:r>
      <w:r w:rsidR="005D695E">
        <w:t xml:space="preserve"> </w:t>
      </w:r>
      <w:r w:rsidR="00535245">
        <w:t xml:space="preserve">zoals in het genoemde voorbeeld bij de </w:t>
      </w:r>
      <w:r w:rsidR="003C4567">
        <w:t>N</w:t>
      </w:r>
      <w:r w:rsidR="00535245">
        <w:t xml:space="preserve">ota naar aanleiding van het verslag waar een partner van een </w:t>
      </w:r>
      <w:r w:rsidR="001A20A7">
        <w:t>Oekraïense ontheemden in het leger dient</w:t>
      </w:r>
      <w:r w:rsidRPr="002E7A92">
        <w:t xml:space="preserve">. </w:t>
      </w:r>
      <w:r w:rsidR="003C4567">
        <w:t xml:space="preserve">Handhaving van de arbeidseis is </w:t>
      </w:r>
      <w:r w:rsidR="00E546F0">
        <w:t xml:space="preserve">in dit verband </w:t>
      </w:r>
      <w:r w:rsidR="003C4567">
        <w:t>dus</w:t>
      </w:r>
      <w:r w:rsidRPr="002E7A92">
        <w:t xml:space="preserve"> </w:t>
      </w:r>
      <w:r w:rsidR="00E546F0">
        <w:t xml:space="preserve">grotendeels </w:t>
      </w:r>
      <w:r w:rsidRPr="002E7A92">
        <w:t>maatwerk</w:t>
      </w:r>
      <w:r w:rsidR="003C4567">
        <w:t>. Dienst Toeslagen moet</w:t>
      </w:r>
      <w:r w:rsidRPr="002E7A92">
        <w:t xml:space="preserve"> de context waar burgers zich in bevinden in overweging nemen</w:t>
      </w:r>
      <w:r w:rsidR="003C4567">
        <w:t xml:space="preserve"> bij het beoordelen van aangeleverde informatie</w:t>
      </w:r>
      <w:r w:rsidRPr="002E7A92">
        <w:t xml:space="preserve">. Dit betekent wel dat de beoordeling in enkele gevallen met een verhoogde onzekerheid gepaard kan gaan ten opzichte van partners die zich in Nederland bevinden. Tegelijkertijd is een zekere mate van onzekerheid in de handhaving (van de arbeidseis) niet uniek voor partners in het buitenland. Een ouder in loondienst kan bijvoorbeeld makkelijker aantonen dat in een bepaalde </w:t>
      </w:r>
      <w:r w:rsidR="003C4567">
        <w:t>periode</w:t>
      </w:r>
      <w:r w:rsidRPr="002E7A92" w:rsidR="003C4567">
        <w:t xml:space="preserve"> </w:t>
      </w:r>
      <w:r w:rsidRPr="002E7A92">
        <w:t xml:space="preserve">is gewerkt dan een zzp’er of ondernemer die op projectbasis werkt. </w:t>
      </w:r>
    </w:p>
    <w:p w:rsidRPr="002E7A92" w:rsidR="00FA2BB6" w:rsidP="00FA2BB6" w:rsidRDefault="00FA2BB6" w14:paraId="12951C00" w14:textId="77777777"/>
    <w:p w:rsidRPr="002E7A92" w:rsidR="00FA2BB6" w:rsidP="00FA2BB6" w:rsidRDefault="00FA2BB6" w14:paraId="20C86187" w14:textId="0DC04863">
      <w:r w:rsidRPr="002E7A92">
        <w:t>Ten aanzien van de kinderopvangtoeslagpopulatie gaat het om een</w:t>
      </w:r>
      <w:r w:rsidR="00853AB8">
        <w:t xml:space="preserve"> zeer</w:t>
      </w:r>
      <w:r w:rsidRPr="002E7A92">
        <w:t xml:space="preserve"> beperkte groep</w:t>
      </w:r>
      <w:r w:rsidR="00853AB8">
        <w:t xml:space="preserve"> waarvan de partner zich buiten de EU bevindt</w:t>
      </w:r>
      <w:r w:rsidRPr="002E7A92">
        <w:t xml:space="preserve"> (&lt;0,001%). </w:t>
      </w:r>
      <w:r w:rsidR="00CC28FE">
        <w:t>Gezien h</w:t>
      </w:r>
      <w:r w:rsidRPr="002E7A92">
        <w:t>et feit dat de aanvrager in Nederland moet voldoen aan de arbeidseis</w:t>
      </w:r>
      <w:r w:rsidR="00CC28FE">
        <w:t>,</w:t>
      </w:r>
      <w:r w:rsidRPr="002E7A92">
        <w:t xml:space="preserve"> dat enkel recht bestaat wanneer daadwerkelijk kinderopvang wordt betaald en </w:t>
      </w:r>
      <w:r w:rsidR="00786C15">
        <w:t>kinderopvang</w:t>
      </w:r>
      <w:r w:rsidRPr="002E7A92" w:rsidR="00786C15">
        <w:t xml:space="preserve"> </w:t>
      </w:r>
      <w:r w:rsidRPr="002E7A92">
        <w:t>daarmee netto een kostenpost blijft, is het genoemde risico van beperkt</w:t>
      </w:r>
      <w:r w:rsidR="006B5DB0">
        <w:t>e omvang</w:t>
      </w:r>
      <w:r w:rsidRPr="002E7A92">
        <w:t xml:space="preserve">. Vooraf is dit risico in de uitvoeringstoets van Dienst Toeslagen en de Memorie van Toelichting in kaart gebracht. Met </w:t>
      </w:r>
      <w:r w:rsidR="00A34C02">
        <w:t>dit</w:t>
      </w:r>
      <w:r w:rsidRPr="002E7A92">
        <w:t xml:space="preserve"> in gedachten, vind</w:t>
      </w:r>
      <w:r w:rsidR="00893EC8">
        <w:t>t</w:t>
      </w:r>
      <w:r w:rsidRPr="002E7A92">
        <w:t xml:space="preserve"> </w:t>
      </w:r>
      <w:r w:rsidR="00893EC8">
        <w:t>het kabinet</w:t>
      </w:r>
      <w:r w:rsidRPr="002E7A92" w:rsidR="00893EC8">
        <w:t xml:space="preserve"> </w:t>
      </w:r>
      <w:r w:rsidRPr="002E7A92">
        <w:t xml:space="preserve">het noodzakelijk om burgers die hier graag willen werken en bijdragen aan de samenleving met dit wetsvoorstel te faciliteren. </w:t>
      </w:r>
    </w:p>
    <w:p w:rsidRPr="002E7A92" w:rsidR="000A3391" w:rsidP="00FA2BB6" w:rsidRDefault="000A3391" w14:paraId="7874F26F" w14:textId="77777777"/>
    <w:p w:rsidR="00157C80" w:rsidRDefault="00157C80" w14:paraId="1AD89952" w14:textId="77777777">
      <w:pPr>
        <w:spacing w:line="240" w:lineRule="auto"/>
        <w:rPr>
          <w:b/>
          <w:bCs/>
        </w:rPr>
      </w:pPr>
      <w:r>
        <w:rPr>
          <w:b/>
          <w:bCs/>
        </w:rPr>
        <w:br w:type="page"/>
      </w:r>
    </w:p>
    <w:p w:rsidRPr="002E7A92" w:rsidR="00FA2BB6" w:rsidP="00FA2BB6" w:rsidRDefault="00FA2BB6" w14:paraId="42522A9F" w14:textId="0D3A90FB">
      <w:pPr>
        <w:rPr>
          <w:b/>
          <w:bCs/>
        </w:rPr>
      </w:pPr>
      <w:r w:rsidRPr="002E7A92">
        <w:rPr>
          <w:b/>
          <w:bCs/>
        </w:rPr>
        <w:t>Afsluiting</w:t>
      </w:r>
    </w:p>
    <w:p w:rsidRPr="002E7A92" w:rsidR="00FA2BB6" w:rsidP="00FA2BB6" w:rsidRDefault="00A34C02" w14:paraId="6539E08A" w14:textId="06207D6E">
      <w:r>
        <w:t xml:space="preserve">Wij waarderen het zeer als mensen actief deelnemen aan de Nederlandse arbeidsmarkt. Dit wetsvoorstel helpt mensen daarbij en </w:t>
      </w:r>
      <w:r w:rsidR="000D6402">
        <w:t>geeft ze meer zekerheid ten aanzien van hun arbeidsparticipatie en de inrichting van hun leven.</w:t>
      </w:r>
      <w:r w:rsidRPr="002E7A92" w:rsidR="00FA2BB6">
        <w:t xml:space="preserve"> </w:t>
      </w:r>
    </w:p>
    <w:p w:rsidRPr="002E7A92" w:rsidR="00FA2BB6" w:rsidP="00FA2BB6" w:rsidRDefault="00FA2BB6" w14:paraId="4D43F95E" w14:textId="77777777"/>
    <w:p w:rsidR="00FA2BB6" w:rsidP="00FA2BB6" w:rsidRDefault="00FA2BB6" w14:paraId="7867F29C" w14:textId="32F73208">
      <w:r w:rsidRPr="002E7A92">
        <w:t xml:space="preserve">In het debat </w:t>
      </w:r>
      <w:r w:rsidR="00893EC8">
        <w:t>is</w:t>
      </w:r>
      <w:r w:rsidRPr="002E7A92" w:rsidR="00893EC8">
        <w:t xml:space="preserve"> </w:t>
      </w:r>
      <w:r w:rsidRPr="002E7A92">
        <w:t xml:space="preserve">het belang van een goede evaluatie onderschreven. </w:t>
      </w:r>
      <w:r w:rsidR="00893EC8">
        <w:t>Wij willen</w:t>
      </w:r>
      <w:r w:rsidRPr="002E7A92">
        <w:t xml:space="preserve"> benadrukken dat het gebruik van de regeling goed </w:t>
      </w:r>
      <w:r w:rsidR="00893EC8">
        <w:t>wordt gemonitord</w:t>
      </w:r>
      <w:r w:rsidR="00F66A87">
        <w:t xml:space="preserve">, ook in aanloop naar de </w:t>
      </w:r>
      <w:r w:rsidR="00E1650F">
        <w:t xml:space="preserve">in de Memorie van Toelichting </w:t>
      </w:r>
      <w:r w:rsidRPr="002E7A92">
        <w:t xml:space="preserve">toegezegde invoeringstoets en de evaluatie. Graag </w:t>
      </w:r>
      <w:r w:rsidR="00893EC8">
        <w:t>gaa</w:t>
      </w:r>
      <w:r w:rsidR="006C20A4">
        <w:t>n wij</w:t>
      </w:r>
      <w:r w:rsidRPr="002E7A92">
        <w:t xml:space="preserve"> verder met u in gesprek over dit wetsvoorstel in de tweede termijn van uw Kamer. </w:t>
      </w:r>
    </w:p>
    <w:p w:rsidRPr="002E7A92" w:rsidR="008C672D" w:rsidP="00FA2BB6" w:rsidRDefault="008C672D" w14:paraId="692B7201" w14:textId="77777777"/>
    <w:p w:rsidRPr="002E7A92" w:rsidR="00FA2BB6" w:rsidP="00FA2BB6" w:rsidRDefault="00FA2BB6" w14:paraId="46D33AC4" w14:textId="77777777">
      <w:pPr>
        <w:pStyle w:val="StandaardSlotzin"/>
        <w:spacing w:before="0"/>
      </w:pPr>
      <w:r w:rsidRPr="002E7A92">
        <w:t>Hoogachtend,</w:t>
      </w:r>
    </w:p>
    <w:p w:rsidRPr="002E7A92" w:rsidR="00FA2BB6" w:rsidP="00FA2BB6" w:rsidRDefault="00FA2BB6" w14:paraId="308240DA" w14:textId="77777777"/>
    <w:p w:rsidR="008C672D" w:rsidP="003C2B19" w:rsidRDefault="00FA2BB6" w14:paraId="4016FE15" w14:textId="12D1C3E5">
      <w:pPr>
        <w:pStyle w:val="StandaardOndertekening"/>
      </w:pPr>
      <w:r w:rsidRPr="002E7A92">
        <w:t xml:space="preserve">De </w:t>
      </w:r>
      <w:r w:rsidR="008C672D">
        <w:t>M</w:t>
      </w:r>
      <w:r w:rsidRPr="002E7A92">
        <w:t xml:space="preserve">inister van Sociale Zaken </w:t>
      </w:r>
      <w:r w:rsidR="0090064E">
        <w:tab/>
      </w:r>
      <w:r w:rsidR="0090064E">
        <w:tab/>
      </w:r>
      <w:r w:rsidR="0090064E">
        <w:tab/>
      </w:r>
      <w:r w:rsidRPr="002E7A92" w:rsidR="0090064E">
        <w:t xml:space="preserve">De </w:t>
      </w:r>
      <w:r w:rsidR="0090064E">
        <w:t>S</w:t>
      </w:r>
      <w:r w:rsidRPr="002E7A92" w:rsidR="0090064E">
        <w:t>taatssecretaris van</w:t>
      </w:r>
    </w:p>
    <w:p w:rsidRPr="002E7A92" w:rsidR="00FA2BB6" w:rsidP="00FA2BB6" w:rsidRDefault="00FA2BB6" w14:paraId="0FFEC842" w14:textId="13C01E56">
      <w:pPr>
        <w:ind w:left="4248" w:hanging="4248"/>
        <w:rPr>
          <w:lang w:eastAsia="en-US"/>
        </w:rPr>
      </w:pPr>
      <w:r w:rsidRPr="002E7A92">
        <w:t>en Werkgelegenheid</w:t>
      </w:r>
      <w:r w:rsidRPr="002E7A92">
        <w:tab/>
      </w:r>
      <w:r w:rsidRPr="002E7A92" w:rsidR="0090064E">
        <w:t>Financiën - Toeslagen en Douane</w:t>
      </w:r>
      <w:r w:rsidRPr="002E7A92">
        <w:tab/>
      </w:r>
      <w:r w:rsidRPr="002E7A92">
        <w:tab/>
      </w:r>
      <w:r w:rsidRPr="002E7A92">
        <w:tab/>
      </w:r>
    </w:p>
    <w:p w:rsidRPr="002E7A92" w:rsidR="00FA2BB6" w:rsidP="00FA2BB6" w:rsidRDefault="00FA2BB6" w14:paraId="3C555662" w14:textId="77777777"/>
    <w:p w:rsidRPr="002E7A92" w:rsidR="00FA2BB6" w:rsidP="00FA2BB6" w:rsidRDefault="00FA2BB6" w14:paraId="4AE1F710" w14:textId="77777777"/>
    <w:p w:rsidRPr="002E7A92" w:rsidR="00FA2BB6" w:rsidP="00FA2BB6" w:rsidRDefault="00FA2BB6" w14:paraId="1D7BCB90" w14:textId="77777777"/>
    <w:p w:rsidRPr="002E7A92" w:rsidR="00FA2BB6" w:rsidP="00FA2BB6" w:rsidRDefault="00FA2BB6" w14:paraId="0FA72920" w14:textId="77777777"/>
    <w:p w:rsidRPr="002E7A92" w:rsidR="00FA2BB6" w:rsidP="00FA2BB6" w:rsidRDefault="00FA2BB6" w14:paraId="528DD958" w14:textId="77777777"/>
    <w:p w:rsidRPr="002E7A92" w:rsidR="0090064E" w:rsidP="0090064E" w:rsidRDefault="00FA2BB6" w14:paraId="279F245C" w14:textId="77777777">
      <w:r w:rsidRPr="002E7A92">
        <w:t>C.E.G. van Gennip</w:t>
      </w:r>
      <w:r w:rsidR="0090064E">
        <w:tab/>
      </w:r>
      <w:r w:rsidR="0090064E">
        <w:tab/>
      </w:r>
      <w:r w:rsidR="0090064E">
        <w:tab/>
      </w:r>
      <w:r w:rsidR="0090064E">
        <w:tab/>
      </w:r>
      <w:r w:rsidRPr="002E7A92" w:rsidR="0090064E">
        <w:t>Aukje de Vries</w:t>
      </w:r>
    </w:p>
    <w:p w:rsidRPr="002E7A92" w:rsidR="00610DF0" w:rsidRDefault="00610DF0" w14:paraId="247B57BC" w14:textId="083A485D"/>
    <w:sectPr w:rsidRPr="002E7A92" w:rsidR="00610DF0">
      <w:headerReference w:type="even" r:id="rId11"/>
      <w:headerReference w:type="default" r:id="rId12"/>
      <w:footerReference w:type="even" r:id="rId13"/>
      <w:footerReference w:type="default" r:id="rId14"/>
      <w:headerReference w:type="first" r:id="rId15"/>
      <w:footerReference w:type="first" r:id="rId16"/>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E961" w14:textId="77777777" w:rsidR="00C24A39" w:rsidRDefault="00C24A39">
      <w:pPr>
        <w:spacing w:line="240" w:lineRule="auto"/>
      </w:pPr>
      <w:r>
        <w:separator/>
      </w:r>
    </w:p>
  </w:endnote>
  <w:endnote w:type="continuationSeparator" w:id="0">
    <w:p w14:paraId="70AFBB01" w14:textId="77777777" w:rsidR="00C24A39" w:rsidRDefault="00C24A39">
      <w:pPr>
        <w:spacing w:line="240" w:lineRule="auto"/>
      </w:pPr>
      <w:r>
        <w:continuationSeparator/>
      </w:r>
    </w:p>
  </w:endnote>
  <w:endnote w:type="continuationNotice" w:id="1">
    <w:p w14:paraId="1CE700D3" w14:textId="77777777" w:rsidR="00C24A39" w:rsidRDefault="00C24A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ED76" w14:textId="77777777" w:rsidR="007B7CD5" w:rsidRDefault="007B7C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717A" w14:textId="77777777" w:rsidR="007B7CD5" w:rsidRDefault="007B7CD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E52F" w14:textId="77777777" w:rsidR="007B7CD5" w:rsidRDefault="007B7C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9512" w14:textId="77777777" w:rsidR="00C24A39" w:rsidRDefault="00C24A39">
      <w:pPr>
        <w:spacing w:line="240" w:lineRule="auto"/>
      </w:pPr>
      <w:r>
        <w:separator/>
      </w:r>
    </w:p>
  </w:footnote>
  <w:footnote w:type="continuationSeparator" w:id="0">
    <w:p w14:paraId="5E7D1199" w14:textId="77777777" w:rsidR="00C24A39" w:rsidRDefault="00C24A39">
      <w:pPr>
        <w:spacing w:line="240" w:lineRule="auto"/>
      </w:pPr>
      <w:r>
        <w:continuationSeparator/>
      </w:r>
    </w:p>
  </w:footnote>
  <w:footnote w:type="continuationNotice" w:id="1">
    <w:p w14:paraId="7CB5F5C6" w14:textId="77777777" w:rsidR="00C24A39" w:rsidRDefault="00C24A39">
      <w:pPr>
        <w:spacing w:line="240" w:lineRule="auto"/>
      </w:pPr>
    </w:p>
  </w:footnote>
  <w:footnote w:id="2">
    <w:p w14:paraId="59C629D6" w14:textId="77777777" w:rsidR="00FA2BB6" w:rsidRPr="002E7A92" w:rsidRDefault="00FA2BB6" w:rsidP="00FA2BB6">
      <w:pPr>
        <w:pStyle w:val="Voetnoottekst"/>
        <w:rPr>
          <w:sz w:val="16"/>
          <w:szCs w:val="16"/>
        </w:rPr>
      </w:pPr>
      <w:r w:rsidRPr="002E7A92">
        <w:rPr>
          <w:rStyle w:val="Voetnootmarkering"/>
          <w:sz w:val="16"/>
          <w:szCs w:val="16"/>
        </w:rPr>
        <w:footnoteRef/>
      </w:r>
      <w:r w:rsidRPr="002E7A92">
        <w:rPr>
          <w:sz w:val="16"/>
          <w:szCs w:val="16"/>
        </w:rPr>
        <w:t xml:space="preserve"> Kamerstukken II 2022/23, 36 241, nr. 3.</w:t>
      </w:r>
    </w:p>
  </w:footnote>
  <w:footnote w:id="3">
    <w:p w14:paraId="223FE078" w14:textId="77777777" w:rsidR="00FA2BB6" w:rsidRDefault="00FA2BB6" w:rsidP="00FA2BB6">
      <w:pPr>
        <w:pStyle w:val="Voetnoottekst"/>
        <w:rPr>
          <w:sz w:val="16"/>
          <w:szCs w:val="16"/>
        </w:rPr>
      </w:pPr>
      <w:r w:rsidRPr="002E7A92">
        <w:rPr>
          <w:rStyle w:val="Voetnootmarkering"/>
          <w:sz w:val="16"/>
          <w:szCs w:val="16"/>
        </w:rPr>
        <w:footnoteRef/>
      </w:r>
      <w:r w:rsidRPr="002E7A92">
        <w:rPr>
          <w:sz w:val="16"/>
          <w:szCs w:val="16"/>
        </w:rPr>
        <w:t xml:space="preserve"> Kamerstukken II 2021/22, 36 045, nr. 95.</w:t>
      </w:r>
    </w:p>
  </w:footnote>
  <w:footnote w:id="4">
    <w:p w14:paraId="31CE7AD2" w14:textId="77777777" w:rsidR="008C2D4F" w:rsidRPr="00AA7E8D" w:rsidRDefault="008C2D4F" w:rsidP="008C2D4F">
      <w:pPr>
        <w:pStyle w:val="Voetnoottekst"/>
        <w:rPr>
          <w:sz w:val="16"/>
          <w:szCs w:val="16"/>
        </w:rPr>
      </w:pPr>
      <w:r w:rsidRPr="00AA7E8D">
        <w:rPr>
          <w:rStyle w:val="Voetnootmarkering"/>
          <w:sz w:val="16"/>
          <w:szCs w:val="16"/>
        </w:rPr>
        <w:footnoteRef/>
      </w:r>
      <w:r w:rsidRPr="00AA7E8D">
        <w:rPr>
          <w:sz w:val="16"/>
          <w:szCs w:val="16"/>
        </w:rPr>
        <w:t xml:space="preserve"> </w:t>
      </w:r>
      <w:r w:rsidRPr="00B77600">
        <w:rPr>
          <w:sz w:val="16"/>
          <w:szCs w:val="16"/>
        </w:rPr>
        <w:t>Zie de bijlagen bij Kamerstukken II 2021/22, 36 045, nr. 95.</w:t>
      </w:r>
    </w:p>
  </w:footnote>
  <w:footnote w:id="5">
    <w:p w14:paraId="5738B51E" w14:textId="77777777" w:rsidR="004D485C" w:rsidRPr="00B70756" w:rsidRDefault="004D485C" w:rsidP="004D485C">
      <w:pPr>
        <w:pStyle w:val="Voetnoottekst"/>
        <w:rPr>
          <w:sz w:val="16"/>
          <w:szCs w:val="16"/>
        </w:rPr>
      </w:pPr>
      <w:r w:rsidRPr="00B70756">
        <w:rPr>
          <w:rStyle w:val="Voetnootmarkering"/>
          <w:sz w:val="16"/>
          <w:szCs w:val="16"/>
        </w:rPr>
        <w:footnoteRef/>
      </w:r>
      <w:r w:rsidRPr="00B70756">
        <w:rPr>
          <w:sz w:val="16"/>
          <w:szCs w:val="16"/>
        </w:rPr>
        <w:t xml:space="preserve"> </w:t>
      </w:r>
      <w:r>
        <w:rPr>
          <w:sz w:val="16"/>
          <w:szCs w:val="16"/>
        </w:rPr>
        <w:t>Bu</w:t>
      </w:r>
      <w:r w:rsidRPr="00B70756">
        <w:rPr>
          <w:sz w:val="16"/>
          <w:szCs w:val="16"/>
        </w:rPr>
        <w:t>rgers die op een zeker moment voorschotten KOT ontvangen.</w:t>
      </w:r>
    </w:p>
  </w:footnote>
  <w:footnote w:id="6">
    <w:p w14:paraId="15ABE593" w14:textId="48DF9E1C" w:rsidR="00FA2BB6" w:rsidRPr="00B77600" w:rsidRDefault="00FA2BB6" w:rsidP="00FA2BB6">
      <w:pPr>
        <w:pStyle w:val="Voetnoottekst"/>
        <w:rPr>
          <w:sz w:val="16"/>
          <w:szCs w:val="16"/>
        </w:rPr>
      </w:pPr>
      <w:r w:rsidRPr="00B77600">
        <w:rPr>
          <w:rStyle w:val="Voetnootmarkering"/>
          <w:sz w:val="16"/>
          <w:szCs w:val="16"/>
        </w:rPr>
        <w:footnoteRef/>
      </w:r>
      <w:r w:rsidRPr="00B77600">
        <w:rPr>
          <w:sz w:val="16"/>
          <w:szCs w:val="16"/>
        </w:rPr>
        <w:t xml:space="preserve"> Bijvoorbeeld beëindiging van partnerschap of verhuizing van de partner buiten de EU. </w:t>
      </w:r>
    </w:p>
  </w:footnote>
  <w:footnote w:id="7">
    <w:p w14:paraId="1E4A495A" w14:textId="2F1A339F" w:rsidR="00F5220E" w:rsidRDefault="00F5220E" w:rsidP="00F5220E">
      <w:pPr>
        <w:pStyle w:val="Voetnoottekst"/>
      </w:pPr>
      <w:r w:rsidRPr="002E7A92">
        <w:rPr>
          <w:rStyle w:val="Voetnootmarkering"/>
          <w:sz w:val="16"/>
          <w:szCs w:val="16"/>
        </w:rPr>
        <w:footnoteRef/>
      </w:r>
      <w:r w:rsidRPr="002E7A92">
        <w:rPr>
          <w:sz w:val="16"/>
          <w:szCs w:val="16"/>
        </w:rPr>
        <w:t xml:space="preserve"> Dit zijn groepen waarbij in bepaalde gevallen ouders niet werken, maar wel bewegen richting participatie (bijvoorbeeld omdat de ouder </w:t>
      </w:r>
      <w:r w:rsidR="00AD73B1">
        <w:rPr>
          <w:sz w:val="16"/>
          <w:szCs w:val="16"/>
        </w:rPr>
        <w:t>studeert, een traject naar werk volgt of inburgert</w:t>
      </w:r>
      <w:r w:rsidRPr="002E7A92">
        <w:rPr>
          <w:sz w:val="16"/>
          <w:szCs w:val="16"/>
        </w:rPr>
        <w:t>) of omdat deze ouders om een andere reden de zorg voor het kind niet op zich kunnen nemen (omdat één van beide ouders in detentie zit of omdat één van beide ouders langdurige zorg nodig heeft en daarvoor over een Wlz-indicatie beschikt).</w:t>
      </w:r>
    </w:p>
  </w:footnote>
  <w:footnote w:id="8">
    <w:p w14:paraId="24901F9D" w14:textId="77777777" w:rsidR="00CE17B7" w:rsidRPr="002E7A92" w:rsidRDefault="00CE17B7" w:rsidP="00CE17B7">
      <w:pPr>
        <w:pStyle w:val="Voetnoottekst"/>
        <w:rPr>
          <w:sz w:val="16"/>
          <w:szCs w:val="16"/>
        </w:rPr>
      </w:pPr>
      <w:r w:rsidRPr="002E7A92">
        <w:rPr>
          <w:rStyle w:val="Voetnootmarkering"/>
          <w:sz w:val="16"/>
          <w:szCs w:val="16"/>
        </w:rPr>
        <w:footnoteRef/>
      </w:r>
      <w:r w:rsidRPr="002E7A92">
        <w:rPr>
          <w:sz w:val="16"/>
          <w:szCs w:val="16"/>
        </w:rPr>
        <w:t xml:space="preserve"> Bijlage bij Kamerstukken II 2022/23, 31066, nr. 1233.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D552" w14:textId="77777777" w:rsidR="007B7CD5" w:rsidRDefault="007B7C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3ABB" w14:textId="77777777" w:rsidR="00610DF0" w:rsidRDefault="008C672D">
    <w:pPr>
      <w:pStyle w:val="MarginlessContainer"/>
    </w:pPr>
    <w:r>
      <w:rPr>
        <w:noProof/>
      </w:rPr>
      <mc:AlternateContent>
        <mc:Choice Requires="wps">
          <w:drawing>
            <wp:anchor distT="0" distB="0" distL="0" distR="0" simplePos="0" relativeHeight="251658240" behindDoc="0" locked="1" layoutInCell="1" allowOverlap="1" wp14:anchorId="09FAC228" wp14:editId="73F73DC3">
              <wp:simplePos x="0" y="0"/>
              <wp:positionH relativeFrom="page">
                <wp:posOffset>5921375</wp:posOffset>
              </wp:positionH>
              <wp:positionV relativeFrom="page">
                <wp:posOffset>1979930</wp:posOffset>
              </wp:positionV>
              <wp:extent cx="1382395" cy="8009890"/>
              <wp:effectExtent l="0" t="0" r="0" b="0"/>
              <wp:wrapNone/>
              <wp:docPr id="8" name="Tekstvak 8"/>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18580C2D" w14:textId="77777777" w:rsidR="00610DF0" w:rsidRDefault="008C672D">
                          <w:pPr>
                            <w:pStyle w:val="Referentiegegevenskopjes"/>
                          </w:pPr>
                          <w:r>
                            <w:t>Datum</w:t>
                          </w:r>
                        </w:p>
                        <w:p w14:paraId="04D7E9ED" w14:textId="28666DDC" w:rsidR="00610DF0" w:rsidRDefault="00BE4457">
                          <w:pPr>
                            <w:pStyle w:val="Referentiegegevens"/>
                          </w:pPr>
                          <w:r>
                            <w:fldChar w:fldCharType="begin"/>
                          </w:r>
                          <w:r>
                            <w:instrText xml:space="preserve"> DOCPROPERTY  "iDatum"  \* MERGEFORMAT </w:instrText>
                          </w:r>
                          <w:r>
                            <w:fldChar w:fldCharType="separate"/>
                          </w:r>
                          <w:r>
                            <w:t>25 april 2024</w:t>
                          </w:r>
                          <w:r>
                            <w:fldChar w:fldCharType="end"/>
                          </w:r>
                        </w:p>
                        <w:p w14:paraId="6A35D8D3" w14:textId="77777777" w:rsidR="00610DF0" w:rsidRDefault="00610DF0">
                          <w:pPr>
                            <w:pStyle w:val="WitregelW1"/>
                          </w:pPr>
                        </w:p>
                        <w:p w14:paraId="2ECC0B8B" w14:textId="77777777" w:rsidR="00610DF0" w:rsidRDefault="008C672D">
                          <w:pPr>
                            <w:pStyle w:val="Referentiegegevenskopjes"/>
                          </w:pPr>
                          <w:r>
                            <w:t>Onze referentie</w:t>
                          </w:r>
                        </w:p>
                        <w:p w14:paraId="64E394C2" w14:textId="6D97BC1A" w:rsidR="00610DF0" w:rsidRDefault="00146406">
                          <w:pPr>
                            <w:pStyle w:val="ReferentiegegevensHL"/>
                          </w:pPr>
                          <w:fldSimple w:instr=" DOCPROPERTY  &quot;iOnsKenmerk&quot;  \* MERGEFORMAT ">
                            <w:r w:rsidR="00BE4457">
                              <w:t>2024-0000117801</w:t>
                            </w:r>
                          </w:fldSimple>
                        </w:p>
                      </w:txbxContent>
                    </wps:txbx>
                    <wps:bodyPr vert="horz" wrap="square" lIns="0" tIns="0" rIns="0" bIns="0" anchor="t" anchorCtr="0"/>
                  </wps:wsp>
                </a:graphicData>
              </a:graphic>
            </wp:anchor>
          </w:drawing>
        </mc:Choice>
        <mc:Fallback>
          <w:pict>
            <v:shapetype w14:anchorId="09FAC228" id="_x0000_t202" coordsize="21600,21600" o:spt="202" path="m,l,21600r21600,l21600,xe">
              <v:stroke joinstyle="miter"/>
              <v:path gradientshapeok="t" o:connecttype="rect"/>
            </v:shapetype>
            <v:shape id="Tekstvak 8" o:spid="_x0000_s1026" type="#_x0000_t202" style="position:absolute;margin-left:466.25pt;margin-top:155.9pt;width:108.85pt;height:630.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18580C2D" w14:textId="77777777" w:rsidR="00610DF0" w:rsidRDefault="008C672D">
                    <w:pPr>
                      <w:pStyle w:val="Referentiegegevenskopjes"/>
                    </w:pPr>
                    <w:r>
                      <w:t>Datum</w:t>
                    </w:r>
                  </w:p>
                  <w:p w14:paraId="04D7E9ED" w14:textId="28666DDC" w:rsidR="00610DF0" w:rsidRDefault="00BE4457">
                    <w:pPr>
                      <w:pStyle w:val="Referentiegegevens"/>
                    </w:pPr>
                    <w:r>
                      <w:fldChar w:fldCharType="begin"/>
                    </w:r>
                    <w:r>
                      <w:instrText xml:space="preserve"> DOCPROPERTY  "iDatum"  \* MERGEFORMAT </w:instrText>
                    </w:r>
                    <w:r>
                      <w:fldChar w:fldCharType="separate"/>
                    </w:r>
                    <w:r>
                      <w:t>25 april 2024</w:t>
                    </w:r>
                    <w:r>
                      <w:fldChar w:fldCharType="end"/>
                    </w:r>
                  </w:p>
                  <w:p w14:paraId="6A35D8D3" w14:textId="77777777" w:rsidR="00610DF0" w:rsidRDefault="00610DF0">
                    <w:pPr>
                      <w:pStyle w:val="WitregelW1"/>
                    </w:pPr>
                  </w:p>
                  <w:p w14:paraId="2ECC0B8B" w14:textId="77777777" w:rsidR="00610DF0" w:rsidRDefault="008C672D">
                    <w:pPr>
                      <w:pStyle w:val="Referentiegegevenskopjes"/>
                    </w:pPr>
                    <w:r>
                      <w:t>Onze referentie</w:t>
                    </w:r>
                  </w:p>
                  <w:p w14:paraId="64E394C2" w14:textId="6D97BC1A" w:rsidR="00610DF0" w:rsidRDefault="00146406">
                    <w:pPr>
                      <w:pStyle w:val="ReferentiegegevensHL"/>
                    </w:pPr>
                    <w:fldSimple w:instr=" DOCPROPERTY  &quot;iOnsKenmerk&quot;  \* MERGEFORMAT ">
                      <w:r w:rsidR="00BE4457">
                        <w:t>2024-0000117801</w:t>
                      </w:r>
                    </w:fldSimple>
                  </w:p>
                </w:txbxContent>
              </v:textbox>
              <w10:wrap anchorx="page" anchory="page"/>
              <w10:anchorlock/>
            </v:shape>
          </w:pict>
        </mc:Fallback>
      </mc:AlternateContent>
    </w:r>
    <w:r>
      <w:rPr>
        <w:noProof/>
      </w:rPr>
      <mc:AlternateContent>
        <mc:Choice Requires="wps">
          <w:drawing>
            <wp:anchor distT="0" distB="0" distL="0" distR="0" simplePos="0" relativeHeight="251658241" behindDoc="0" locked="1" layoutInCell="1" allowOverlap="1" wp14:anchorId="6F095BBF" wp14:editId="55119C9B">
              <wp:simplePos x="0" y="0"/>
              <wp:positionH relativeFrom="page">
                <wp:posOffset>5921375</wp:posOffset>
              </wp:positionH>
              <wp:positionV relativeFrom="page">
                <wp:posOffset>10223500</wp:posOffset>
              </wp:positionV>
              <wp:extent cx="1259840" cy="179705"/>
              <wp:effectExtent l="0" t="0" r="0" b="0"/>
              <wp:wrapNone/>
              <wp:docPr id="9" name="Tekstvak 9"/>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A827742" w14:textId="77777777" w:rsidR="00610DF0" w:rsidRDefault="008C672D">
                          <w:pPr>
                            <w:pStyle w:val="Afzendgegevens"/>
                          </w:pPr>
                          <w:r>
                            <w:t xml:space="preserve">Pagina </w:t>
                          </w:r>
                          <w:r>
                            <w:fldChar w:fldCharType="begin"/>
                          </w:r>
                          <w:r>
                            <w:instrText>PAGE</w:instrText>
                          </w:r>
                          <w:r>
                            <w:fldChar w:fldCharType="separate"/>
                          </w:r>
                          <w:r w:rsidR="00FA2BB6">
                            <w:rPr>
                              <w:noProof/>
                            </w:rPr>
                            <w:t>1</w:t>
                          </w:r>
                          <w:r>
                            <w:fldChar w:fldCharType="end"/>
                          </w:r>
                          <w:r>
                            <w:t xml:space="preserve"> van </w:t>
                          </w:r>
                          <w:r>
                            <w:fldChar w:fldCharType="begin"/>
                          </w:r>
                          <w:r>
                            <w:instrText>NUMPAGES</w:instrText>
                          </w:r>
                          <w:r>
                            <w:fldChar w:fldCharType="separate"/>
                          </w:r>
                          <w:r w:rsidR="00FA2BB6">
                            <w:rPr>
                              <w:noProof/>
                            </w:rPr>
                            <w:t>1</w:t>
                          </w:r>
                          <w:r>
                            <w:fldChar w:fldCharType="end"/>
                          </w:r>
                        </w:p>
                      </w:txbxContent>
                    </wps:txbx>
                    <wps:bodyPr vert="horz" wrap="square" lIns="0" tIns="0" rIns="0" bIns="0" anchor="t" anchorCtr="0"/>
                  </wps:wsp>
                </a:graphicData>
              </a:graphic>
            </wp:anchor>
          </w:drawing>
        </mc:Choice>
        <mc:Fallback>
          <w:pict>
            <v:shape w14:anchorId="6F095BBF" id="Tekstvak 9" o:spid="_x0000_s1027" type="#_x0000_t202" style="position:absolute;margin-left:466.25pt;margin-top:805pt;width:99.2pt;height:14.1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5A827742" w14:textId="77777777" w:rsidR="00610DF0" w:rsidRDefault="008C672D">
                    <w:pPr>
                      <w:pStyle w:val="Afzendgegevens"/>
                    </w:pPr>
                    <w:r>
                      <w:t xml:space="preserve">Pagina </w:t>
                    </w:r>
                    <w:r>
                      <w:fldChar w:fldCharType="begin"/>
                    </w:r>
                    <w:r>
                      <w:instrText>PAGE</w:instrText>
                    </w:r>
                    <w:r>
                      <w:fldChar w:fldCharType="separate"/>
                    </w:r>
                    <w:r w:rsidR="00FA2BB6">
                      <w:rPr>
                        <w:noProof/>
                      </w:rPr>
                      <w:t>1</w:t>
                    </w:r>
                    <w:r>
                      <w:fldChar w:fldCharType="end"/>
                    </w:r>
                    <w:r>
                      <w:t xml:space="preserve"> van </w:t>
                    </w:r>
                    <w:r>
                      <w:fldChar w:fldCharType="begin"/>
                    </w:r>
                    <w:r>
                      <w:instrText>NUMPAGES</w:instrText>
                    </w:r>
                    <w:r>
                      <w:fldChar w:fldCharType="separate"/>
                    </w:r>
                    <w:r w:rsidR="00FA2BB6">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40BE" w14:textId="77777777" w:rsidR="00610DF0" w:rsidRDefault="008C672D">
    <w:pPr>
      <w:pStyle w:val="MarginlessContainer"/>
      <w:spacing w:after="7029" w:line="14" w:lineRule="exact"/>
    </w:pPr>
    <w:r>
      <w:rPr>
        <w:noProof/>
      </w:rPr>
      <mc:AlternateContent>
        <mc:Choice Requires="wps">
          <w:drawing>
            <wp:anchor distT="0" distB="0" distL="0" distR="0" simplePos="0" relativeHeight="251658242" behindDoc="0" locked="1" layoutInCell="1" allowOverlap="1" wp14:anchorId="1FB1C7A5" wp14:editId="0244B68C">
              <wp:simplePos x="0" y="0"/>
              <wp:positionH relativeFrom="page">
                <wp:posOffset>4013835</wp:posOffset>
              </wp:positionH>
              <wp:positionV relativeFrom="page">
                <wp:posOffset>0</wp:posOffset>
              </wp:positionV>
              <wp:extent cx="2339975" cy="1583690"/>
              <wp:effectExtent l="0" t="0" r="0" b="0"/>
              <wp:wrapNone/>
              <wp:docPr id="1" name="Tekstvak 1"/>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009E7AE2" w14:textId="77777777" w:rsidR="00610DF0" w:rsidRDefault="008C672D">
                          <w:pPr>
                            <w:pStyle w:val="MarginlessContainer"/>
                          </w:pPr>
                          <w:r>
                            <w:rPr>
                              <w:noProof/>
                            </w:rPr>
                            <w:drawing>
                              <wp:inline distT="0" distB="0" distL="0" distR="0" wp14:anchorId="20F3230A" wp14:editId="2A93FA4B">
                                <wp:extent cx="2339975" cy="1582834"/>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1FB1C7A5" id="_x0000_t202" coordsize="21600,21600" o:spt="202" path="m,l,21600r21600,l21600,xe">
              <v:stroke joinstyle="miter"/>
              <v:path gradientshapeok="t" o:connecttype="rect"/>
            </v:shapetype>
            <v:shape id="Tekstvak 1" o:spid="_x0000_s1028" type="#_x0000_t202" style="position:absolute;margin-left:316.05pt;margin-top:0;width:184.25pt;height:124.7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009E7AE2" w14:textId="77777777" w:rsidR="00610DF0" w:rsidRDefault="008C672D">
                    <w:pPr>
                      <w:pStyle w:val="MarginlessContainer"/>
                    </w:pPr>
                    <w:r>
                      <w:rPr>
                        <w:noProof/>
                      </w:rPr>
                      <w:drawing>
                        <wp:inline distT="0" distB="0" distL="0" distR="0" wp14:anchorId="20F3230A" wp14:editId="2A93FA4B">
                          <wp:extent cx="2339975" cy="1582834"/>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3" behindDoc="0" locked="1" layoutInCell="1" allowOverlap="1" wp14:anchorId="211BD5C7" wp14:editId="43E5009F">
              <wp:simplePos x="0" y="0"/>
              <wp:positionH relativeFrom="page">
                <wp:posOffset>5921375</wp:posOffset>
              </wp:positionH>
              <wp:positionV relativeFrom="page">
                <wp:posOffset>1979930</wp:posOffset>
              </wp:positionV>
              <wp:extent cx="1382395" cy="8009890"/>
              <wp:effectExtent l="0" t="0" r="0" b="0"/>
              <wp:wrapNone/>
              <wp:docPr id="3" name="Tekstvak 3"/>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FDE5502" w14:textId="77777777" w:rsidR="00610DF0" w:rsidRPr="00BD7B40" w:rsidRDefault="008C672D">
                          <w:pPr>
                            <w:pStyle w:val="Afzendgegevens"/>
                            <w:rPr>
                              <w:lang w:val="de-DE"/>
                            </w:rPr>
                          </w:pPr>
                          <w:r w:rsidRPr="00BD7B40">
                            <w:rPr>
                              <w:lang w:val="de-DE"/>
                            </w:rPr>
                            <w:t>Postbus 90801</w:t>
                          </w:r>
                        </w:p>
                        <w:p w14:paraId="7F6FEA31" w14:textId="77777777" w:rsidR="00610DF0" w:rsidRPr="00BD7B40" w:rsidRDefault="008C672D">
                          <w:pPr>
                            <w:pStyle w:val="Afzendgegevens"/>
                            <w:rPr>
                              <w:lang w:val="de-DE"/>
                            </w:rPr>
                          </w:pPr>
                          <w:r w:rsidRPr="00BD7B40">
                            <w:rPr>
                              <w:lang w:val="de-DE"/>
                            </w:rPr>
                            <w:t>2509 LV  Den Haag</w:t>
                          </w:r>
                        </w:p>
                        <w:p w14:paraId="03784A0C" w14:textId="77777777" w:rsidR="00610DF0" w:rsidRPr="00BD7B40" w:rsidRDefault="008C672D">
                          <w:pPr>
                            <w:pStyle w:val="Afzendgegevens"/>
                            <w:rPr>
                              <w:lang w:val="de-DE"/>
                            </w:rPr>
                          </w:pPr>
                          <w:r w:rsidRPr="00BD7B40">
                            <w:rPr>
                              <w:lang w:val="de-DE"/>
                            </w:rPr>
                            <w:t>Parnassusplein 5</w:t>
                          </w:r>
                        </w:p>
                        <w:p w14:paraId="38BD65BB" w14:textId="77777777" w:rsidR="00610DF0" w:rsidRPr="00BD7B40" w:rsidRDefault="008C672D">
                          <w:pPr>
                            <w:pStyle w:val="Afzendgegevens"/>
                            <w:rPr>
                              <w:lang w:val="de-DE"/>
                            </w:rPr>
                          </w:pPr>
                          <w:r w:rsidRPr="00BD7B40">
                            <w:rPr>
                              <w:lang w:val="de-DE"/>
                            </w:rPr>
                            <w:t>T   070 333 44 44</w:t>
                          </w:r>
                        </w:p>
                        <w:p w14:paraId="54F499B0" w14:textId="77777777" w:rsidR="00610DF0" w:rsidRPr="00BD7B40" w:rsidRDefault="008C672D">
                          <w:pPr>
                            <w:pStyle w:val="Afzendgegevens"/>
                            <w:rPr>
                              <w:lang w:val="de-DE"/>
                            </w:rPr>
                          </w:pPr>
                          <w:r w:rsidRPr="00BD7B40">
                            <w:rPr>
                              <w:lang w:val="de-DE"/>
                            </w:rPr>
                            <w:t>www.rijksoverheid.nl</w:t>
                          </w:r>
                        </w:p>
                        <w:p w14:paraId="46B8DE36" w14:textId="77777777" w:rsidR="00610DF0" w:rsidRPr="00BD7B40" w:rsidRDefault="00610DF0">
                          <w:pPr>
                            <w:pStyle w:val="WitregelW2"/>
                            <w:rPr>
                              <w:lang w:val="de-DE"/>
                            </w:rPr>
                          </w:pPr>
                        </w:p>
                        <w:p w14:paraId="3D319F53" w14:textId="77777777" w:rsidR="00610DF0" w:rsidRPr="00BD7B40" w:rsidRDefault="008C672D">
                          <w:pPr>
                            <w:pStyle w:val="Referentiegegevenskopjes"/>
                            <w:rPr>
                              <w:lang w:val="de-DE"/>
                            </w:rPr>
                          </w:pPr>
                          <w:r w:rsidRPr="00BD7B40">
                            <w:rPr>
                              <w:lang w:val="de-DE"/>
                            </w:rPr>
                            <w:t>Onze referentie</w:t>
                          </w:r>
                        </w:p>
                        <w:p w14:paraId="33BA0799" w14:textId="45781E9B" w:rsidR="00610DF0" w:rsidRDefault="00146406">
                          <w:pPr>
                            <w:pStyle w:val="ReferentiegegevensHL"/>
                          </w:pPr>
                          <w:fldSimple w:instr=" DOCPROPERTY  &quot;iOnsKenmerk&quot;  \* MERGEFORMAT ">
                            <w:r w:rsidR="00BE4457">
                              <w:t>2024-0000117801</w:t>
                            </w:r>
                          </w:fldSimple>
                        </w:p>
                        <w:p w14:paraId="02C24743" w14:textId="77777777" w:rsidR="00610DF0" w:rsidRDefault="00610DF0">
                          <w:pPr>
                            <w:pStyle w:val="WitregelW1"/>
                          </w:pPr>
                        </w:p>
                        <w:p w14:paraId="72347E2C" w14:textId="6FCEBC20" w:rsidR="00610DF0" w:rsidRDefault="008C672D">
                          <w:pPr>
                            <w:pStyle w:val="Referentiegegevens"/>
                          </w:pPr>
                          <w:r>
                            <w:fldChar w:fldCharType="begin"/>
                          </w:r>
                          <w:r>
                            <w:instrText xml:space="preserve"> DOCPROPERTY  "iUwBrief"  \* MERGEFORMAT </w:instrText>
                          </w:r>
                          <w:r>
                            <w:fldChar w:fldCharType="end"/>
                          </w:r>
                        </w:p>
                        <w:p w14:paraId="62D95DF6" w14:textId="77777777" w:rsidR="00610DF0" w:rsidRDefault="00610DF0">
                          <w:pPr>
                            <w:pStyle w:val="WitregelW1"/>
                          </w:pPr>
                        </w:p>
                        <w:p w14:paraId="47F6A093" w14:textId="42813629" w:rsidR="00610DF0" w:rsidRDefault="008C672D">
                          <w:pPr>
                            <w:pStyle w:val="Referentiegegevens"/>
                          </w:pPr>
                          <w:r>
                            <w:fldChar w:fldCharType="begin"/>
                          </w:r>
                          <w:r>
                            <w:instrText xml:space="preserve"> DOCPROPERTY  "iCC"  \* MERGEFORMAT </w:instrText>
                          </w:r>
                          <w:r>
                            <w:fldChar w:fldCharType="end"/>
                          </w:r>
                        </w:p>
                        <w:p w14:paraId="5B7B0B0E" w14:textId="77777777" w:rsidR="00610DF0" w:rsidRDefault="00610DF0">
                          <w:pPr>
                            <w:pStyle w:val="WitregelW1"/>
                          </w:pPr>
                        </w:p>
                        <w:p w14:paraId="1A640842" w14:textId="280F15BD" w:rsidR="00610DF0" w:rsidRDefault="008C672D">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w14:anchorId="211BD5C7" id="_x0000_t202" coordsize="21600,21600" o:spt="202" path="m,l,21600r21600,l21600,xe">
              <v:stroke joinstyle="miter"/>
              <v:path gradientshapeok="t" o:connecttype="rect"/>
            </v:shapetype>
            <v:shape id="Tekstvak 3" o:spid="_x0000_s1029" type="#_x0000_t202" style="position:absolute;margin-left:466.25pt;margin-top:155.9pt;width:108.85pt;height:630.7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2FDE5502" w14:textId="77777777" w:rsidR="00610DF0" w:rsidRPr="00BD7B40" w:rsidRDefault="008C672D">
                    <w:pPr>
                      <w:pStyle w:val="Afzendgegevens"/>
                      <w:rPr>
                        <w:lang w:val="de-DE"/>
                      </w:rPr>
                    </w:pPr>
                    <w:r w:rsidRPr="00BD7B40">
                      <w:rPr>
                        <w:lang w:val="de-DE"/>
                      </w:rPr>
                      <w:t>Postbus 90801</w:t>
                    </w:r>
                  </w:p>
                  <w:p w14:paraId="7F6FEA31" w14:textId="77777777" w:rsidR="00610DF0" w:rsidRPr="00BD7B40" w:rsidRDefault="008C672D">
                    <w:pPr>
                      <w:pStyle w:val="Afzendgegevens"/>
                      <w:rPr>
                        <w:lang w:val="de-DE"/>
                      </w:rPr>
                    </w:pPr>
                    <w:r w:rsidRPr="00BD7B40">
                      <w:rPr>
                        <w:lang w:val="de-DE"/>
                      </w:rPr>
                      <w:t>2509 LV  Den Haag</w:t>
                    </w:r>
                  </w:p>
                  <w:p w14:paraId="03784A0C" w14:textId="77777777" w:rsidR="00610DF0" w:rsidRPr="00BD7B40" w:rsidRDefault="008C672D">
                    <w:pPr>
                      <w:pStyle w:val="Afzendgegevens"/>
                      <w:rPr>
                        <w:lang w:val="de-DE"/>
                      </w:rPr>
                    </w:pPr>
                    <w:r w:rsidRPr="00BD7B40">
                      <w:rPr>
                        <w:lang w:val="de-DE"/>
                      </w:rPr>
                      <w:t>Parnassusplein 5</w:t>
                    </w:r>
                  </w:p>
                  <w:p w14:paraId="38BD65BB" w14:textId="77777777" w:rsidR="00610DF0" w:rsidRPr="00BD7B40" w:rsidRDefault="008C672D">
                    <w:pPr>
                      <w:pStyle w:val="Afzendgegevens"/>
                      <w:rPr>
                        <w:lang w:val="de-DE"/>
                      </w:rPr>
                    </w:pPr>
                    <w:r w:rsidRPr="00BD7B40">
                      <w:rPr>
                        <w:lang w:val="de-DE"/>
                      </w:rPr>
                      <w:t>T   070 333 44 44</w:t>
                    </w:r>
                  </w:p>
                  <w:p w14:paraId="54F499B0" w14:textId="77777777" w:rsidR="00610DF0" w:rsidRPr="00BD7B40" w:rsidRDefault="008C672D">
                    <w:pPr>
                      <w:pStyle w:val="Afzendgegevens"/>
                      <w:rPr>
                        <w:lang w:val="de-DE"/>
                      </w:rPr>
                    </w:pPr>
                    <w:r w:rsidRPr="00BD7B40">
                      <w:rPr>
                        <w:lang w:val="de-DE"/>
                      </w:rPr>
                      <w:t>www.rijksoverheid.nl</w:t>
                    </w:r>
                  </w:p>
                  <w:p w14:paraId="46B8DE36" w14:textId="77777777" w:rsidR="00610DF0" w:rsidRPr="00BD7B40" w:rsidRDefault="00610DF0">
                    <w:pPr>
                      <w:pStyle w:val="WitregelW2"/>
                      <w:rPr>
                        <w:lang w:val="de-DE"/>
                      </w:rPr>
                    </w:pPr>
                  </w:p>
                  <w:p w14:paraId="3D319F53" w14:textId="77777777" w:rsidR="00610DF0" w:rsidRPr="00BD7B40" w:rsidRDefault="008C672D">
                    <w:pPr>
                      <w:pStyle w:val="Referentiegegevenskopjes"/>
                      <w:rPr>
                        <w:lang w:val="de-DE"/>
                      </w:rPr>
                    </w:pPr>
                    <w:r w:rsidRPr="00BD7B40">
                      <w:rPr>
                        <w:lang w:val="de-DE"/>
                      </w:rPr>
                      <w:t>Onze referentie</w:t>
                    </w:r>
                  </w:p>
                  <w:p w14:paraId="33BA0799" w14:textId="45781E9B" w:rsidR="00610DF0" w:rsidRDefault="00146406">
                    <w:pPr>
                      <w:pStyle w:val="ReferentiegegevensHL"/>
                    </w:pPr>
                    <w:fldSimple w:instr=" DOCPROPERTY  &quot;iOnsKenmerk&quot;  \* MERGEFORMAT ">
                      <w:r w:rsidR="00BE4457">
                        <w:t>2024-0000117801</w:t>
                      </w:r>
                    </w:fldSimple>
                  </w:p>
                  <w:p w14:paraId="02C24743" w14:textId="77777777" w:rsidR="00610DF0" w:rsidRDefault="00610DF0">
                    <w:pPr>
                      <w:pStyle w:val="WitregelW1"/>
                    </w:pPr>
                  </w:p>
                  <w:p w14:paraId="72347E2C" w14:textId="6FCEBC20" w:rsidR="00610DF0" w:rsidRDefault="008C672D">
                    <w:pPr>
                      <w:pStyle w:val="Referentiegegevens"/>
                    </w:pPr>
                    <w:r>
                      <w:fldChar w:fldCharType="begin"/>
                    </w:r>
                    <w:r>
                      <w:instrText xml:space="preserve"> DOCPROPERTY  "iUwBrief"  \* MERGEFORMAT </w:instrText>
                    </w:r>
                    <w:r>
                      <w:fldChar w:fldCharType="end"/>
                    </w:r>
                  </w:p>
                  <w:p w14:paraId="62D95DF6" w14:textId="77777777" w:rsidR="00610DF0" w:rsidRDefault="00610DF0">
                    <w:pPr>
                      <w:pStyle w:val="WitregelW1"/>
                    </w:pPr>
                  </w:p>
                  <w:p w14:paraId="47F6A093" w14:textId="42813629" w:rsidR="00610DF0" w:rsidRDefault="008C672D">
                    <w:pPr>
                      <w:pStyle w:val="Referentiegegevens"/>
                    </w:pPr>
                    <w:r>
                      <w:fldChar w:fldCharType="begin"/>
                    </w:r>
                    <w:r>
                      <w:instrText xml:space="preserve"> DOCPROPERTY  "iCC"  \* MERGEFORMAT </w:instrText>
                    </w:r>
                    <w:r>
                      <w:fldChar w:fldCharType="end"/>
                    </w:r>
                  </w:p>
                  <w:p w14:paraId="5B7B0B0E" w14:textId="77777777" w:rsidR="00610DF0" w:rsidRDefault="00610DF0">
                    <w:pPr>
                      <w:pStyle w:val="WitregelW1"/>
                    </w:pPr>
                  </w:p>
                  <w:p w14:paraId="1A640842" w14:textId="280F15BD" w:rsidR="00610DF0" w:rsidRDefault="008C672D">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4" behindDoc="0" locked="1" layoutInCell="1" allowOverlap="1" wp14:anchorId="4355AFA0" wp14:editId="493F5B20">
              <wp:simplePos x="0" y="0"/>
              <wp:positionH relativeFrom="page">
                <wp:posOffset>1007744</wp:posOffset>
              </wp:positionH>
              <wp:positionV relativeFrom="page">
                <wp:posOffset>1691639</wp:posOffset>
              </wp:positionV>
              <wp:extent cx="3561715" cy="143510"/>
              <wp:effectExtent l="0" t="0" r="0" b="0"/>
              <wp:wrapNone/>
              <wp:docPr id="4" name="Tekstvak 4"/>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56B3BC5F" w14:textId="77777777" w:rsidR="00610DF0" w:rsidRDefault="008C672D">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4355AFA0" id="Tekstvak 4" o:spid="_x0000_s1030" type="#_x0000_t202" style="position:absolute;margin-left:79.35pt;margin-top:133.2pt;width:280.45pt;height:11.3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56B3BC5F" w14:textId="77777777" w:rsidR="00610DF0" w:rsidRDefault="008C672D">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8245" behindDoc="0" locked="1" layoutInCell="1" allowOverlap="1" wp14:anchorId="1E97B7D7" wp14:editId="3D746515">
              <wp:simplePos x="0" y="0"/>
              <wp:positionH relativeFrom="page">
                <wp:posOffset>1007744</wp:posOffset>
              </wp:positionH>
              <wp:positionV relativeFrom="page">
                <wp:posOffset>1943735</wp:posOffset>
              </wp:positionV>
              <wp:extent cx="3491865" cy="1259840"/>
              <wp:effectExtent l="0" t="0" r="0" b="0"/>
              <wp:wrapNone/>
              <wp:docPr id="5" name="Tekstvak 5"/>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559C88B1" w14:textId="77777777" w:rsidR="00BE4457" w:rsidRDefault="00FA2BB6">
                          <w:r>
                            <w:fldChar w:fldCharType="begin"/>
                          </w:r>
                          <w:r>
                            <w:instrText xml:space="preserve"> DOCPROPERTY  "iAdressering"  \* MERGEFORMAT </w:instrText>
                          </w:r>
                          <w:r>
                            <w:fldChar w:fldCharType="separate"/>
                          </w:r>
                          <w:r w:rsidR="00BE4457">
                            <w:t xml:space="preserve">De voorzitter van de Tweede Kamer </w:t>
                          </w:r>
                        </w:p>
                        <w:p w14:paraId="14ACDB89" w14:textId="103CA6C5" w:rsidR="00610DF0" w:rsidRDefault="00BE4457">
                          <w:r>
                            <w:t>der Staten-Generaal</w:t>
                          </w:r>
                          <w:r w:rsidR="00FA2BB6">
                            <w:fldChar w:fldCharType="end"/>
                          </w:r>
                        </w:p>
                        <w:p w14:paraId="466EE66B" w14:textId="53ACCF8F" w:rsidR="00610DF0" w:rsidRDefault="00146406">
                          <w:fldSimple w:instr=" DOCPROPERTY  &quot;iStraat&quot;  \* MERGEFORMAT ">
                            <w:r w:rsidR="00BE4457">
                              <w:t>Prinses Irenestraat</w:t>
                            </w:r>
                          </w:fldSimple>
                          <w:r w:rsidR="008C672D">
                            <w:t xml:space="preserve"> </w:t>
                          </w:r>
                          <w:fldSimple w:instr=" DOCPROPERTY  &quot;iNr&quot;  \* MERGEFORMAT ">
                            <w:r w:rsidR="00BE4457">
                              <w:t>6</w:t>
                            </w:r>
                          </w:fldSimple>
                          <w:r w:rsidR="008C672D">
                            <w:fldChar w:fldCharType="begin"/>
                          </w:r>
                          <w:r w:rsidR="008C672D">
                            <w:instrText xml:space="preserve"> DOCPROPERTY  "iToev"  \* MERGEFORMAT </w:instrText>
                          </w:r>
                          <w:r w:rsidR="008C672D">
                            <w:fldChar w:fldCharType="end"/>
                          </w:r>
                        </w:p>
                        <w:p w14:paraId="278A73EF" w14:textId="1B01BA82" w:rsidR="00610DF0" w:rsidRDefault="00146406">
                          <w:fldSimple w:instr=" DOCPROPERTY  &quot;iPostcode&quot;  \* MERGEFORMAT ">
                            <w:r w:rsidR="00BE4457">
                              <w:t>2595 BD</w:t>
                            </w:r>
                          </w:fldSimple>
                          <w:r w:rsidR="008C672D">
                            <w:t xml:space="preserve"> </w:t>
                          </w:r>
                          <w:fldSimple w:instr=" DOCPROPERTY  &quot;iPlaats&quot;  \* MERGEFORMAT ">
                            <w:r w:rsidR="00BE4457">
                              <w:t>Den Haag</w:t>
                            </w:r>
                          </w:fldSimple>
                        </w:p>
                        <w:p w14:paraId="058E623B" w14:textId="7DDDC51C" w:rsidR="00610DF0" w:rsidRDefault="00146406">
                          <w:pPr>
                            <w:pStyle w:val="KixCode"/>
                          </w:pPr>
                          <w:fldSimple w:instr=" DOCPROPERTY  &quot;iKixcode&quot;  \* MERGEFORMAT ">
                            <w:r w:rsidR="00BE4457">
                              <w:t>2595 BD6</w:t>
                            </w:r>
                          </w:fldSimple>
                        </w:p>
                      </w:txbxContent>
                    </wps:txbx>
                    <wps:bodyPr vert="horz" wrap="square" lIns="0" tIns="0" rIns="0" bIns="0" anchor="t" anchorCtr="0"/>
                  </wps:wsp>
                </a:graphicData>
              </a:graphic>
            </wp:anchor>
          </w:drawing>
        </mc:Choice>
        <mc:Fallback>
          <w:pict>
            <v:shape w14:anchorId="1E97B7D7" id="Tekstvak 5" o:spid="_x0000_s1031" type="#_x0000_t202" style="position:absolute;margin-left:79.35pt;margin-top:153.05pt;width:274.95pt;height:99.2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559C88B1" w14:textId="77777777" w:rsidR="00BE4457" w:rsidRDefault="00FA2BB6">
                    <w:r>
                      <w:fldChar w:fldCharType="begin"/>
                    </w:r>
                    <w:r>
                      <w:instrText xml:space="preserve"> DOCPROPERTY  "iAdressering"  \* MERGEFORMAT </w:instrText>
                    </w:r>
                    <w:r>
                      <w:fldChar w:fldCharType="separate"/>
                    </w:r>
                    <w:r w:rsidR="00BE4457">
                      <w:t xml:space="preserve">De voorzitter van de Tweede Kamer </w:t>
                    </w:r>
                  </w:p>
                  <w:p w14:paraId="14ACDB89" w14:textId="103CA6C5" w:rsidR="00610DF0" w:rsidRDefault="00BE4457">
                    <w:r>
                      <w:t>der Staten-Generaal</w:t>
                    </w:r>
                    <w:r w:rsidR="00FA2BB6">
                      <w:fldChar w:fldCharType="end"/>
                    </w:r>
                  </w:p>
                  <w:p w14:paraId="466EE66B" w14:textId="53ACCF8F" w:rsidR="00610DF0" w:rsidRDefault="00146406">
                    <w:fldSimple w:instr=" DOCPROPERTY  &quot;iStraat&quot;  \* MERGEFORMAT ">
                      <w:r w:rsidR="00BE4457">
                        <w:t>Prinses Irenestraat</w:t>
                      </w:r>
                    </w:fldSimple>
                    <w:r w:rsidR="008C672D">
                      <w:t xml:space="preserve"> </w:t>
                    </w:r>
                    <w:fldSimple w:instr=" DOCPROPERTY  &quot;iNr&quot;  \* MERGEFORMAT ">
                      <w:r w:rsidR="00BE4457">
                        <w:t>6</w:t>
                      </w:r>
                    </w:fldSimple>
                    <w:r w:rsidR="008C672D">
                      <w:fldChar w:fldCharType="begin"/>
                    </w:r>
                    <w:r w:rsidR="008C672D">
                      <w:instrText xml:space="preserve"> DOCPROPERTY  "iToev"  \* MERGEFORMAT </w:instrText>
                    </w:r>
                    <w:r w:rsidR="008C672D">
                      <w:fldChar w:fldCharType="end"/>
                    </w:r>
                  </w:p>
                  <w:p w14:paraId="278A73EF" w14:textId="1B01BA82" w:rsidR="00610DF0" w:rsidRDefault="00146406">
                    <w:fldSimple w:instr=" DOCPROPERTY  &quot;iPostcode&quot;  \* MERGEFORMAT ">
                      <w:r w:rsidR="00BE4457">
                        <w:t>2595 BD</w:t>
                      </w:r>
                    </w:fldSimple>
                    <w:r w:rsidR="008C672D">
                      <w:t xml:space="preserve"> </w:t>
                    </w:r>
                    <w:fldSimple w:instr=" DOCPROPERTY  &quot;iPlaats&quot;  \* MERGEFORMAT ">
                      <w:r w:rsidR="00BE4457">
                        <w:t>Den Haag</w:t>
                      </w:r>
                    </w:fldSimple>
                  </w:p>
                  <w:p w14:paraId="058E623B" w14:textId="7DDDC51C" w:rsidR="00610DF0" w:rsidRDefault="00146406">
                    <w:pPr>
                      <w:pStyle w:val="KixCode"/>
                    </w:pPr>
                    <w:fldSimple w:instr=" DOCPROPERTY  &quot;iKixcode&quot;  \* MERGEFORMAT ">
                      <w:r w:rsidR="00BE4457">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58246" behindDoc="0" locked="1" layoutInCell="1" allowOverlap="1" wp14:anchorId="3556B663" wp14:editId="5A9FD30C">
              <wp:simplePos x="0" y="0"/>
              <wp:positionH relativeFrom="page">
                <wp:posOffset>1007744</wp:posOffset>
              </wp:positionH>
              <wp:positionV relativeFrom="page">
                <wp:posOffset>3635375</wp:posOffset>
              </wp:positionV>
              <wp:extent cx="4103370" cy="755650"/>
              <wp:effectExtent l="0" t="0" r="0" b="0"/>
              <wp:wrapNone/>
              <wp:docPr id="6" name="Tekstvak 6"/>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610DF0" w14:paraId="1E2D327A" w14:textId="77777777">
                            <w:trPr>
                              <w:trHeight w:val="200"/>
                            </w:trPr>
                            <w:tc>
                              <w:tcPr>
                                <w:tcW w:w="1134" w:type="dxa"/>
                              </w:tcPr>
                              <w:p w14:paraId="3FC317E0" w14:textId="77777777" w:rsidR="00610DF0" w:rsidRDefault="00610DF0"/>
                            </w:tc>
                            <w:tc>
                              <w:tcPr>
                                <w:tcW w:w="5244" w:type="dxa"/>
                              </w:tcPr>
                              <w:p w14:paraId="3A77BA27" w14:textId="77777777" w:rsidR="00610DF0" w:rsidRDefault="00610DF0"/>
                            </w:tc>
                          </w:tr>
                          <w:tr w:rsidR="00610DF0" w14:paraId="6C15D031" w14:textId="77777777">
                            <w:trPr>
                              <w:trHeight w:val="240"/>
                            </w:trPr>
                            <w:tc>
                              <w:tcPr>
                                <w:tcW w:w="1134" w:type="dxa"/>
                              </w:tcPr>
                              <w:p w14:paraId="46F630A9" w14:textId="77777777" w:rsidR="00610DF0" w:rsidRDefault="008C672D">
                                <w:r>
                                  <w:t>Datum</w:t>
                                </w:r>
                              </w:p>
                            </w:tc>
                            <w:tc>
                              <w:tcPr>
                                <w:tcW w:w="5244" w:type="dxa"/>
                              </w:tcPr>
                              <w:p w14:paraId="6DB5A207" w14:textId="069C0886" w:rsidR="00610DF0" w:rsidRDefault="00BE4457">
                                <w:r>
                                  <w:fldChar w:fldCharType="begin"/>
                                </w:r>
                                <w:r>
                                  <w:instrText xml:space="preserve"> DOCPROPERTY  "iDatum"  \* MERGEFORMAT </w:instrText>
                                </w:r>
                                <w:r>
                                  <w:fldChar w:fldCharType="separate"/>
                                </w:r>
                                <w:r>
                                  <w:t>25 april 2024</w:t>
                                </w:r>
                                <w:r>
                                  <w:fldChar w:fldCharType="end"/>
                                </w:r>
                              </w:p>
                            </w:tc>
                          </w:tr>
                          <w:tr w:rsidR="00610DF0" w14:paraId="2E225BF4" w14:textId="77777777">
                            <w:trPr>
                              <w:trHeight w:val="240"/>
                            </w:trPr>
                            <w:tc>
                              <w:tcPr>
                                <w:tcW w:w="1134" w:type="dxa"/>
                              </w:tcPr>
                              <w:p w14:paraId="1BE0C623" w14:textId="77777777" w:rsidR="00610DF0" w:rsidRDefault="008C672D">
                                <w:r>
                                  <w:t>Betreft</w:t>
                                </w:r>
                              </w:p>
                            </w:tc>
                            <w:tc>
                              <w:tcPr>
                                <w:tcW w:w="5244" w:type="dxa"/>
                              </w:tcPr>
                              <w:p w14:paraId="191DFA91" w14:textId="2BBCFB3C" w:rsidR="00610DF0" w:rsidRDefault="00146406">
                                <w:fldSimple w:instr=" DOCPROPERTY  &quot;iOnderwerp&quot;  \* MERGEFORMAT ">
                                  <w:r w:rsidR="00BE4457">
                                    <w:t>Kamerbrief n.a.v. debat wetsvoorstel KOT Oekraïense ontheemden en ouders met partner buiten EU</w:t>
                                  </w:r>
                                </w:fldSimple>
                              </w:p>
                            </w:tc>
                          </w:tr>
                          <w:tr w:rsidR="00610DF0" w14:paraId="7AB42F96" w14:textId="77777777">
                            <w:trPr>
                              <w:trHeight w:val="200"/>
                            </w:trPr>
                            <w:tc>
                              <w:tcPr>
                                <w:tcW w:w="1134" w:type="dxa"/>
                              </w:tcPr>
                              <w:p w14:paraId="772E59DB" w14:textId="77777777" w:rsidR="00610DF0" w:rsidRDefault="00610DF0"/>
                            </w:tc>
                            <w:tc>
                              <w:tcPr>
                                <w:tcW w:w="5244" w:type="dxa"/>
                              </w:tcPr>
                              <w:p w14:paraId="483A2BEE" w14:textId="77777777" w:rsidR="00610DF0" w:rsidRDefault="00610DF0"/>
                            </w:tc>
                          </w:tr>
                        </w:tbl>
                        <w:p w14:paraId="6D927D6F" w14:textId="77777777" w:rsidR="00705F8B" w:rsidRDefault="00705F8B"/>
                      </w:txbxContent>
                    </wps:txbx>
                    <wps:bodyPr vert="horz" wrap="square" lIns="0" tIns="0" rIns="0" bIns="0" anchor="t" anchorCtr="0"/>
                  </wps:wsp>
                </a:graphicData>
              </a:graphic>
            </wp:anchor>
          </w:drawing>
        </mc:Choice>
        <mc:Fallback>
          <w:pict>
            <v:shape w14:anchorId="3556B663" id="Tekstvak 6" o:spid="_x0000_s1032" type="#_x0000_t202" style="position:absolute;margin-left:79.35pt;margin-top:286.25pt;width:323.1pt;height:59.5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610DF0" w14:paraId="1E2D327A" w14:textId="77777777">
                      <w:trPr>
                        <w:trHeight w:val="200"/>
                      </w:trPr>
                      <w:tc>
                        <w:tcPr>
                          <w:tcW w:w="1134" w:type="dxa"/>
                        </w:tcPr>
                        <w:p w14:paraId="3FC317E0" w14:textId="77777777" w:rsidR="00610DF0" w:rsidRDefault="00610DF0"/>
                      </w:tc>
                      <w:tc>
                        <w:tcPr>
                          <w:tcW w:w="5244" w:type="dxa"/>
                        </w:tcPr>
                        <w:p w14:paraId="3A77BA27" w14:textId="77777777" w:rsidR="00610DF0" w:rsidRDefault="00610DF0"/>
                      </w:tc>
                    </w:tr>
                    <w:tr w:rsidR="00610DF0" w14:paraId="6C15D031" w14:textId="77777777">
                      <w:trPr>
                        <w:trHeight w:val="240"/>
                      </w:trPr>
                      <w:tc>
                        <w:tcPr>
                          <w:tcW w:w="1134" w:type="dxa"/>
                        </w:tcPr>
                        <w:p w14:paraId="46F630A9" w14:textId="77777777" w:rsidR="00610DF0" w:rsidRDefault="008C672D">
                          <w:r>
                            <w:t>Datum</w:t>
                          </w:r>
                        </w:p>
                      </w:tc>
                      <w:tc>
                        <w:tcPr>
                          <w:tcW w:w="5244" w:type="dxa"/>
                        </w:tcPr>
                        <w:p w14:paraId="6DB5A207" w14:textId="069C0886" w:rsidR="00610DF0" w:rsidRDefault="00BE4457">
                          <w:r>
                            <w:fldChar w:fldCharType="begin"/>
                          </w:r>
                          <w:r>
                            <w:instrText xml:space="preserve"> DOCPROPERTY  "iDatum"  \* MERGEFORMAT </w:instrText>
                          </w:r>
                          <w:r>
                            <w:fldChar w:fldCharType="separate"/>
                          </w:r>
                          <w:r>
                            <w:t>25 april 2024</w:t>
                          </w:r>
                          <w:r>
                            <w:fldChar w:fldCharType="end"/>
                          </w:r>
                        </w:p>
                      </w:tc>
                    </w:tr>
                    <w:tr w:rsidR="00610DF0" w14:paraId="2E225BF4" w14:textId="77777777">
                      <w:trPr>
                        <w:trHeight w:val="240"/>
                      </w:trPr>
                      <w:tc>
                        <w:tcPr>
                          <w:tcW w:w="1134" w:type="dxa"/>
                        </w:tcPr>
                        <w:p w14:paraId="1BE0C623" w14:textId="77777777" w:rsidR="00610DF0" w:rsidRDefault="008C672D">
                          <w:r>
                            <w:t>Betreft</w:t>
                          </w:r>
                        </w:p>
                      </w:tc>
                      <w:tc>
                        <w:tcPr>
                          <w:tcW w:w="5244" w:type="dxa"/>
                        </w:tcPr>
                        <w:p w14:paraId="191DFA91" w14:textId="2BBCFB3C" w:rsidR="00610DF0" w:rsidRDefault="00146406">
                          <w:fldSimple w:instr=" DOCPROPERTY  &quot;iOnderwerp&quot;  \* MERGEFORMAT ">
                            <w:r w:rsidR="00BE4457">
                              <w:t>Kamerbrief n.a.v. debat wetsvoorstel KOT Oekraïense ontheemden en ouders met partner buiten EU</w:t>
                            </w:r>
                          </w:fldSimple>
                        </w:p>
                      </w:tc>
                    </w:tr>
                    <w:tr w:rsidR="00610DF0" w14:paraId="7AB42F96" w14:textId="77777777">
                      <w:trPr>
                        <w:trHeight w:val="200"/>
                      </w:trPr>
                      <w:tc>
                        <w:tcPr>
                          <w:tcW w:w="1134" w:type="dxa"/>
                        </w:tcPr>
                        <w:p w14:paraId="772E59DB" w14:textId="77777777" w:rsidR="00610DF0" w:rsidRDefault="00610DF0"/>
                      </w:tc>
                      <w:tc>
                        <w:tcPr>
                          <w:tcW w:w="5244" w:type="dxa"/>
                        </w:tcPr>
                        <w:p w14:paraId="483A2BEE" w14:textId="77777777" w:rsidR="00610DF0" w:rsidRDefault="00610DF0"/>
                      </w:tc>
                    </w:tr>
                  </w:tbl>
                  <w:p w14:paraId="6D927D6F" w14:textId="77777777" w:rsidR="00705F8B" w:rsidRDefault="00705F8B"/>
                </w:txbxContent>
              </v:textbox>
              <w10:wrap anchorx="page" anchory="page"/>
              <w10:anchorlock/>
            </v:shape>
          </w:pict>
        </mc:Fallback>
      </mc:AlternateContent>
    </w:r>
    <w:r>
      <w:rPr>
        <w:noProof/>
      </w:rPr>
      <mc:AlternateContent>
        <mc:Choice Requires="wps">
          <w:drawing>
            <wp:anchor distT="0" distB="0" distL="0" distR="0" simplePos="0" relativeHeight="251658247" behindDoc="0" locked="1" layoutInCell="1" allowOverlap="1" wp14:anchorId="40706075" wp14:editId="32312DF7">
              <wp:simplePos x="0" y="0"/>
              <wp:positionH relativeFrom="page">
                <wp:posOffset>5921375</wp:posOffset>
              </wp:positionH>
              <wp:positionV relativeFrom="page">
                <wp:posOffset>10223500</wp:posOffset>
              </wp:positionV>
              <wp:extent cx="1257300" cy="180975"/>
              <wp:effectExtent l="0" t="0" r="0" b="0"/>
              <wp:wrapNone/>
              <wp:docPr id="7" name="Tekstvak 7"/>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8A6352C" w14:textId="77777777" w:rsidR="00610DF0" w:rsidRDefault="008C672D">
                          <w:pPr>
                            <w:pStyle w:val="Afzendgegevens"/>
                          </w:pPr>
                          <w:r>
                            <w:t xml:space="preserve">Pagina </w:t>
                          </w:r>
                          <w:r>
                            <w:fldChar w:fldCharType="begin"/>
                          </w:r>
                          <w:r>
                            <w:instrText>PAGE</w:instrText>
                          </w:r>
                          <w:r>
                            <w:fldChar w:fldCharType="separate"/>
                          </w:r>
                          <w:r w:rsidR="00FA2BB6">
                            <w:rPr>
                              <w:noProof/>
                            </w:rPr>
                            <w:t>1</w:t>
                          </w:r>
                          <w:r>
                            <w:fldChar w:fldCharType="end"/>
                          </w:r>
                          <w:r>
                            <w:t xml:space="preserve"> van </w:t>
                          </w:r>
                          <w:r>
                            <w:fldChar w:fldCharType="begin"/>
                          </w:r>
                          <w:r>
                            <w:instrText>NUMPAGES</w:instrText>
                          </w:r>
                          <w:r>
                            <w:fldChar w:fldCharType="separate"/>
                          </w:r>
                          <w:r w:rsidR="00FA2BB6">
                            <w:rPr>
                              <w:noProof/>
                            </w:rPr>
                            <w:t>1</w:t>
                          </w:r>
                          <w:r>
                            <w:fldChar w:fldCharType="end"/>
                          </w:r>
                        </w:p>
                      </w:txbxContent>
                    </wps:txbx>
                    <wps:bodyPr vert="horz" wrap="square" lIns="0" tIns="0" rIns="0" bIns="0" anchor="t" anchorCtr="0"/>
                  </wps:wsp>
                </a:graphicData>
              </a:graphic>
            </wp:anchor>
          </w:drawing>
        </mc:Choice>
        <mc:Fallback>
          <w:pict>
            <v:shape w14:anchorId="40706075" id="Tekstvak 7" o:spid="_x0000_s1033" type="#_x0000_t202" style="position:absolute;margin-left:466.25pt;margin-top:805pt;width:99pt;height:14.25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48A6352C" w14:textId="77777777" w:rsidR="00610DF0" w:rsidRDefault="008C672D">
                    <w:pPr>
                      <w:pStyle w:val="Afzendgegevens"/>
                    </w:pPr>
                    <w:r>
                      <w:t xml:space="preserve">Pagina </w:t>
                    </w:r>
                    <w:r>
                      <w:fldChar w:fldCharType="begin"/>
                    </w:r>
                    <w:r>
                      <w:instrText>PAGE</w:instrText>
                    </w:r>
                    <w:r>
                      <w:fldChar w:fldCharType="separate"/>
                    </w:r>
                    <w:r w:rsidR="00FA2BB6">
                      <w:rPr>
                        <w:noProof/>
                      </w:rPr>
                      <w:t>1</w:t>
                    </w:r>
                    <w:r>
                      <w:fldChar w:fldCharType="end"/>
                    </w:r>
                    <w:r>
                      <w:t xml:space="preserve"> van </w:t>
                    </w:r>
                    <w:r>
                      <w:fldChar w:fldCharType="begin"/>
                    </w:r>
                    <w:r>
                      <w:instrText>NUMPAGES</w:instrText>
                    </w:r>
                    <w:r>
                      <w:fldChar w:fldCharType="separate"/>
                    </w:r>
                    <w:r w:rsidR="00FA2BB6">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876D54"/>
    <w:multiLevelType w:val="multilevel"/>
    <w:tmpl w:val="4A9813B1"/>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09D8186"/>
    <w:multiLevelType w:val="multilevel"/>
    <w:tmpl w:val="D590106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87C88F8"/>
    <w:multiLevelType w:val="multilevel"/>
    <w:tmpl w:val="C4A65FBF"/>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760A26"/>
    <w:multiLevelType w:val="multilevel"/>
    <w:tmpl w:val="BC91532B"/>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377D57"/>
    <w:multiLevelType w:val="multilevel"/>
    <w:tmpl w:val="F80A2190"/>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D77137"/>
    <w:multiLevelType w:val="hybridMultilevel"/>
    <w:tmpl w:val="851E4838"/>
    <w:lvl w:ilvl="0" w:tplc="EB8E51CE">
      <w:start w:val="1"/>
      <w:numFmt w:val="decimal"/>
      <w:lvlText w:val="%1."/>
      <w:lvlJc w:val="left"/>
      <w:pPr>
        <w:ind w:left="720" w:hanging="360"/>
      </w:pPr>
      <w:rPr>
        <w:b/>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F67DCCD"/>
    <w:multiLevelType w:val="multilevel"/>
    <w:tmpl w:val="900E0CE7"/>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0587814">
    <w:abstractNumId w:val="3"/>
  </w:num>
  <w:num w:numId="2" w16cid:durableId="1131021513">
    <w:abstractNumId w:val="6"/>
  </w:num>
  <w:num w:numId="3" w16cid:durableId="1543521863">
    <w:abstractNumId w:val="2"/>
  </w:num>
  <w:num w:numId="4" w16cid:durableId="1927182911">
    <w:abstractNumId w:val="0"/>
  </w:num>
  <w:num w:numId="5" w16cid:durableId="1140730729">
    <w:abstractNumId w:val="4"/>
  </w:num>
  <w:num w:numId="6" w16cid:durableId="699357899">
    <w:abstractNumId w:val="1"/>
  </w:num>
  <w:num w:numId="7" w16cid:durableId="79185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B6"/>
    <w:rsid w:val="00016967"/>
    <w:rsid w:val="00020CB6"/>
    <w:rsid w:val="00054465"/>
    <w:rsid w:val="0005532E"/>
    <w:rsid w:val="000675C7"/>
    <w:rsid w:val="000808A3"/>
    <w:rsid w:val="00097F2D"/>
    <w:rsid w:val="000A3391"/>
    <w:rsid w:val="000B296F"/>
    <w:rsid w:val="000D6402"/>
    <w:rsid w:val="000F6623"/>
    <w:rsid w:val="0012236E"/>
    <w:rsid w:val="00132976"/>
    <w:rsid w:val="001335A9"/>
    <w:rsid w:val="00146406"/>
    <w:rsid w:val="00155037"/>
    <w:rsid w:val="00157C80"/>
    <w:rsid w:val="00162220"/>
    <w:rsid w:val="00166293"/>
    <w:rsid w:val="00175B3A"/>
    <w:rsid w:val="0018017E"/>
    <w:rsid w:val="00182DF0"/>
    <w:rsid w:val="00186D27"/>
    <w:rsid w:val="001A20A7"/>
    <w:rsid w:val="001B0DDD"/>
    <w:rsid w:val="001D2688"/>
    <w:rsid w:val="001E3812"/>
    <w:rsid w:val="001E58A6"/>
    <w:rsid w:val="002033EE"/>
    <w:rsid w:val="002070F3"/>
    <w:rsid w:val="00213148"/>
    <w:rsid w:val="00241159"/>
    <w:rsid w:val="00257C28"/>
    <w:rsid w:val="002665FD"/>
    <w:rsid w:val="00277388"/>
    <w:rsid w:val="00277ADA"/>
    <w:rsid w:val="00286BB4"/>
    <w:rsid w:val="00287F81"/>
    <w:rsid w:val="00295707"/>
    <w:rsid w:val="00295B7D"/>
    <w:rsid w:val="002B6FF2"/>
    <w:rsid w:val="002C197F"/>
    <w:rsid w:val="002C56B3"/>
    <w:rsid w:val="002D1EE6"/>
    <w:rsid w:val="002D30E3"/>
    <w:rsid w:val="002E386A"/>
    <w:rsid w:val="002E4CD9"/>
    <w:rsid w:val="002E7A92"/>
    <w:rsid w:val="002E7C23"/>
    <w:rsid w:val="002F1357"/>
    <w:rsid w:val="002F32FF"/>
    <w:rsid w:val="002F7128"/>
    <w:rsid w:val="002F7568"/>
    <w:rsid w:val="00302B88"/>
    <w:rsid w:val="00331782"/>
    <w:rsid w:val="00352957"/>
    <w:rsid w:val="00356BD5"/>
    <w:rsid w:val="003609E9"/>
    <w:rsid w:val="003635A6"/>
    <w:rsid w:val="003648AB"/>
    <w:rsid w:val="00373048"/>
    <w:rsid w:val="00374534"/>
    <w:rsid w:val="00384198"/>
    <w:rsid w:val="00396D73"/>
    <w:rsid w:val="003A3F5B"/>
    <w:rsid w:val="003A5753"/>
    <w:rsid w:val="003B722A"/>
    <w:rsid w:val="003C1DBB"/>
    <w:rsid w:val="003C2B19"/>
    <w:rsid w:val="003C4567"/>
    <w:rsid w:val="003D56A8"/>
    <w:rsid w:val="003D583B"/>
    <w:rsid w:val="003E40AB"/>
    <w:rsid w:val="003F0952"/>
    <w:rsid w:val="003F5282"/>
    <w:rsid w:val="0041265F"/>
    <w:rsid w:val="00423172"/>
    <w:rsid w:val="00434F95"/>
    <w:rsid w:val="00443435"/>
    <w:rsid w:val="004519FF"/>
    <w:rsid w:val="004567E1"/>
    <w:rsid w:val="00462449"/>
    <w:rsid w:val="00480402"/>
    <w:rsid w:val="0048570B"/>
    <w:rsid w:val="004873FE"/>
    <w:rsid w:val="0048760E"/>
    <w:rsid w:val="00492FE3"/>
    <w:rsid w:val="004A685A"/>
    <w:rsid w:val="004B3AED"/>
    <w:rsid w:val="004D4809"/>
    <w:rsid w:val="004D485C"/>
    <w:rsid w:val="004E12D1"/>
    <w:rsid w:val="004E18EF"/>
    <w:rsid w:val="004E66CE"/>
    <w:rsid w:val="005054D4"/>
    <w:rsid w:val="00535245"/>
    <w:rsid w:val="005374F6"/>
    <w:rsid w:val="00537F7D"/>
    <w:rsid w:val="005512B6"/>
    <w:rsid w:val="005862F8"/>
    <w:rsid w:val="005910F7"/>
    <w:rsid w:val="005B024B"/>
    <w:rsid w:val="005B04D5"/>
    <w:rsid w:val="005B221F"/>
    <w:rsid w:val="005B31E2"/>
    <w:rsid w:val="005C1C85"/>
    <w:rsid w:val="005C21EE"/>
    <w:rsid w:val="005C4476"/>
    <w:rsid w:val="005D695E"/>
    <w:rsid w:val="005F2E26"/>
    <w:rsid w:val="005F7B27"/>
    <w:rsid w:val="00610DF0"/>
    <w:rsid w:val="006439FC"/>
    <w:rsid w:val="00645F5C"/>
    <w:rsid w:val="0065367D"/>
    <w:rsid w:val="0065715D"/>
    <w:rsid w:val="006614C4"/>
    <w:rsid w:val="006620D9"/>
    <w:rsid w:val="00672C5A"/>
    <w:rsid w:val="00692BED"/>
    <w:rsid w:val="006965F2"/>
    <w:rsid w:val="006A74B0"/>
    <w:rsid w:val="006B33C9"/>
    <w:rsid w:val="006B59A5"/>
    <w:rsid w:val="006B5DB0"/>
    <w:rsid w:val="006C20A4"/>
    <w:rsid w:val="006C20CA"/>
    <w:rsid w:val="006C62B2"/>
    <w:rsid w:val="006D029D"/>
    <w:rsid w:val="006D5637"/>
    <w:rsid w:val="006E639C"/>
    <w:rsid w:val="006F3343"/>
    <w:rsid w:val="006F75CD"/>
    <w:rsid w:val="00702A9E"/>
    <w:rsid w:val="00703955"/>
    <w:rsid w:val="00705F8B"/>
    <w:rsid w:val="00727F28"/>
    <w:rsid w:val="0073539F"/>
    <w:rsid w:val="007417AF"/>
    <w:rsid w:val="007502A2"/>
    <w:rsid w:val="00770E44"/>
    <w:rsid w:val="00776B8F"/>
    <w:rsid w:val="00786C15"/>
    <w:rsid w:val="007930D7"/>
    <w:rsid w:val="007A092A"/>
    <w:rsid w:val="007A18EF"/>
    <w:rsid w:val="007A3133"/>
    <w:rsid w:val="007B7CD5"/>
    <w:rsid w:val="007E39DD"/>
    <w:rsid w:val="007E5601"/>
    <w:rsid w:val="007F1B3F"/>
    <w:rsid w:val="007F6AFE"/>
    <w:rsid w:val="00806E2C"/>
    <w:rsid w:val="00843DD6"/>
    <w:rsid w:val="00845F84"/>
    <w:rsid w:val="0084618A"/>
    <w:rsid w:val="008520A9"/>
    <w:rsid w:val="00853AB8"/>
    <w:rsid w:val="00854249"/>
    <w:rsid w:val="00857CA5"/>
    <w:rsid w:val="00871ECD"/>
    <w:rsid w:val="00873E7F"/>
    <w:rsid w:val="00877EB0"/>
    <w:rsid w:val="00893EC8"/>
    <w:rsid w:val="008968F5"/>
    <w:rsid w:val="008A5DA8"/>
    <w:rsid w:val="008C01A9"/>
    <w:rsid w:val="008C06E0"/>
    <w:rsid w:val="008C19D0"/>
    <w:rsid w:val="008C2D4F"/>
    <w:rsid w:val="008C672D"/>
    <w:rsid w:val="008D2A8E"/>
    <w:rsid w:val="008E1F26"/>
    <w:rsid w:val="008E34D1"/>
    <w:rsid w:val="008F1860"/>
    <w:rsid w:val="008F7F90"/>
    <w:rsid w:val="0090064E"/>
    <w:rsid w:val="00906508"/>
    <w:rsid w:val="00906FFF"/>
    <w:rsid w:val="009167EE"/>
    <w:rsid w:val="00926BBD"/>
    <w:rsid w:val="00963254"/>
    <w:rsid w:val="0096664E"/>
    <w:rsid w:val="00967B0C"/>
    <w:rsid w:val="00986842"/>
    <w:rsid w:val="00986F0B"/>
    <w:rsid w:val="00997DEC"/>
    <w:rsid w:val="009A1597"/>
    <w:rsid w:val="009B7773"/>
    <w:rsid w:val="009C5378"/>
    <w:rsid w:val="009D01BA"/>
    <w:rsid w:val="009D16CE"/>
    <w:rsid w:val="009F5CF3"/>
    <w:rsid w:val="00A02A6E"/>
    <w:rsid w:val="00A053E0"/>
    <w:rsid w:val="00A13DA1"/>
    <w:rsid w:val="00A150CB"/>
    <w:rsid w:val="00A26978"/>
    <w:rsid w:val="00A34C02"/>
    <w:rsid w:val="00A365F3"/>
    <w:rsid w:val="00A43B2A"/>
    <w:rsid w:val="00A5019E"/>
    <w:rsid w:val="00A60FE0"/>
    <w:rsid w:val="00A913BB"/>
    <w:rsid w:val="00AA7E8D"/>
    <w:rsid w:val="00AC5D22"/>
    <w:rsid w:val="00AD6138"/>
    <w:rsid w:val="00AD73B1"/>
    <w:rsid w:val="00AE1CDB"/>
    <w:rsid w:val="00B27FC5"/>
    <w:rsid w:val="00B30F22"/>
    <w:rsid w:val="00B45B2A"/>
    <w:rsid w:val="00B46697"/>
    <w:rsid w:val="00B517E7"/>
    <w:rsid w:val="00B5332F"/>
    <w:rsid w:val="00B57B4C"/>
    <w:rsid w:val="00B61787"/>
    <w:rsid w:val="00B77600"/>
    <w:rsid w:val="00B92694"/>
    <w:rsid w:val="00B93D63"/>
    <w:rsid w:val="00BB0BFB"/>
    <w:rsid w:val="00BB3AF2"/>
    <w:rsid w:val="00BB76F8"/>
    <w:rsid w:val="00BC7B3C"/>
    <w:rsid w:val="00BD1739"/>
    <w:rsid w:val="00BD7B40"/>
    <w:rsid w:val="00BD7C44"/>
    <w:rsid w:val="00BE07C9"/>
    <w:rsid w:val="00BE4457"/>
    <w:rsid w:val="00C02E70"/>
    <w:rsid w:val="00C06D73"/>
    <w:rsid w:val="00C10F60"/>
    <w:rsid w:val="00C12EC9"/>
    <w:rsid w:val="00C2362C"/>
    <w:rsid w:val="00C2403D"/>
    <w:rsid w:val="00C24A39"/>
    <w:rsid w:val="00C439DB"/>
    <w:rsid w:val="00C639E1"/>
    <w:rsid w:val="00C75CDD"/>
    <w:rsid w:val="00C76695"/>
    <w:rsid w:val="00C81FCD"/>
    <w:rsid w:val="00C90039"/>
    <w:rsid w:val="00CA7E1A"/>
    <w:rsid w:val="00CB7CBD"/>
    <w:rsid w:val="00CC037D"/>
    <w:rsid w:val="00CC28FE"/>
    <w:rsid w:val="00CD1B0F"/>
    <w:rsid w:val="00CE17B7"/>
    <w:rsid w:val="00CE4F04"/>
    <w:rsid w:val="00CE7ADE"/>
    <w:rsid w:val="00CF457D"/>
    <w:rsid w:val="00D0179C"/>
    <w:rsid w:val="00D01B45"/>
    <w:rsid w:val="00D2638E"/>
    <w:rsid w:val="00D4722E"/>
    <w:rsid w:val="00D6018B"/>
    <w:rsid w:val="00D60B35"/>
    <w:rsid w:val="00D61320"/>
    <w:rsid w:val="00D670CD"/>
    <w:rsid w:val="00D7285D"/>
    <w:rsid w:val="00D745AC"/>
    <w:rsid w:val="00D7602C"/>
    <w:rsid w:val="00D82EFF"/>
    <w:rsid w:val="00D85204"/>
    <w:rsid w:val="00D92936"/>
    <w:rsid w:val="00DA5A10"/>
    <w:rsid w:val="00DA6265"/>
    <w:rsid w:val="00DB5E57"/>
    <w:rsid w:val="00DC2723"/>
    <w:rsid w:val="00DF0678"/>
    <w:rsid w:val="00DF52BA"/>
    <w:rsid w:val="00DF7D09"/>
    <w:rsid w:val="00E01D96"/>
    <w:rsid w:val="00E0301D"/>
    <w:rsid w:val="00E1650F"/>
    <w:rsid w:val="00E35A90"/>
    <w:rsid w:val="00E35B6D"/>
    <w:rsid w:val="00E44879"/>
    <w:rsid w:val="00E546F0"/>
    <w:rsid w:val="00E557E4"/>
    <w:rsid w:val="00E607EF"/>
    <w:rsid w:val="00E60A63"/>
    <w:rsid w:val="00E86840"/>
    <w:rsid w:val="00E91DCC"/>
    <w:rsid w:val="00EB50FF"/>
    <w:rsid w:val="00EC058A"/>
    <w:rsid w:val="00EC1346"/>
    <w:rsid w:val="00EE03DD"/>
    <w:rsid w:val="00EE3BCA"/>
    <w:rsid w:val="00EF7610"/>
    <w:rsid w:val="00F017A1"/>
    <w:rsid w:val="00F03A15"/>
    <w:rsid w:val="00F103AE"/>
    <w:rsid w:val="00F2155D"/>
    <w:rsid w:val="00F21D23"/>
    <w:rsid w:val="00F311CC"/>
    <w:rsid w:val="00F46AEB"/>
    <w:rsid w:val="00F5220E"/>
    <w:rsid w:val="00F53E79"/>
    <w:rsid w:val="00F5789A"/>
    <w:rsid w:val="00F66A87"/>
    <w:rsid w:val="00F70BC9"/>
    <w:rsid w:val="00F758FC"/>
    <w:rsid w:val="00F77BDD"/>
    <w:rsid w:val="00F85B8F"/>
    <w:rsid w:val="00F9364E"/>
    <w:rsid w:val="00FA2BB6"/>
    <w:rsid w:val="00FA370B"/>
    <w:rsid w:val="00FA5FEA"/>
    <w:rsid w:val="00FA7CC4"/>
    <w:rsid w:val="00FC1607"/>
    <w:rsid w:val="00FC5DCF"/>
    <w:rsid w:val="00FD6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B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FA2BB6"/>
    <w:pPr>
      <w:autoSpaceDN/>
      <w:spacing w:line="240" w:lineRule="auto"/>
      <w:textAlignment w:val="auto"/>
    </w:pPr>
    <w:rPr>
      <w:rFonts w:eastAsiaTheme="minorHAnsi" w:cstheme="minorBidi"/>
      <w:color w:val="auto"/>
      <w:kern w:val="2"/>
      <w:sz w:val="20"/>
      <w:szCs w:val="20"/>
      <w:lang w:eastAsia="en-US"/>
      <w14:ligatures w14:val="standardContextual"/>
    </w:rPr>
  </w:style>
  <w:style w:type="character" w:customStyle="1" w:styleId="VoetnoottekstChar">
    <w:name w:val="Voetnoottekst Char"/>
    <w:basedOn w:val="Standaardalinea-lettertype"/>
    <w:link w:val="Voetnoottekst"/>
    <w:uiPriority w:val="99"/>
    <w:semiHidden/>
    <w:rsid w:val="00FA2BB6"/>
    <w:rPr>
      <w:rFonts w:ascii="Verdana" w:eastAsiaTheme="minorHAnsi" w:hAnsi="Verdana" w:cstheme="minorBidi"/>
      <w:kern w:val="2"/>
      <w:lang w:eastAsia="en-US"/>
      <w14:ligatures w14:val="standardContextua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FA2BB6"/>
    <w:rPr>
      <w:rFonts w:ascii="Calibri" w:hAnsi="Calibri" w:cs="Calibri"/>
      <w:sz w:val="2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FA2BB6"/>
    <w:pPr>
      <w:autoSpaceDN/>
      <w:spacing w:line="240" w:lineRule="auto"/>
      <w:ind w:left="720"/>
      <w:textAlignment w:val="auto"/>
    </w:pPr>
    <w:rPr>
      <w:rFonts w:ascii="Calibri" w:hAnsi="Calibri" w:cs="Calibri"/>
      <w:color w:val="auto"/>
      <w:sz w:val="22"/>
      <w:szCs w:val="20"/>
    </w:rPr>
  </w:style>
  <w:style w:type="paragraph" w:customStyle="1" w:styleId="StandaardOndertekening">
    <w:name w:val="Standaard_Ondertekening"/>
    <w:basedOn w:val="Standaard"/>
    <w:next w:val="Standaard"/>
    <w:rsid w:val="00FA2BB6"/>
    <w:pPr>
      <w:spacing w:before="240" w:line="240" w:lineRule="exact"/>
      <w:textAlignment w:val="auto"/>
    </w:pPr>
  </w:style>
  <w:style w:type="paragraph" w:customStyle="1" w:styleId="StandaardSlotzin">
    <w:name w:val="Standaard_Slotzin"/>
    <w:basedOn w:val="Standaard"/>
    <w:next w:val="Standaard"/>
    <w:rsid w:val="00FA2BB6"/>
    <w:pPr>
      <w:spacing w:before="240" w:line="240" w:lineRule="exact"/>
      <w:textAlignment w:val="auto"/>
    </w:pPr>
  </w:style>
  <w:style w:type="character" w:styleId="Voetnootmarkering">
    <w:name w:val="footnote reference"/>
    <w:basedOn w:val="Standaardalinea-lettertype"/>
    <w:uiPriority w:val="99"/>
    <w:semiHidden/>
    <w:unhideWhenUsed/>
    <w:rsid w:val="00FA2BB6"/>
    <w:rPr>
      <w:vertAlign w:val="superscript"/>
    </w:rPr>
  </w:style>
  <w:style w:type="character" w:styleId="Verwijzingopmerking">
    <w:name w:val="annotation reference"/>
    <w:basedOn w:val="Standaardalinea-lettertype"/>
    <w:uiPriority w:val="99"/>
    <w:semiHidden/>
    <w:unhideWhenUsed/>
    <w:rsid w:val="00FA2BB6"/>
    <w:rPr>
      <w:sz w:val="16"/>
      <w:szCs w:val="16"/>
    </w:rPr>
  </w:style>
  <w:style w:type="paragraph" w:styleId="Tekstopmerking">
    <w:name w:val="annotation text"/>
    <w:basedOn w:val="Standaard"/>
    <w:link w:val="TekstopmerkingChar"/>
    <w:uiPriority w:val="99"/>
    <w:unhideWhenUsed/>
    <w:rsid w:val="008968F5"/>
    <w:pPr>
      <w:spacing w:line="240" w:lineRule="auto"/>
    </w:pPr>
    <w:rPr>
      <w:sz w:val="20"/>
      <w:szCs w:val="20"/>
    </w:rPr>
  </w:style>
  <w:style w:type="character" w:customStyle="1" w:styleId="TekstopmerkingChar">
    <w:name w:val="Tekst opmerking Char"/>
    <w:basedOn w:val="Standaardalinea-lettertype"/>
    <w:link w:val="Tekstopmerking"/>
    <w:uiPriority w:val="99"/>
    <w:rsid w:val="008968F5"/>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968F5"/>
    <w:rPr>
      <w:b/>
      <w:bCs/>
    </w:rPr>
  </w:style>
  <w:style w:type="character" w:customStyle="1" w:styleId="OnderwerpvanopmerkingChar">
    <w:name w:val="Onderwerp van opmerking Char"/>
    <w:basedOn w:val="TekstopmerkingChar"/>
    <w:link w:val="Onderwerpvanopmerking"/>
    <w:uiPriority w:val="99"/>
    <w:semiHidden/>
    <w:rsid w:val="008968F5"/>
    <w:rPr>
      <w:rFonts w:ascii="Verdana" w:hAnsi="Verdana"/>
      <w:b/>
      <w:bCs/>
      <w:color w:val="000000"/>
    </w:rPr>
  </w:style>
  <w:style w:type="character" w:styleId="Hyperlink">
    <w:name w:val="Hyperlink"/>
    <w:basedOn w:val="Standaardalinea-lettertype"/>
    <w:uiPriority w:val="99"/>
    <w:unhideWhenUsed/>
    <w:rsid w:val="008968F5"/>
    <w:rPr>
      <w:color w:val="0563C1" w:themeColor="hyperlink"/>
      <w:u w:val="single"/>
    </w:rPr>
  </w:style>
  <w:style w:type="character" w:styleId="Onopgelostemelding">
    <w:name w:val="Unresolved Mention"/>
    <w:basedOn w:val="Standaardalinea-lettertype"/>
    <w:uiPriority w:val="99"/>
    <w:semiHidden/>
    <w:unhideWhenUsed/>
    <w:rsid w:val="008968F5"/>
    <w:rPr>
      <w:color w:val="605E5C"/>
      <w:shd w:val="clear" w:color="auto" w:fill="E1DFDD"/>
    </w:rPr>
  </w:style>
  <w:style w:type="paragraph" w:styleId="Revisie">
    <w:name w:val="Revision"/>
    <w:hidden/>
    <w:uiPriority w:val="99"/>
    <w:semiHidden/>
    <w:rsid w:val="008968F5"/>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962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webSetting" Target="webSettings0.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DLIN~1\AppData\Local\Temp\MicrosoftEdgeDownloads\4bf63d22-4d60-45e8-9c22-05b455e4ed42\Brief%20Kam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2413</ap:Words>
  <ap:Characters>13276</ap:Characters>
  <ap:DocSecurity>0</ap:DocSecurity>
  <ap:Lines>110</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2024-04-23T15:19:00.0000000Z</dcterms:created>
  <dcterms:modified xsi:type="dcterms:W3CDTF">2024-04-25T13:12:00.0000000Z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25 april 2024</vt:lpwstr>
  </property>
  <property fmtid="{D5CDD505-2E9C-101B-9397-08002B2CF9AE}" pid="7" name="iKixcode">
    <vt:lpwstr>2595 BD6</vt:lpwstr>
  </property>
  <property fmtid="{D5CDD505-2E9C-101B-9397-08002B2CF9AE}" pid="8" name="iNr">
    <vt:lpwstr>6</vt:lpwstr>
  </property>
  <property fmtid="{D5CDD505-2E9C-101B-9397-08002B2CF9AE}" pid="9" name="iOnderwerp">
    <vt:lpwstr>Kamerbrief n.a.v. debat wetsvoorstel KOT Oekraïense ontheemden en ouders met partner buiten EU</vt:lpwstr>
  </property>
  <property fmtid="{D5CDD505-2E9C-101B-9397-08002B2CF9AE}" pid="10" name="iOnsKenmerk">
    <vt:lpwstr>2024-0000117801</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y fmtid="{D5CDD505-2E9C-101B-9397-08002B2CF9AE}" pid="16" name="ContentTypeId">
    <vt:lpwstr>0x010100A2BB5F426463D2468B1F9D0F2FBEC515</vt:lpwstr>
  </property>
  <property fmtid="{D5CDD505-2E9C-101B-9397-08002B2CF9AE}" pid="17" name="MSIP_Label_e00462cb-1b47-485e-830d-87ca0cc9766d_Enabled">
    <vt:lpwstr>true</vt:lpwstr>
  </property>
  <property fmtid="{D5CDD505-2E9C-101B-9397-08002B2CF9AE}" pid="18" name="MSIP_Label_e00462cb-1b47-485e-830d-87ca0cc9766d_SetDate">
    <vt:lpwstr>2024-04-10T14:36:25Z</vt:lpwstr>
  </property>
  <property fmtid="{D5CDD505-2E9C-101B-9397-08002B2CF9AE}" pid="19" name="MSIP_Label_e00462cb-1b47-485e-830d-87ca0cc9766d_Method">
    <vt:lpwstr>Standard</vt:lpwstr>
  </property>
  <property fmtid="{D5CDD505-2E9C-101B-9397-08002B2CF9AE}" pid="20" name="MSIP_Label_e00462cb-1b47-485e-830d-87ca0cc9766d_Name">
    <vt:lpwstr>Rijksoverheid (DGBEL)</vt:lpwstr>
  </property>
  <property fmtid="{D5CDD505-2E9C-101B-9397-08002B2CF9AE}" pid="21" name="MSIP_Label_e00462cb-1b47-485e-830d-87ca0cc9766d_SiteId">
    <vt:lpwstr>84712536-f524-40a0-913b-5d25ba502732</vt:lpwstr>
  </property>
  <property fmtid="{D5CDD505-2E9C-101B-9397-08002B2CF9AE}" pid="22" name="MSIP_Label_e00462cb-1b47-485e-830d-87ca0cc9766d_ActionId">
    <vt:lpwstr>82bd1c25-b7ab-4064-a7c2-5220d1fdaa69</vt:lpwstr>
  </property>
  <property fmtid="{D5CDD505-2E9C-101B-9397-08002B2CF9AE}" pid="23" name="MSIP_Label_e00462cb-1b47-485e-830d-87ca0cc9766d_ContentBits">
    <vt:lpwstr>0</vt:lpwstr>
  </property>
</Properties>
</file>