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P="00EA1CE4" w:rsidRDefault="004330ED">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color="auto" w:sz="4" w:space="0"/>
              <w:left w:val="nil"/>
              <w:bottom w:val="nil"/>
              <w:right w:val="nil"/>
            </w:tcBorders>
          </w:tcPr>
          <w:p w:rsidR="004330ED" w:rsidP="00993E91" w:rsidRDefault="004330ED">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AB7173">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AB7173">
              <w:rPr>
                <w:rFonts w:ascii="Times New Roman" w:hAnsi="Times New Roman"/>
                <w:b w:val="0"/>
              </w:rPr>
              <w:t>4</w:t>
            </w:r>
          </w:p>
        </w:tc>
      </w:tr>
      <w:tr w:rsidR="004330ED" w:rsidTr="00EA1CE4">
        <w:trPr>
          <w:cantSplit/>
        </w:trPr>
        <w:tc>
          <w:tcPr>
            <w:tcW w:w="10348" w:type="dxa"/>
            <w:gridSpan w:val="3"/>
            <w:tcBorders>
              <w:top w:val="nil"/>
              <w:left w:val="nil"/>
              <w:bottom w:val="nil"/>
              <w:right w:val="nil"/>
            </w:tcBorders>
          </w:tcPr>
          <w:p w:rsidR="004330ED" w:rsidP="00BF623B" w:rsidRDefault="004330ED">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color="auto" w:sz="4" w:space="0"/>
              <w:right w:val="nil"/>
            </w:tcBorders>
          </w:tcPr>
          <w:p w:rsidR="004330ED" w:rsidP="00BF623B" w:rsidRDefault="004330ED">
            <w:pPr>
              <w:pStyle w:val="Amendement"/>
              <w:tabs>
                <w:tab w:val="clear" w:pos="3310"/>
                <w:tab w:val="clear" w:pos="3600"/>
              </w:tabs>
              <w:rPr>
                <w:rFonts w:ascii="Times New Roman" w:hAnsi="Times New Roman"/>
              </w:rPr>
            </w:pPr>
          </w:p>
        </w:tc>
      </w:tr>
      <w:tr w:rsidR="004330ED"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pPr>
              <w:pStyle w:val="Amendement"/>
              <w:tabs>
                <w:tab w:val="clear" w:pos="3310"/>
                <w:tab w:val="clear" w:pos="3600"/>
              </w:tabs>
              <w:rPr>
                <w:rFonts w:ascii="Times New Roman" w:hAnsi="Times New Roman"/>
              </w:rPr>
            </w:pPr>
          </w:p>
        </w:tc>
        <w:tc>
          <w:tcPr>
            <w:tcW w:w="7371" w:type="dxa"/>
            <w:gridSpan w:val="2"/>
          </w:tcPr>
          <w:p w:rsidR="004330ED" w:rsidP="006E0971" w:rsidRDefault="004330ED">
            <w:pPr>
              <w:suppressAutoHyphens/>
              <w:ind w:left="-70"/>
              <w:rPr>
                <w:b/>
              </w:rPr>
            </w:pPr>
          </w:p>
        </w:tc>
      </w:tr>
      <w:tr w:rsidR="003C21AC" w:rsidTr="00E46C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68"/>
        </w:trPr>
        <w:tc>
          <w:tcPr>
            <w:tcW w:w="2977" w:type="dxa"/>
          </w:tcPr>
          <w:p w:rsidRPr="00C035D4" w:rsidR="003C21AC" w:rsidP="00EA1CE4" w:rsidRDefault="00E46CCB">
            <w:pPr>
              <w:pStyle w:val="Amendement"/>
              <w:tabs>
                <w:tab w:val="clear" w:pos="3310"/>
                <w:tab w:val="clear" w:pos="3600"/>
              </w:tabs>
              <w:rPr>
                <w:rFonts w:ascii="Times New Roman" w:hAnsi="Times New Roman"/>
              </w:rPr>
            </w:pPr>
            <w:r>
              <w:rPr>
                <w:rFonts w:ascii="Times New Roman" w:hAnsi="Times New Roman"/>
              </w:rPr>
              <w:t>36 243</w:t>
            </w:r>
          </w:p>
        </w:tc>
        <w:tc>
          <w:tcPr>
            <w:tcW w:w="7371" w:type="dxa"/>
            <w:gridSpan w:val="2"/>
          </w:tcPr>
          <w:p w:rsidRPr="00E46CCB" w:rsidR="003C21AC" w:rsidP="00E46CCB" w:rsidRDefault="00E46CCB">
            <w:pPr>
              <w:rPr>
                <w:b/>
                <w:szCs w:val="24"/>
              </w:rPr>
            </w:pPr>
            <w:r w:rsidRPr="00E46CCB">
              <w:rPr>
                <w:b/>
                <w:szCs w:val="24"/>
              </w:rPr>
              <w:t>Wijziging van de Wet op de rechterlijke organisatie, de Wet rechtspositie rechterlijke ambtenaren, de Wet op de Raad van State en enige andere wetten in verband met enkele wijzigingen in het belang van integere, onafhankelijke en onpartijdige rechtspraak, alsmede de regeling van enige andere onderwerpen</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DF6A8C" w:rsidRDefault="003C21AC">
            <w:pPr>
              <w:pStyle w:val="Amendement"/>
              <w:tabs>
                <w:tab w:val="clear" w:pos="3310"/>
                <w:tab w:val="clear" w:pos="3600"/>
              </w:tabs>
              <w:rPr>
                <w:rFonts w:ascii="Times New Roman" w:hAnsi="Times New Roman"/>
              </w:rPr>
            </w:pPr>
            <w:r w:rsidRPr="00C035D4">
              <w:rPr>
                <w:rFonts w:ascii="Times New Roman" w:hAnsi="Times New Roman"/>
              </w:rPr>
              <w:t>Nr</w:t>
            </w:r>
            <w:r w:rsidR="00DF6A8C">
              <w:rPr>
                <w:rFonts w:ascii="Times New Roman" w:hAnsi="Times New Roman"/>
              </w:rPr>
              <w:t>. 12</w:t>
            </w:r>
            <w:bookmarkStart w:name="_GoBack" w:id="0"/>
            <w:bookmarkEnd w:id="0"/>
          </w:p>
        </w:tc>
        <w:tc>
          <w:tcPr>
            <w:tcW w:w="7371" w:type="dxa"/>
            <w:gridSpan w:val="2"/>
          </w:tcPr>
          <w:p w:rsidRPr="00C035D4" w:rsidR="003C21AC" w:rsidP="00A675CE" w:rsidRDefault="003C21AC">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w:t>
            </w:r>
            <w:r w:rsidR="000E3062">
              <w:rPr>
                <w:rFonts w:ascii="Times New Roman" w:hAnsi="Times New Roman"/>
                <w:caps/>
              </w:rPr>
              <w:t>de leden</w:t>
            </w:r>
            <w:r w:rsidRPr="00C035D4">
              <w:rPr>
                <w:rFonts w:ascii="Times New Roman" w:hAnsi="Times New Roman"/>
                <w:caps/>
              </w:rPr>
              <w:t xml:space="preserve"> </w:t>
            </w:r>
            <w:r w:rsidR="00A675CE">
              <w:rPr>
                <w:rFonts w:ascii="Times New Roman" w:hAnsi="Times New Roman"/>
                <w:caps/>
              </w:rPr>
              <w:t>Sneller</w:t>
            </w:r>
            <w:r w:rsidR="000E3062">
              <w:rPr>
                <w:rFonts w:ascii="Times New Roman" w:hAnsi="Times New Roman"/>
                <w:caps/>
              </w:rPr>
              <w:t xml:space="preserve"> en van vroonhoven ter vervanging van dat gedrukt onder nr. 11</w:t>
            </w:r>
            <w:r w:rsidR="000E3062">
              <w:rPr>
                <w:rStyle w:val="Voetnootmarkering"/>
                <w:rFonts w:ascii="Times New Roman" w:hAnsi="Times New Roman"/>
                <w:caps/>
              </w:rPr>
              <w:footnoteReference w:id="1"/>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pPr>
              <w:pStyle w:val="Amendement"/>
              <w:tabs>
                <w:tab w:val="clear" w:pos="3310"/>
                <w:tab w:val="clear" w:pos="3600"/>
              </w:tabs>
              <w:rPr>
                <w:rFonts w:ascii="Times New Roman" w:hAnsi="Times New Roman"/>
              </w:rPr>
            </w:pPr>
          </w:p>
        </w:tc>
        <w:tc>
          <w:tcPr>
            <w:tcW w:w="7371" w:type="dxa"/>
            <w:gridSpan w:val="2"/>
          </w:tcPr>
          <w:p w:rsidR="003C21AC" w:rsidP="00A675CE" w:rsidRDefault="003C21AC">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A675CE">
              <w:rPr>
                <w:rFonts w:ascii="Times New Roman" w:hAnsi="Times New Roman"/>
                <w:b w:val="0"/>
              </w:rPr>
              <w:t>10 april 2024</w:t>
            </w:r>
          </w:p>
        </w:tc>
      </w:tr>
      <w:tr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pPr>
              <w:pStyle w:val="Amendement"/>
              <w:tabs>
                <w:tab w:val="clear" w:pos="3310"/>
                <w:tab w:val="clear" w:pos="3600"/>
              </w:tabs>
              <w:rPr>
                <w:rFonts w:ascii="Times New Roman" w:hAnsi="Times New Roman"/>
              </w:rPr>
            </w:pPr>
          </w:p>
        </w:tc>
        <w:tc>
          <w:tcPr>
            <w:tcW w:w="7371" w:type="dxa"/>
            <w:gridSpan w:val="2"/>
          </w:tcPr>
          <w:p w:rsidR="00B01BA6" w:rsidP="006E0971" w:rsidRDefault="00B01BA6">
            <w:pPr>
              <w:pStyle w:val="Amendement"/>
              <w:tabs>
                <w:tab w:val="clear" w:pos="3310"/>
                <w:tab w:val="clear" w:pos="3600"/>
              </w:tabs>
              <w:ind w:left="-70"/>
              <w:rPr>
                <w:rFonts w:ascii="Times New Roman" w:hAnsi="Times New Roman"/>
                <w:b w:val="0"/>
              </w:rPr>
            </w:pPr>
          </w:p>
        </w:tc>
      </w:tr>
      <w:tr w:rsidRPr="00EA69AC"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88452C" w:rsidRDefault="00B01BA6">
            <w:pPr>
              <w:ind w:firstLine="284"/>
            </w:pPr>
            <w:r w:rsidRPr="00EA69AC">
              <w:t>De ondergetekende</w:t>
            </w:r>
            <w:r w:rsidR="000E3062">
              <w:t>n</w:t>
            </w:r>
            <w:r w:rsidRPr="00EA69AC">
              <w:t xml:space="preserve"> stel</w:t>
            </w:r>
            <w:r w:rsidR="000E3062">
              <w:t>len</w:t>
            </w:r>
            <w:r w:rsidRPr="00EA69AC">
              <w:t xml:space="preserve"> het volgende amendement voor:</w:t>
            </w:r>
          </w:p>
        </w:tc>
      </w:tr>
    </w:tbl>
    <w:p w:rsidR="004330ED" w:rsidP="00D774B3" w:rsidRDefault="004330ED"/>
    <w:p w:rsidR="00ED6B14" w:rsidP="00ED6B14" w:rsidRDefault="00ED6B14">
      <w:pPr>
        <w:ind w:firstLine="284"/>
      </w:pPr>
      <w:r>
        <w:t xml:space="preserve">Artikel I, onderdeel G, wordt als volgt gewijzigd: </w:t>
      </w:r>
    </w:p>
    <w:p w:rsidRPr="00AC5798" w:rsidR="00ED6B14" w:rsidP="00ED6B14" w:rsidRDefault="00ED6B14"/>
    <w:p w:rsidRPr="00AC5798" w:rsidR="00ED6B14" w:rsidP="00ED6B14" w:rsidRDefault="00ED6B14">
      <w:pPr>
        <w:pStyle w:val="Geenafstand"/>
        <w:ind w:firstLine="284"/>
        <w:rPr>
          <w:rStyle w:val="Subtielebenadrukking"/>
          <w:i w:val="0"/>
          <w:iCs w:val="0"/>
          <w:color w:val="auto"/>
        </w:rPr>
      </w:pPr>
      <w:r w:rsidRPr="00AC5798">
        <w:rPr>
          <w:rStyle w:val="Subtielebenadrukking"/>
          <w:i w:val="0"/>
          <w:iCs w:val="0"/>
          <w:color w:val="auto"/>
        </w:rPr>
        <w:t>1. Voor de tekst wordt de aanduiding “2” geplaatst en in de tekst wordt “artikel 84, zesde lid</w:t>
      </w:r>
      <w:r>
        <w:rPr>
          <w:rStyle w:val="Subtielebenadrukking"/>
          <w:i w:val="0"/>
          <w:iCs w:val="0"/>
          <w:color w:val="auto"/>
        </w:rPr>
        <w:t>,</w:t>
      </w:r>
      <w:r w:rsidRPr="00AC5798">
        <w:rPr>
          <w:rStyle w:val="Subtielebenadrukking"/>
          <w:i w:val="0"/>
          <w:iCs w:val="0"/>
          <w:color w:val="auto"/>
        </w:rPr>
        <w:t>” vervangen door “het zesde lid”</w:t>
      </w:r>
      <w:r>
        <w:rPr>
          <w:rStyle w:val="Subtielebenadrukking"/>
          <w:i w:val="0"/>
          <w:iCs w:val="0"/>
          <w:color w:val="auto"/>
        </w:rPr>
        <w:t>.</w:t>
      </w:r>
    </w:p>
    <w:p w:rsidRPr="00AC5798" w:rsidR="00ED6B14" w:rsidP="00ED6B14" w:rsidRDefault="00ED6B14">
      <w:pPr>
        <w:pStyle w:val="Geenafstand"/>
        <w:rPr>
          <w:rStyle w:val="Subtielebenadrukking"/>
          <w:i w:val="0"/>
          <w:iCs w:val="0"/>
          <w:color w:val="auto"/>
        </w:rPr>
      </w:pPr>
    </w:p>
    <w:p w:rsidRPr="00AC5798" w:rsidR="00ED6B14" w:rsidP="00ED6B14" w:rsidRDefault="00ED6B14">
      <w:pPr>
        <w:pStyle w:val="Geenafstand"/>
        <w:ind w:firstLine="284"/>
        <w:rPr>
          <w:rStyle w:val="Subtielebenadrukking"/>
          <w:i w:val="0"/>
          <w:iCs w:val="0"/>
          <w:color w:val="auto"/>
        </w:rPr>
      </w:pPr>
      <w:r w:rsidRPr="00AC5798">
        <w:rPr>
          <w:rStyle w:val="Subtielebenadrukking"/>
          <w:i w:val="0"/>
          <w:iCs w:val="0"/>
          <w:color w:val="auto"/>
        </w:rPr>
        <w:t>2. Voor onderdeel 2 (nieuw) worden een aanhef en een onderdeel ingevoegd, luidende:</w:t>
      </w:r>
    </w:p>
    <w:p w:rsidRPr="00AC5798" w:rsidR="00ED6B14" w:rsidP="00ED6B14" w:rsidRDefault="00ED6B14">
      <w:pPr>
        <w:pStyle w:val="Geenafstand"/>
        <w:rPr>
          <w:rStyle w:val="Subtielebenadrukking"/>
          <w:i w:val="0"/>
          <w:iCs w:val="0"/>
          <w:color w:val="auto"/>
        </w:rPr>
      </w:pPr>
    </w:p>
    <w:p w:rsidRPr="00AC5798" w:rsidR="00ED6B14" w:rsidP="00ED6B14" w:rsidRDefault="00ED6B14">
      <w:pPr>
        <w:pStyle w:val="Geenafstand"/>
        <w:ind w:firstLine="284"/>
        <w:rPr>
          <w:rStyle w:val="Subtielebenadrukking"/>
          <w:i w:val="0"/>
          <w:iCs w:val="0"/>
          <w:color w:val="auto"/>
        </w:rPr>
      </w:pPr>
      <w:r w:rsidRPr="00AC5798">
        <w:rPr>
          <w:rStyle w:val="Subtielebenadrukking"/>
          <w:i w:val="0"/>
          <w:iCs w:val="0"/>
          <w:color w:val="auto"/>
        </w:rPr>
        <w:t>Artikel 84 wordt als volgt gewijzigd:</w:t>
      </w:r>
    </w:p>
    <w:p w:rsidRPr="00AC5798" w:rsidR="00ED6B14" w:rsidP="00ED6B14" w:rsidRDefault="00ED6B14">
      <w:pPr>
        <w:pStyle w:val="Geenafstand"/>
        <w:rPr>
          <w:rStyle w:val="Subtielebenadrukking"/>
          <w:i w:val="0"/>
          <w:iCs w:val="0"/>
          <w:color w:val="auto"/>
        </w:rPr>
      </w:pPr>
    </w:p>
    <w:p w:rsidRPr="00AC5798" w:rsidR="00ED6B14" w:rsidP="00ED6B14" w:rsidRDefault="00ED6B14">
      <w:pPr>
        <w:pStyle w:val="Geenafstand"/>
        <w:ind w:firstLine="284"/>
        <w:rPr>
          <w:rStyle w:val="Subtielebenadrukking"/>
          <w:i w:val="0"/>
          <w:iCs w:val="0"/>
          <w:color w:val="auto"/>
        </w:rPr>
      </w:pPr>
      <w:r w:rsidRPr="00AC5798">
        <w:rPr>
          <w:rStyle w:val="Subtielebenadrukking"/>
          <w:i w:val="0"/>
          <w:iCs w:val="0"/>
          <w:color w:val="auto"/>
        </w:rPr>
        <w:t>1. In het vi</w:t>
      </w:r>
      <w:r>
        <w:rPr>
          <w:rStyle w:val="Subtielebenadrukking"/>
          <w:i w:val="0"/>
          <w:iCs w:val="0"/>
          <w:color w:val="auto"/>
        </w:rPr>
        <w:t>erde lid, eerste volzin, wordt “</w:t>
      </w:r>
      <w:r w:rsidRPr="00AC5798">
        <w:rPr>
          <w:rStyle w:val="Subtielebenadrukking"/>
          <w:i w:val="0"/>
          <w:iCs w:val="0"/>
          <w:color w:val="auto"/>
        </w:rPr>
        <w:t xml:space="preserve">drie of vier leden onderscheidenlijk </w:t>
      </w:r>
      <w:r>
        <w:rPr>
          <w:rStyle w:val="Subtielebenadrukking"/>
          <w:i w:val="0"/>
          <w:iCs w:val="0"/>
          <w:color w:val="auto"/>
        </w:rPr>
        <w:t>uit vijf leden” vervangen door “</w:t>
      </w:r>
      <w:r w:rsidRPr="00AC5798">
        <w:rPr>
          <w:rStyle w:val="Subtielebenadrukking"/>
          <w:i w:val="0"/>
          <w:iCs w:val="0"/>
          <w:color w:val="auto"/>
        </w:rPr>
        <w:t>drie leden ondersch</w:t>
      </w:r>
      <w:r>
        <w:rPr>
          <w:rStyle w:val="Subtielebenadrukking"/>
          <w:i w:val="0"/>
          <w:iCs w:val="0"/>
          <w:color w:val="auto"/>
        </w:rPr>
        <w:t>eidenlijk uit vier of vijf leden”</w:t>
      </w:r>
      <w:r w:rsidRPr="00AC5798">
        <w:rPr>
          <w:rStyle w:val="Subtielebenadrukking"/>
          <w:i w:val="0"/>
          <w:iCs w:val="0"/>
          <w:color w:val="auto"/>
        </w:rPr>
        <w:t xml:space="preserve">. </w:t>
      </w:r>
    </w:p>
    <w:p w:rsidR="00EA1CE4" w:rsidP="00EA1CE4" w:rsidRDefault="00EA1CE4"/>
    <w:p w:rsidR="003C21AC" w:rsidP="00EA1CE4" w:rsidRDefault="003C21AC">
      <w:pPr>
        <w:rPr>
          <w:b/>
        </w:rPr>
      </w:pPr>
      <w:r w:rsidRPr="00EA69AC">
        <w:rPr>
          <w:b/>
        </w:rPr>
        <w:t>Toelichting</w:t>
      </w:r>
    </w:p>
    <w:p w:rsidRPr="00EA69AC" w:rsidR="00A675CE" w:rsidP="00EA1CE4" w:rsidRDefault="00A675CE">
      <w:pPr>
        <w:rPr>
          <w:b/>
        </w:rPr>
      </w:pPr>
    </w:p>
    <w:p w:rsidR="00CB6EA9" w:rsidP="00CB6EA9" w:rsidRDefault="00CB6EA9">
      <w:r>
        <w:t>In de huidige wet op de Rechterlijke Organisatie (Hierna: RO) bestaat de Raad voor de Rechtspraak (hierna: de Raad) uit ten minste drie en ten hoogste vijf leden.</w:t>
      </w:r>
      <w:r>
        <w:rPr>
          <w:rStyle w:val="Voetnootmarkering"/>
        </w:rPr>
        <w:footnoteReference w:id="2"/>
      </w:r>
      <w:r>
        <w:t xml:space="preserve"> Deze leden worden bij KB op voordracht van de Minister benoemd voor een periode van zes jaar.</w:t>
      </w:r>
      <w:r>
        <w:rPr>
          <w:rStyle w:val="Voetnootmarkering"/>
        </w:rPr>
        <w:footnoteReference w:id="3"/>
      </w:r>
      <w:r>
        <w:t xml:space="preserve"> Bestaat de Raad uit drie leden of vier leden dan zijn twee leden rechterlijke ambtenaren met rechtspraak belast, indien de Raad bestaat uit vijf personen dan zijn dat er drie.</w:t>
      </w:r>
      <w:r>
        <w:rPr>
          <w:rStyle w:val="Voetnootmarkering"/>
        </w:rPr>
        <w:footnoteReference w:id="4"/>
      </w:r>
      <w:r>
        <w:t xml:space="preserve"> Een van de leden wordt bij KB op voordracht van de minister tot voorzitter van de Raad benoemt.</w:t>
      </w:r>
      <w:r>
        <w:rPr>
          <w:rStyle w:val="Voetnootmarkering"/>
        </w:rPr>
        <w:footnoteReference w:id="5"/>
      </w:r>
      <w:r>
        <w:t xml:space="preserve"> Indien de stemmen staken, geeft de stem van de voorzitter de doorslag.</w:t>
      </w:r>
      <w:r>
        <w:rPr>
          <w:rStyle w:val="Voetnootmarkering"/>
        </w:rPr>
        <w:footnoteReference w:id="6"/>
      </w:r>
      <w:r>
        <w:t xml:space="preserve"> Hieruit volgt dat bij een Raad bestaande uit vier leden, er geen meerderheid is van rechterlijke ambtenaren belast met rechtspraak. Vanuit het oogpunt van onafhankelijkheid is het wenselijk dat de Raad altijd bestaat uit een meerderheid van rechterlijke ambtenaren met rechtspraak belast. Dat wordt het met voorliggende amendement geregeld. </w:t>
      </w:r>
    </w:p>
    <w:p w:rsidRPr="00EA69AC" w:rsidR="005B1DCC" w:rsidP="00BF623B" w:rsidRDefault="005B1DCC"/>
    <w:p w:rsidR="00B4708A" w:rsidP="00EA1CE4" w:rsidRDefault="00A675CE">
      <w:r>
        <w:t>Sneller</w:t>
      </w:r>
    </w:p>
    <w:p w:rsidRPr="00EA69AC" w:rsidR="000E3062" w:rsidP="00EA1CE4" w:rsidRDefault="000E3062">
      <w:r>
        <w:t>Van Vroonhoven</w:t>
      </w:r>
    </w:p>
    <w:sectPr w:rsidRPr="00EA69AC" w:rsidR="000E3062" w:rsidSect="00EA1CE4">
      <w:endnotePr>
        <w:numFmt w:val="decimal"/>
      </w:endnotePr>
      <w:pgSz w:w="11906" w:h="16838"/>
      <w:pgMar w:top="360" w:right="566" w:bottom="141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CB" w:rsidRDefault="00E46CCB">
      <w:pPr>
        <w:spacing w:line="20" w:lineRule="exact"/>
      </w:pPr>
    </w:p>
  </w:endnote>
  <w:endnote w:type="continuationSeparator" w:id="0">
    <w:p w:rsidR="00E46CCB" w:rsidRDefault="00E46CCB">
      <w:pPr>
        <w:pStyle w:val="Amendement"/>
      </w:pPr>
      <w:r>
        <w:rPr>
          <w:b w:val="0"/>
        </w:rPr>
        <w:t xml:space="preserve"> </w:t>
      </w:r>
    </w:p>
  </w:endnote>
  <w:endnote w:type="continuationNotice" w:id="1">
    <w:p w:rsidR="00E46CCB" w:rsidRDefault="00E46CCB">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CB" w:rsidRDefault="00E46CCB">
      <w:pPr>
        <w:pStyle w:val="Amendement"/>
      </w:pPr>
      <w:r>
        <w:rPr>
          <w:b w:val="0"/>
        </w:rPr>
        <w:separator/>
      </w:r>
    </w:p>
  </w:footnote>
  <w:footnote w:type="continuationSeparator" w:id="0">
    <w:p w:rsidR="00E46CCB" w:rsidRDefault="00E46CCB">
      <w:r>
        <w:continuationSeparator/>
      </w:r>
    </w:p>
  </w:footnote>
  <w:footnote w:id="1">
    <w:p w:rsidR="000E3062" w:rsidRPr="00DF6A8C" w:rsidRDefault="000E3062">
      <w:pPr>
        <w:pStyle w:val="Voetnoottekst"/>
        <w:rPr>
          <w:sz w:val="20"/>
        </w:rPr>
      </w:pPr>
      <w:r w:rsidRPr="00DF6A8C">
        <w:rPr>
          <w:rStyle w:val="Voetnootmarkering"/>
          <w:sz w:val="20"/>
        </w:rPr>
        <w:footnoteRef/>
      </w:r>
      <w:r w:rsidRPr="00DF6A8C">
        <w:rPr>
          <w:sz w:val="20"/>
        </w:rPr>
        <w:t xml:space="preserve"> Vervanging in verband met een wijziging in de ondertekening.</w:t>
      </w:r>
    </w:p>
  </w:footnote>
  <w:footnote w:id="2">
    <w:p w:rsidR="00CB6EA9" w:rsidRPr="00A675CE" w:rsidRDefault="00CB6EA9" w:rsidP="00CB6EA9">
      <w:pPr>
        <w:pStyle w:val="Voetnoottekst"/>
        <w:rPr>
          <w:sz w:val="20"/>
          <w:lang w:val="en-GB"/>
        </w:rPr>
      </w:pPr>
      <w:r w:rsidRPr="00A675CE">
        <w:rPr>
          <w:rStyle w:val="Voetnootmarkering"/>
          <w:sz w:val="20"/>
        </w:rPr>
        <w:footnoteRef/>
      </w:r>
      <w:r w:rsidRPr="00A675CE">
        <w:rPr>
          <w:sz w:val="20"/>
          <w:lang w:val="en-GB"/>
        </w:rPr>
        <w:t xml:space="preserve"> Art. 84 lid 2 RO.</w:t>
      </w:r>
    </w:p>
  </w:footnote>
  <w:footnote w:id="3">
    <w:p w:rsidR="00CB6EA9" w:rsidRPr="00A675CE" w:rsidRDefault="00CB6EA9" w:rsidP="00CB6EA9">
      <w:pPr>
        <w:pStyle w:val="Voetnoottekst"/>
        <w:rPr>
          <w:sz w:val="20"/>
          <w:lang w:val="en-GB"/>
        </w:rPr>
      </w:pPr>
      <w:r w:rsidRPr="00A675CE">
        <w:rPr>
          <w:rStyle w:val="Voetnootmarkering"/>
          <w:sz w:val="20"/>
        </w:rPr>
        <w:footnoteRef/>
      </w:r>
      <w:r w:rsidRPr="00A675CE">
        <w:rPr>
          <w:sz w:val="20"/>
          <w:lang w:val="en-GB"/>
        </w:rPr>
        <w:t xml:space="preserve"> Art. 84 lid 3 RO. </w:t>
      </w:r>
    </w:p>
  </w:footnote>
  <w:footnote w:id="4">
    <w:p w:rsidR="00CB6EA9" w:rsidRPr="00A675CE" w:rsidRDefault="00CB6EA9" w:rsidP="00CB6EA9">
      <w:pPr>
        <w:pStyle w:val="Voetnoottekst"/>
        <w:rPr>
          <w:sz w:val="20"/>
          <w:lang w:val="en-GB"/>
        </w:rPr>
      </w:pPr>
      <w:r w:rsidRPr="00A675CE">
        <w:rPr>
          <w:rStyle w:val="Voetnootmarkering"/>
          <w:sz w:val="20"/>
        </w:rPr>
        <w:footnoteRef/>
      </w:r>
      <w:r w:rsidRPr="00A675CE">
        <w:rPr>
          <w:sz w:val="20"/>
          <w:lang w:val="en-GB"/>
        </w:rPr>
        <w:t xml:space="preserve"> Art. 84 lid 4 RO. </w:t>
      </w:r>
    </w:p>
  </w:footnote>
  <w:footnote w:id="5">
    <w:p w:rsidR="00CB6EA9" w:rsidRPr="00A675CE" w:rsidRDefault="00CB6EA9" w:rsidP="00CB6EA9">
      <w:pPr>
        <w:pStyle w:val="Voetnoottekst"/>
        <w:rPr>
          <w:sz w:val="20"/>
          <w:lang w:val="en-GB"/>
        </w:rPr>
      </w:pPr>
      <w:r w:rsidRPr="00A675CE">
        <w:rPr>
          <w:rStyle w:val="Voetnootmarkering"/>
          <w:sz w:val="20"/>
        </w:rPr>
        <w:footnoteRef/>
      </w:r>
      <w:r w:rsidRPr="00A675CE">
        <w:rPr>
          <w:sz w:val="20"/>
          <w:lang w:val="en-GB"/>
        </w:rPr>
        <w:t xml:space="preserve"> Art. 84 lid 5 RO. </w:t>
      </w:r>
    </w:p>
  </w:footnote>
  <w:footnote w:id="6">
    <w:p w:rsidR="00CB6EA9" w:rsidRDefault="00CB6EA9" w:rsidP="00CB6EA9">
      <w:pPr>
        <w:pStyle w:val="Voetnoottekst"/>
      </w:pPr>
      <w:r w:rsidRPr="00A675CE">
        <w:rPr>
          <w:rStyle w:val="Voetnootmarkering"/>
          <w:sz w:val="20"/>
        </w:rPr>
        <w:footnoteRef/>
      </w:r>
      <w:r w:rsidRPr="00A675CE">
        <w:rPr>
          <w:sz w:val="20"/>
        </w:rPr>
        <w:t xml:space="preserve"> Art. 87 lid 3 RO.</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5AD"/>
    <w:multiLevelType w:val="hybridMultilevel"/>
    <w:tmpl w:val="A6A82C64"/>
    <w:lvl w:ilvl="0" w:tplc="0413000F">
      <w:start w:val="1"/>
      <w:numFmt w:val="decimal"/>
      <w:lvlText w:val="%1."/>
      <w:lvlJc w:val="left"/>
      <w:pPr>
        <w:ind w:left="928" w:hanging="360"/>
      </w:pPr>
    </w:lvl>
    <w:lvl w:ilvl="1" w:tplc="04130019">
      <w:start w:val="1"/>
      <w:numFmt w:val="lowerLetter"/>
      <w:lvlText w:val="%2."/>
      <w:lvlJc w:val="left"/>
      <w:pPr>
        <w:ind w:left="1648" w:hanging="360"/>
      </w:pPr>
    </w:lvl>
    <w:lvl w:ilvl="2" w:tplc="0413001B">
      <w:start w:val="1"/>
      <w:numFmt w:val="lowerRoman"/>
      <w:lvlText w:val="%3."/>
      <w:lvlJc w:val="right"/>
      <w:pPr>
        <w:ind w:left="2368" w:hanging="180"/>
      </w:pPr>
    </w:lvl>
    <w:lvl w:ilvl="3" w:tplc="0413000F">
      <w:start w:val="1"/>
      <w:numFmt w:val="decimal"/>
      <w:lvlText w:val="%4."/>
      <w:lvlJc w:val="left"/>
      <w:pPr>
        <w:ind w:left="3088" w:hanging="360"/>
      </w:pPr>
    </w:lvl>
    <w:lvl w:ilvl="4" w:tplc="04130019">
      <w:start w:val="1"/>
      <w:numFmt w:val="lowerLetter"/>
      <w:lvlText w:val="%5."/>
      <w:lvlJc w:val="left"/>
      <w:pPr>
        <w:ind w:left="3808" w:hanging="360"/>
      </w:pPr>
    </w:lvl>
    <w:lvl w:ilvl="5" w:tplc="0413001B">
      <w:start w:val="1"/>
      <w:numFmt w:val="lowerRoman"/>
      <w:lvlText w:val="%6."/>
      <w:lvlJc w:val="right"/>
      <w:pPr>
        <w:ind w:left="4528" w:hanging="180"/>
      </w:pPr>
    </w:lvl>
    <w:lvl w:ilvl="6" w:tplc="0413000F">
      <w:start w:val="1"/>
      <w:numFmt w:val="decimal"/>
      <w:lvlText w:val="%7."/>
      <w:lvlJc w:val="left"/>
      <w:pPr>
        <w:ind w:left="5248" w:hanging="360"/>
      </w:pPr>
    </w:lvl>
    <w:lvl w:ilvl="7" w:tplc="04130019">
      <w:start w:val="1"/>
      <w:numFmt w:val="lowerLetter"/>
      <w:lvlText w:val="%8."/>
      <w:lvlJc w:val="left"/>
      <w:pPr>
        <w:ind w:left="5968" w:hanging="360"/>
      </w:pPr>
    </w:lvl>
    <w:lvl w:ilvl="8" w:tplc="0413001B">
      <w:start w:val="1"/>
      <w:numFmt w:val="lowerRoman"/>
      <w:lvlText w:val="%9."/>
      <w:lvlJc w:val="right"/>
      <w:pPr>
        <w:ind w:left="6688" w:hanging="180"/>
      </w:pPr>
    </w:lvl>
  </w:abstractNum>
  <w:abstractNum w:abstractNumId="1" w15:restartNumberingAfterBreak="0">
    <w:nsid w:val="569E3E82"/>
    <w:multiLevelType w:val="hybridMultilevel"/>
    <w:tmpl w:val="BD0C09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CB"/>
    <w:rsid w:val="000B280C"/>
    <w:rsid w:val="000D17BF"/>
    <w:rsid w:val="000E3062"/>
    <w:rsid w:val="001049D2"/>
    <w:rsid w:val="00157CAF"/>
    <w:rsid w:val="001656EE"/>
    <w:rsid w:val="0016653D"/>
    <w:rsid w:val="001D56AF"/>
    <w:rsid w:val="001E0E21"/>
    <w:rsid w:val="00212E0A"/>
    <w:rsid w:val="002153B0"/>
    <w:rsid w:val="0021777F"/>
    <w:rsid w:val="00241DD0"/>
    <w:rsid w:val="002A0713"/>
    <w:rsid w:val="00305E7E"/>
    <w:rsid w:val="003C21AC"/>
    <w:rsid w:val="003C5218"/>
    <w:rsid w:val="003C7876"/>
    <w:rsid w:val="003E2F98"/>
    <w:rsid w:val="0042574B"/>
    <w:rsid w:val="004330ED"/>
    <w:rsid w:val="00481C91"/>
    <w:rsid w:val="004911E3"/>
    <w:rsid w:val="00497D57"/>
    <w:rsid w:val="004A7DD4"/>
    <w:rsid w:val="004B50D8"/>
    <w:rsid w:val="004B5B90"/>
    <w:rsid w:val="00501109"/>
    <w:rsid w:val="005703C9"/>
    <w:rsid w:val="00597703"/>
    <w:rsid w:val="005A6097"/>
    <w:rsid w:val="005B1DCC"/>
    <w:rsid w:val="005B7323"/>
    <w:rsid w:val="005C25B9"/>
    <w:rsid w:val="00607A7F"/>
    <w:rsid w:val="006267E6"/>
    <w:rsid w:val="006558D2"/>
    <w:rsid w:val="00672D25"/>
    <w:rsid w:val="006738BC"/>
    <w:rsid w:val="006D3E69"/>
    <w:rsid w:val="006E0971"/>
    <w:rsid w:val="007709F6"/>
    <w:rsid w:val="007965FC"/>
    <w:rsid w:val="007D2608"/>
    <w:rsid w:val="008164E5"/>
    <w:rsid w:val="00830081"/>
    <w:rsid w:val="008467D7"/>
    <w:rsid w:val="00852541"/>
    <w:rsid w:val="00865D47"/>
    <w:rsid w:val="0088452C"/>
    <w:rsid w:val="008D7DCB"/>
    <w:rsid w:val="009055DB"/>
    <w:rsid w:val="00905ECB"/>
    <w:rsid w:val="00916441"/>
    <w:rsid w:val="0096165D"/>
    <w:rsid w:val="00993E91"/>
    <w:rsid w:val="009972AB"/>
    <w:rsid w:val="009A409F"/>
    <w:rsid w:val="009B5845"/>
    <w:rsid w:val="009C0C1F"/>
    <w:rsid w:val="00A10505"/>
    <w:rsid w:val="00A1288B"/>
    <w:rsid w:val="00A53203"/>
    <w:rsid w:val="00A675CE"/>
    <w:rsid w:val="00A772EB"/>
    <w:rsid w:val="00AB7173"/>
    <w:rsid w:val="00AC5798"/>
    <w:rsid w:val="00B01BA6"/>
    <w:rsid w:val="00B17DAC"/>
    <w:rsid w:val="00B4708A"/>
    <w:rsid w:val="00B82442"/>
    <w:rsid w:val="00BF623B"/>
    <w:rsid w:val="00C035D4"/>
    <w:rsid w:val="00C31923"/>
    <w:rsid w:val="00C679BF"/>
    <w:rsid w:val="00C81BBD"/>
    <w:rsid w:val="00CB6EA9"/>
    <w:rsid w:val="00CD3132"/>
    <w:rsid w:val="00CE27CD"/>
    <w:rsid w:val="00D134F3"/>
    <w:rsid w:val="00D47D01"/>
    <w:rsid w:val="00D774B3"/>
    <w:rsid w:val="00DD35A5"/>
    <w:rsid w:val="00DE2948"/>
    <w:rsid w:val="00DF68BE"/>
    <w:rsid w:val="00DF6A8C"/>
    <w:rsid w:val="00DF712A"/>
    <w:rsid w:val="00E25DF4"/>
    <w:rsid w:val="00E3485D"/>
    <w:rsid w:val="00E46CCB"/>
    <w:rsid w:val="00E6619B"/>
    <w:rsid w:val="00EA1CE4"/>
    <w:rsid w:val="00EA69AC"/>
    <w:rsid w:val="00EB40A1"/>
    <w:rsid w:val="00EC3112"/>
    <w:rsid w:val="00ED5E57"/>
    <w:rsid w:val="00ED6B14"/>
    <w:rsid w:val="00EE1BD8"/>
    <w:rsid w:val="00FA5BBE"/>
    <w:rsid w:val="00FB6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4642E"/>
  <w15:docId w15:val="{CCAD6FCF-8AAE-4477-AECE-520E558C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link w:val="VoetnoottekstChar"/>
    <w:uiPriority w:val="99"/>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paragraph" w:styleId="Lijstalinea">
    <w:name w:val="List Paragraph"/>
    <w:basedOn w:val="Standaard"/>
    <w:uiPriority w:val="34"/>
    <w:qFormat/>
    <w:rsid w:val="00C31923"/>
    <w:pPr>
      <w:widowControl/>
      <w:ind w:left="720"/>
    </w:pPr>
    <w:rPr>
      <w:rFonts w:ascii="Calibri" w:eastAsiaTheme="minorHAnsi" w:hAnsi="Calibri" w:cs="Calibri"/>
      <w:sz w:val="22"/>
      <w:szCs w:val="22"/>
      <w:lang w:eastAsia="en-US"/>
    </w:rPr>
  </w:style>
  <w:style w:type="character" w:styleId="Subtielebenadrukking">
    <w:name w:val="Subtle Emphasis"/>
    <w:basedOn w:val="Standaardalinea-lettertype"/>
    <w:uiPriority w:val="19"/>
    <w:qFormat/>
    <w:rsid w:val="00AC5798"/>
    <w:rPr>
      <w:i/>
      <w:iCs/>
      <w:color w:val="404040" w:themeColor="text1" w:themeTint="BF"/>
    </w:rPr>
  </w:style>
  <w:style w:type="paragraph" w:styleId="Geenafstand">
    <w:name w:val="No Spacing"/>
    <w:uiPriority w:val="1"/>
    <w:qFormat/>
    <w:rsid w:val="00AC5798"/>
    <w:pPr>
      <w:widowControl w:val="0"/>
    </w:pPr>
    <w:rPr>
      <w:sz w:val="24"/>
    </w:rPr>
  </w:style>
  <w:style w:type="character" w:styleId="Verwijzingopmerking">
    <w:name w:val="annotation reference"/>
    <w:basedOn w:val="Standaardalinea-lettertype"/>
    <w:semiHidden/>
    <w:unhideWhenUsed/>
    <w:rsid w:val="00ED6B14"/>
    <w:rPr>
      <w:sz w:val="16"/>
      <w:szCs w:val="16"/>
    </w:rPr>
  </w:style>
  <w:style w:type="paragraph" w:styleId="Tekstopmerking">
    <w:name w:val="annotation text"/>
    <w:basedOn w:val="Standaard"/>
    <w:link w:val="TekstopmerkingChar"/>
    <w:unhideWhenUsed/>
    <w:rsid w:val="00ED6B14"/>
    <w:rPr>
      <w:sz w:val="20"/>
    </w:rPr>
  </w:style>
  <w:style w:type="character" w:customStyle="1" w:styleId="TekstopmerkingChar">
    <w:name w:val="Tekst opmerking Char"/>
    <w:basedOn w:val="Standaardalinea-lettertype"/>
    <w:link w:val="Tekstopmerking"/>
    <w:rsid w:val="00ED6B14"/>
  </w:style>
  <w:style w:type="character" w:customStyle="1" w:styleId="VoetnoottekstChar">
    <w:name w:val="Voetnoottekst Char"/>
    <w:basedOn w:val="Standaardalinea-lettertype"/>
    <w:link w:val="Voetnoottekst"/>
    <w:uiPriority w:val="99"/>
    <w:semiHidden/>
    <w:rsid w:val="00CB6EA9"/>
    <w:rPr>
      <w:sz w:val="24"/>
    </w:rPr>
  </w:style>
  <w:style w:type="character" w:styleId="Voetnootmarkering">
    <w:name w:val="footnote reference"/>
    <w:basedOn w:val="Standaardalinea-lettertype"/>
    <w:uiPriority w:val="99"/>
    <w:semiHidden/>
    <w:unhideWhenUsed/>
    <w:rsid w:val="00CB6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08502">
      <w:bodyDiv w:val="1"/>
      <w:marLeft w:val="0"/>
      <w:marRight w:val="0"/>
      <w:marTop w:val="0"/>
      <w:marBottom w:val="0"/>
      <w:divBdr>
        <w:top w:val="none" w:sz="0" w:space="0" w:color="auto"/>
        <w:left w:val="none" w:sz="0" w:space="0" w:color="auto"/>
        <w:bottom w:val="none" w:sz="0" w:space="0" w:color="auto"/>
        <w:right w:val="none" w:sz="0" w:space="0" w:color="auto"/>
      </w:divBdr>
    </w:div>
    <w:div w:id="21016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317</ap:Words>
  <ap:Characters>1720</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2033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2005-08-22T11:50:00.0000000Z</lastPrinted>
  <dcterms:created xsi:type="dcterms:W3CDTF">2024-04-10T18:53:00.0000000Z</dcterms:created>
  <dcterms:modified xsi:type="dcterms:W3CDTF">2024-04-10T18:53:00.0000000Z</dcterms:modified>
  <dc:description>------------------------</dc:description>
  <dc:subject/>
  <keywords/>
  <version/>
  <category/>
</coreProperties>
</file>